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23A2" w:rsidTr="0010095E">
        <w:trPr>
          <w:trHeight w:hRule="exact" w:val="1418"/>
        </w:trPr>
        <w:tc>
          <w:tcPr>
            <w:tcW w:w="6804" w:type="dxa"/>
            <w:shd w:val="clear" w:color="auto" w:fill="auto"/>
            <w:vAlign w:val="center"/>
          </w:tcPr>
          <w:p w:rsidR="00751A4A" w:rsidRPr="008A23A2" w:rsidRDefault="00B20C8F" w:rsidP="0010095E">
            <w:pPr>
              <w:pStyle w:val="EPName"/>
            </w:pPr>
            <w:r w:rsidRPr="008A23A2">
              <w:t>Europa-Parlamentet</w:t>
            </w:r>
          </w:p>
          <w:p w:rsidR="00751A4A" w:rsidRPr="008A23A2" w:rsidRDefault="00817416" w:rsidP="00756632">
            <w:pPr>
              <w:pStyle w:val="EPTerm"/>
              <w:rPr>
                <w:rStyle w:val="HideTWBExt"/>
                <w:noProof w:val="0"/>
                <w:vanish w:val="0"/>
                <w:color w:val="auto"/>
              </w:rPr>
            </w:pPr>
            <w:r w:rsidRPr="008A23A2">
              <w:t>2019-2024</w:t>
            </w:r>
          </w:p>
        </w:tc>
        <w:tc>
          <w:tcPr>
            <w:tcW w:w="2268" w:type="dxa"/>
            <w:shd w:val="clear" w:color="auto" w:fill="auto"/>
          </w:tcPr>
          <w:p w:rsidR="00751A4A" w:rsidRPr="008A23A2" w:rsidRDefault="00187494" w:rsidP="0010095E">
            <w:pPr>
              <w:pStyle w:val="EPLogo"/>
            </w:pPr>
            <w:r w:rsidRPr="008A23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23A2" w:rsidRDefault="00D058B8" w:rsidP="004C5D52">
      <w:pPr>
        <w:pStyle w:val="LineTop"/>
      </w:pPr>
    </w:p>
    <w:p w:rsidR="00680577" w:rsidRPr="008A23A2" w:rsidRDefault="00B20C8F" w:rsidP="00680577">
      <w:pPr>
        <w:pStyle w:val="EPBodyTA1"/>
      </w:pPr>
      <w:r w:rsidRPr="008A23A2">
        <w:t>VEDTAGNE TEKSTER</w:t>
      </w:r>
    </w:p>
    <w:p w:rsidR="00D058B8" w:rsidRPr="008A23A2" w:rsidRDefault="00D058B8" w:rsidP="00D058B8">
      <w:pPr>
        <w:pStyle w:val="LineBottom"/>
      </w:pPr>
    </w:p>
    <w:p w:rsidR="00B20C8F" w:rsidRPr="008A23A2" w:rsidRDefault="00B20C8F" w:rsidP="00B20C8F">
      <w:pPr>
        <w:pStyle w:val="ATHeading1"/>
      </w:pPr>
      <w:bookmarkStart w:id="0" w:name="TANumber"/>
      <w:r w:rsidRPr="008A23A2">
        <w:t>P9_TA(2024)0</w:t>
      </w:r>
      <w:bookmarkEnd w:id="0"/>
      <w:r w:rsidR="00A14C5E">
        <w:t>235</w:t>
      </w:r>
    </w:p>
    <w:p w:rsidR="00B20C8F" w:rsidRPr="008A23A2" w:rsidRDefault="00907C3C" w:rsidP="00B20C8F">
      <w:pPr>
        <w:pStyle w:val="ATHeading2"/>
      </w:pPr>
      <w:r w:rsidRPr="00907C3C">
        <w:t>Decharge 2022: EU's almindelige budget – Den Europæiske Tilsynsførende for Databeskyttelse</w:t>
      </w:r>
    </w:p>
    <w:p w:rsidR="00B20C8F" w:rsidRPr="008A23A2" w:rsidRDefault="00B20C8F" w:rsidP="00B20C8F">
      <w:pPr>
        <w:rPr>
          <w:i/>
          <w:vanish/>
        </w:rPr>
      </w:pPr>
      <w:r w:rsidRPr="008A23A2">
        <w:rPr>
          <w:i/>
        </w:rPr>
        <w:fldChar w:fldCharType="begin"/>
      </w:r>
      <w:r w:rsidRPr="008A23A2">
        <w:rPr>
          <w:i/>
        </w:rPr>
        <w:instrText xml:space="preserve"> TC"(</w:instrText>
      </w:r>
      <w:bookmarkStart w:id="1" w:name="DocNumber"/>
      <w:r w:rsidRPr="008A23A2">
        <w:rPr>
          <w:i/>
        </w:rPr>
        <w:instrText>A9-0086/2024</w:instrText>
      </w:r>
      <w:bookmarkEnd w:id="1"/>
      <w:r w:rsidRPr="008A23A2">
        <w:rPr>
          <w:i/>
        </w:rPr>
        <w:instrText xml:space="preserve"> - Ordfører: Luke Ming Flanagan)"\l3 \n&gt; \* MERGEFORMAT </w:instrText>
      </w:r>
      <w:r w:rsidRPr="008A23A2">
        <w:rPr>
          <w:i/>
        </w:rPr>
        <w:fldChar w:fldCharType="end"/>
      </w:r>
    </w:p>
    <w:p w:rsidR="00B20C8F" w:rsidRPr="008A23A2" w:rsidRDefault="00B20C8F" w:rsidP="00B20C8F">
      <w:pPr>
        <w:rPr>
          <w:vanish/>
        </w:rPr>
      </w:pPr>
      <w:bookmarkStart w:id="2" w:name="Commission"/>
      <w:r w:rsidRPr="008A23A2">
        <w:rPr>
          <w:vanish/>
        </w:rPr>
        <w:t>Budgetkontroludvalget</w:t>
      </w:r>
      <w:bookmarkEnd w:id="2"/>
    </w:p>
    <w:p w:rsidR="00B20C8F" w:rsidRPr="008A23A2" w:rsidRDefault="00B20C8F" w:rsidP="00B20C8F">
      <w:pPr>
        <w:rPr>
          <w:vanish/>
        </w:rPr>
      </w:pPr>
      <w:bookmarkStart w:id="3" w:name="PE"/>
      <w:r w:rsidRPr="008A23A2">
        <w:rPr>
          <w:vanish/>
        </w:rPr>
        <w:t>PE753.487</w:t>
      </w:r>
      <w:bookmarkEnd w:id="3"/>
    </w:p>
    <w:p w:rsidR="00B20C8F" w:rsidRPr="008A23A2" w:rsidRDefault="00CA46D8" w:rsidP="00B20C8F">
      <w:pPr>
        <w:pStyle w:val="ATHeading3"/>
      </w:pPr>
      <w:bookmarkStart w:id="4" w:name="Sujet"/>
      <w:r>
        <w:t xml:space="preserve">1. </w:t>
      </w:r>
      <w:r w:rsidRPr="009574E6">
        <w:t xml:space="preserve">Europa-Parlamentets </w:t>
      </w:r>
      <w:r>
        <w:t xml:space="preserve">afgørelse af 11. april 2024 </w:t>
      </w:r>
      <w:r w:rsidRPr="009574E6">
        <w:t>om decharge</w:t>
      </w:r>
      <w:r w:rsidR="00B20C8F" w:rsidRPr="008A23A2">
        <w:t xml:space="preserve"> for gennemførelsen af Den Europæiske Unions almindelige budget for regnskabsåret 2022, Sektion IX – Den Europæiske Tilsynsførende for Databeskyttelse</w:t>
      </w:r>
      <w:bookmarkEnd w:id="4"/>
      <w:r w:rsidR="00B20C8F" w:rsidRPr="008A23A2">
        <w:t xml:space="preserve"> </w:t>
      </w:r>
      <w:bookmarkStart w:id="5" w:name="References"/>
      <w:r w:rsidR="00B20C8F" w:rsidRPr="008A23A2">
        <w:t>(2023/2138(DEC))</w:t>
      </w:r>
      <w:bookmarkEnd w:id="5"/>
    </w:p>
    <w:p w:rsidR="00A60069" w:rsidRPr="008A23A2" w:rsidRDefault="00A60069" w:rsidP="00A60069">
      <w:pPr>
        <w:pStyle w:val="EPComma"/>
      </w:pPr>
      <w:bookmarkStart w:id="6" w:name="TextBodyBegin"/>
      <w:bookmarkEnd w:id="6"/>
      <w:r w:rsidRPr="008A23A2">
        <w:rPr>
          <w:i/>
        </w:rPr>
        <w:t>Europa-Parlamentet,</w:t>
      </w:r>
    </w:p>
    <w:p w:rsidR="00A60069" w:rsidRPr="008A23A2" w:rsidRDefault="00A60069" w:rsidP="00A60069">
      <w:pPr>
        <w:pStyle w:val="NormalHanging12a"/>
      </w:pPr>
      <w:r w:rsidRPr="008A23A2">
        <w:t>–</w:t>
      </w:r>
      <w:r w:rsidRPr="008A23A2">
        <w:tab/>
        <w:t>der henviser til Den Europæiske Unions almindelige budget for regnskabsåret 2022</w:t>
      </w:r>
      <w:r w:rsidRPr="008A23A2">
        <w:rPr>
          <w:rStyle w:val="FootnoteReference"/>
        </w:rPr>
        <w:footnoteReference w:id="1"/>
      </w:r>
      <w:r w:rsidRPr="008A23A2">
        <w:t>,</w:t>
      </w:r>
    </w:p>
    <w:p w:rsidR="00A60069" w:rsidRPr="008A23A2" w:rsidRDefault="00A60069" w:rsidP="00A60069">
      <w:pPr>
        <w:pStyle w:val="NormalHanging12a"/>
      </w:pPr>
      <w:r w:rsidRPr="008A23A2">
        <w:t>–</w:t>
      </w:r>
      <w:r w:rsidRPr="008A23A2">
        <w:tab/>
        <w:t>der henviser til Den Europæiske Unions konsoliderede årsregnskab for regnskabsåret 2022 (COM(2023)0391 – C9</w:t>
      </w:r>
      <w:r w:rsidRPr="008A23A2">
        <w:noBreakHyphen/>
        <w:t>0257/2023)</w:t>
      </w:r>
      <w:r w:rsidRPr="008A23A2">
        <w:rPr>
          <w:rStyle w:val="FootnoteReference"/>
        </w:rPr>
        <w:footnoteReference w:id="2"/>
      </w:r>
      <w:r w:rsidRPr="008A23A2">
        <w:t>,</w:t>
      </w:r>
    </w:p>
    <w:p w:rsidR="00A60069" w:rsidRPr="008A23A2" w:rsidRDefault="00A60069" w:rsidP="00A60069">
      <w:pPr>
        <w:pStyle w:val="NormalHanging12a"/>
      </w:pPr>
      <w:r w:rsidRPr="008A23A2">
        <w:t>–</w:t>
      </w:r>
      <w:r w:rsidRPr="008A23A2">
        <w:tab/>
        <w:t>der henviser til Den Europæiske Tilsynsførende for Databeskyttelses årsberetning for 2022,</w:t>
      </w:r>
    </w:p>
    <w:p w:rsidR="00A60069" w:rsidRPr="008A23A2" w:rsidRDefault="00A60069" w:rsidP="00A60069">
      <w:pPr>
        <w:pStyle w:val="NormalHanging12a"/>
      </w:pPr>
      <w:r w:rsidRPr="008A23A2">
        <w:t>–</w:t>
      </w:r>
      <w:r w:rsidRPr="008A23A2">
        <w:tab/>
        <w:t>der henviser til Revisionsrettens årsberetning om budgetgennemførelsen i regnskabsåret 2022, med institutionernes svar</w:t>
      </w:r>
      <w:r w:rsidRPr="008A23A2">
        <w:rPr>
          <w:rStyle w:val="FootnoteReference"/>
        </w:rPr>
        <w:footnoteReference w:id="3"/>
      </w:r>
      <w:r w:rsidRPr="008A23A2">
        <w:t>,</w:t>
      </w:r>
    </w:p>
    <w:p w:rsidR="00A60069" w:rsidRPr="008A23A2" w:rsidRDefault="00A60069" w:rsidP="00A60069">
      <w:pPr>
        <w:pStyle w:val="NormalHanging12a"/>
      </w:pPr>
      <w:r w:rsidRPr="008A23A2">
        <w:t>–</w:t>
      </w:r>
      <w:r w:rsidRPr="008A23A2">
        <w:tab/>
        <w:t>der henviser til Revisionsrettens erklæring for regnskabsåret 2022 om regnskabernes rigtighed</w:t>
      </w:r>
      <w:r w:rsidRPr="008A23A2">
        <w:rPr>
          <w:rStyle w:val="FootnoteReference"/>
        </w:rPr>
        <w:footnoteReference w:id="4"/>
      </w:r>
      <w:r w:rsidRPr="008A23A2">
        <w:t xml:space="preserve"> og de underliggende transaktioners lovlighed og formelle rigtighed, jf. artikel 287 i traktaten om Den Europæiske Unions funktionsmåde,</w:t>
      </w:r>
    </w:p>
    <w:p w:rsidR="00A60069" w:rsidRPr="008A23A2" w:rsidRDefault="00A60069" w:rsidP="00A60069">
      <w:pPr>
        <w:pStyle w:val="NormalHanging12a"/>
      </w:pPr>
      <w:r w:rsidRPr="008A23A2">
        <w:t>–</w:t>
      </w:r>
      <w:r w:rsidRPr="008A23A2">
        <w:tab/>
        <w:t>der henviser til artikel 314, stk. 10, og artikel 317, 318 og 319 i traktaten om Den Europæiske Unions funktionsmåde,</w:t>
      </w:r>
    </w:p>
    <w:p w:rsidR="00A60069" w:rsidRPr="008A23A2" w:rsidRDefault="00A60069" w:rsidP="00A60069">
      <w:pPr>
        <w:pStyle w:val="NormalHanging12a"/>
      </w:pPr>
      <w:r w:rsidRPr="008A23A2">
        <w:t>–</w:t>
      </w:r>
      <w:r w:rsidRPr="008A23A2">
        <w:tab/>
        <w:t xml:space="preserve">der henviser til Europa-Parlamentets og Rådets forordning (EU, </w:t>
      </w:r>
      <w:proofErr w:type="spellStart"/>
      <w:r w:rsidRPr="008A23A2">
        <w:t>Euratom</w:t>
      </w:r>
      <w:proofErr w:type="spellEnd"/>
      <w:r w:rsidRPr="008A23A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A23A2">
        <w:t>Euratom</w:t>
      </w:r>
      <w:proofErr w:type="spellEnd"/>
      <w:r w:rsidRPr="008A23A2">
        <w:t>) nr. 966/2012</w:t>
      </w:r>
      <w:r w:rsidRPr="008A23A2">
        <w:rPr>
          <w:rStyle w:val="FootnoteReference"/>
        </w:rPr>
        <w:footnoteReference w:id="5"/>
      </w:r>
      <w:r w:rsidRPr="008A23A2">
        <w:t>, særlig artikel 59, 118, 260, 261 og 262,</w:t>
      </w:r>
    </w:p>
    <w:p w:rsidR="00A60069" w:rsidRPr="008A23A2" w:rsidRDefault="00A60069" w:rsidP="00A60069">
      <w:pPr>
        <w:pStyle w:val="NormalHanging12a"/>
      </w:pPr>
      <w:r w:rsidRPr="008A23A2">
        <w:lastRenderedPageBreak/>
        <w:t>–</w:t>
      </w:r>
      <w:r w:rsidRPr="008A23A2">
        <w:tab/>
      </w:r>
      <w:r w:rsidRPr="008A23A2">
        <w:rPr>
          <w:snapToGrid w:val="0"/>
        </w:rPr>
        <w:t>der henviser til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særlig artikel 54,</w:t>
      </w:r>
    </w:p>
    <w:p w:rsidR="00A60069" w:rsidRPr="008A23A2" w:rsidRDefault="00A60069" w:rsidP="00A60069">
      <w:pPr>
        <w:pStyle w:val="NormalHanging12a"/>
      </w:pPr>
      <w:r w:rsidRPr="008A23A2">
        <w:t>–</w:t>
      </w:r>
      <w:r w:rsidRPr="008A23A2">
        <w:tab/>
        <w:t>der henviser til forretningsordenens artikel 100 og bilag V,</w:t>
      </w:r>
    </w:p>
    <w:p w:rsidR="00A60069" w:rsidRPr="008A23A2" w:rsidRDefault="00A60069" w:rsidP="00A60069">
      <w:pPr>
        <w:pStyle w:val="NormalHanging12a"/>
      </w:pPr>
      <w:r w:rsidRPr="008A23A2">
        <w:t>–</w:t>
      </w:r>
      <w:r w:rsidRPr="008A23A2">
        <w:tab/>
        <w:t>der henviser til udtalelse fra Udvalget om Borgernes Rettigheder og Retlige og Indre Anliggender,</w:t>
      </w:r>
    </w:p>
    <w:p w:rsidR="00A60069" w:rsidRPr="008A23A2" w:rsidRDefault="00A60069" w:rsidP="00A60069">
      <w:pPr>
        <w:pStyle w:val="NormalHanging12a"/>
      </w:pPr>
      <w:r w:rsidRPr="008A23A2">
        <w:t>–</w:t>
      </w:r>
      <w:r w:rsidRPr="008A23A2">
        <w:tab/>
        <w:t>der henviser til betænkning fra Budgetkontroludvalget (A9-0086/2024),</w:t>
      </w:r>
    </w:p>
    <w:p w:rsidR="00A60069" w:rsidRPr="008A23A2" w:rsidRDefault="00A60069" w:rsidP="00A60069">
      <w:pPr>
        <w:pStyle w:val="NormalHanging12a"/>
      </w:pPr>
      <w:r w:rsidRPr="008A23A2">
        <w:t>1.</w:t>
      </w:r>
      <w:r w:rsidRPr="008A23A2">
        <w:tab/>
        <w:t>meddeler Den Europæiske Tilsynsførende for Databeskyttelse decharge for gennemførelsen af dennes budget for regnskabsåret 2022;</w:t>
      </w:r>
    </w:p>
    <w:p w:rsidR="00A60069" w:rsidRPr="008A23A2" w:rsidRDefault="00A60069" w:rsidP="00A60069">
      <w:pPr>
        <w:pStyle w:val="NormalHanging12a"/>
      </w:pPr>
      <w:r w:rsidRPr="008A23A2">
        <w:t>2.</w:t>
      </w:r>
      <w:r w:rsidRPr="008A23A2">
        <w:tab/>
        <w:t>fremsætter sine bemærkninger i nedenstående beslutning;</w:t>
      </w:r>
    </w:p>
    <w:p w:rsidR="00A60069" w:rsidRPr="008A23A2" w:rsidRDefault="00A60069" w:rsidP="00A60069">
      <w:pPr>
        <w:pStyle w:val="NormalHanging12a"/>
      </w:pPr>
      <w:r w:rsidRPr="008A23A2">
        <w:t>3.</w:t>
      </w:r>
      <w:r w:rsidRPr="008A23A2">
        <w:tab/>
        <w:t xml:space="preserve">pålægger sin formand at sende denne afgørelse og beslutningen, der er en integrerende del heraf, til Den Europæiske Tilsynsførende for Databeskyttelse, Det Europæiske Råd, Rådet, Kommissionen, Revisionsretten, Den Europæiske Unions Domstol, Den Europæiske Ombudsmand og Tjenesten for EU's Optræden Udadtil og drage omsorg for, at de offentliggøres i </w:t>
      </w:r>
      <w:r w:rsidRPr="008A23A2">
        <w:rPr>
          <w:i/>
          <w:iCs/>
        </w:rPr>
        <w:t>Den Europæiske Unions Tidende</w:t>
      </w:r>
      <w:r w:rsidRPr="008A23A2">
        <w:t xml:space="preserve"> (L-udgaven).</w:t>
      </w:r>
    </w:p>
    <w:p w:rsidR="00A60069" w:rsidRPr="008A23A2" w:rsidRDefault="00A60069" w:rsidP="00A60069"/>
    <w:p w:rsidR="00A60069" w:rsidRPr="008A23A2" w:rsidRDefault="00A60069" w:rsidP="00A60069">
      <w:pPr>
        <w:pStyle w:val="PageHeading"/>
        <w:sectPr w:rsidR="00A60069" w:rsidRPr="008A23A2" w:rsidSect="008A23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A46D8" w:rsidRPr="009574E6" w:rsidRDefault="00CA46D8" w:rsidP="00CA46D8">
      <w:pPr>
        <w:pStyle w:val="ATHeading3"/>
      </w:pPr>
      <w:r>
        <w:lastRenderedPageBreak/>
        <w:t xml:space="preserve">2. </w:t>
      </w:r>
      <w:r w:rsidRPr="009574E6">
        <w:t xml:space="preserve">Europa-Parlamentets beslutning </w:t>
      </w:r>
      <w:r w:rsidRPr="009366E9">
        <w:t xml:space="preserve">af </w:t>
      </w:r>
      <w:r>
        <w:t>11. april 2024</w:t>
      </w:r>
      <w:r w:rsidRPr="009574E6">
        <w:t xml:space="preserve"> </w:t>
      </w:r>
      <w:r w:rsidRPr="008A23A2">
        <w:t>med bemærkningerne, der er en integrerende del af afgørelsen om decharge for gennemførelsen af Den Europæiske Unions almindelige budget for regnskabsåret 2022, Sektion IX – Den Europæiske Tilsynsførende for Databeskyttelse</w:t>
      </w:r>
      <w:r>
        <w:t xml:space="preserve"> </w:t>
      </w:r>
      <w:r w:rsidRPr="008A23A2">
        <w:t>(2023/2138(DEC))</w:t>
      </w:r>
    </w:p>
    <w:p w:rsidR="00A60069" w:rsidRPr="008A23A2" w:rsidRDefault="00A60069" w:rsidP="00A60069">
      <w:pPr>
        <w:pStyle w:val="EPComma"/>
      </w:pPr>
      <w:r w:rsidRPr="008A23A2">
        <w:rPr>
          <w:i/>
          <w:iCs/>
        </w:rPr>
        <w:t>Europa-Parlamentet,</w:t>
      </w:r>
    </w:p>
    <w:p w:rsidR="00A60069" w:rsidRPr="008A23A2" w:rsidRDefault="00A60069" w:rsidP="00A60069">
      <w:pPr>
        <w:pStyle w:val="NormalHanging12a"/>
        <w:rPr>
          <w:szCs w:val="24"/>
        </w:rPr>
      </w:pPr>
      <w:r w:rsidRPr="008A23A2">
        <w:t>–</w:t>
      </w:r>
      <w:r w:rsidRPr="008A23A2">
        <w:tab/>
        <w:t>der henviser til sin afgørelse om decharge for gennemførelsen af Den Europæiske Unions almindelige budget for regnskabsåret 2022, Sektion IX – Den Europæiske Tilsynsførende for Databeskyttelse,</w:t>
      </w:r>
    </w:p>
    <w:p w:rsidR="00A60069" w:rsidRPr="008A23A2" w:rsidRDefault="00A60069" w:rsidP="00A60069">
      <w:pPr>
        <w:pStyle w:val="NormalHanging12a"/>
        <w:rPr>
          <w:szCs w:val="24"/>
        </w:rPr>
      </w:pPr>
      <w:r w:rsidRPr="008A23A2">
        <w:t>–</w:t>
      </w:r>
      <w:r w:rsidRPr="008A23A2">
        <w:tab/>
        <w:t>der henviser til forretningsordenens artikel 100 og bilag V,</w:t>
      </w:r>
    </w:p>
    <w:p w:rsidR="00A60069" w:rsidRPr="008A23A2" w:rsidRDefault="00A60069" w:rsidP="00A60069">
      <w:pPr>
        <w:pStyle w:val="NormalHanging12a"/>
        <w:rPr>
          <w:szCs w:val="24"/>
        </w:rPr>
      </w:pPr>
      <w:r w:rsidRPr="008A23A2">
        <w:t>–</w:t>
      </w:r>
      <w:r w:rsidRPr="008A23A2">
        <w:tab/>
        <w:t>der henviser til udtalelse fra Udvalget om Borgernes Rettigheder og Retlige og Indre Anliggender,</w:t>
      </w:r>
    </w:p>
    <w:p w:rsidR="00A60069" w:rsidRPr="008A23A2" w:rsidRDefault="00A60069" w:rsidP="00A60069">
      <w:pPr>
        <w:pStyle w:val="NormalHanging12a"/>
        <w:rPr>
          <w:szCs w:val="24"/>
        </w:rPr>
      </w:pPr>
      <w:r w:rsidRPr="008A23A2">
        <w:t>–</w:t>
      </w:r>
      <w:r w:rsidRPr="008A23A2">
        <w:tab/>
        <w:t>der henviser til betænkning fra Budgetkontroludvalget (A9-0086/2024),</w:t>
      </w:r>
    </w:p>
    <w:p w:rsidR="00A60069" w:rsidRPr="008A23A2" w:rsidRDefault="00A60069" w:rsidP="00A60069">
      <w:pPr>
        <w:pStyle w:val="NormalHanging12a"/>
        <w:rPr>
          <w:szCs w:val="24"/>
        </w:rPr>
      </w:pPr>
      <w:r w:rsidRPr="008A23A2">
        <w:t>A.</w:t>
      </w:r>
      <w:r w:rsidRPr="008A23A2">
        <w:tab/>
        <w:t>der henviser til, at dechargemyndigheden inden for rammerne af dechargeproceduren gerne vil understrege, at det er særlig vigtigt at styrke EU-institutionernes demokratiske legitimitet yderligere ved at forbedre gennemsigtigheden og ansvarligheden og implementere princippet om resultatbaseret budgettering og god forvaltning af menneskelige ressourcer;</w:t>
      </w:r>
    </w:p>
    <w:p w:rsidR="00A60069" w:rsidRPr="008A23A2" w:rsidRDefault="00A60069" w:rsidP="00A60069">
      <w:pPr>
        <w:pStyle w:val="NormalHanging12a"/>
        <w:rPr>
          <w:szCs w:val="24"/>
        </w:rPr>
      </w:pPr>
      <w:r w:rsidRPr="008A23A2">
        <w:t>B.</w:t>
      </w:r>
      <w:r w:rsidRPr="008A23A2">
        <w:tab/>
        <w:t>der henviser til, at databeskyttelse er en grundlæggende rettighed, der er beskyttet i henhold til EU-retten og forankret i artikel 8 i Den Europæiske Unions charter om grundlæggende rettigheder;</w:t>
      </w:r>
    </w:p>
    <w:p w:rsidR="00A60069" w:rsidRPr="008A23A2" w:rsidRDefault="00A60069" w:rsidP="00A60069">
      <w:pPr>
        <w:pStyle w:val="NormalHanging12a"/>
        <w:rPr>
          <w:szCs w:val="24"/>
        </w:rPr>
      </w:pPr>
      <w:r w:rsidRPr="008A23A2">
        <w:t>C.</w:t>
      </w:r>
      <w:r w:rsidRPr="008A23A2">
        <w:tab/>
        <w:t>der henviser til, at artikel 16 i traktaten om Den Europæiske Unions funktionsmåde fastsætter, at overholdelsen af regler for beskyttelse af fysiske personer i forbindelse med behandling af personoplysninger kontrolleres af en uafhængig myndighed;</w:t>
      </w:r>
    </w:p>
    <w:p w:rsidR="00A60069" w:rsidRPr="008A23A2" w:rsidRDefault="00A60069" w:rsidP="00A60069">
      <w:pPr>
        <w:pStyle w:val="NormalHanging12a"/>
        <w:rPr>
          <w:szCs w:val="24"/>
        </w:rPr>
      </w:pPr>
      <w:r w:rsidRPr="008A23A2">
        <w:t>D.</w:t>
      </w:r>
      <w:r w:rsidRPr="008A23A2">
        <w:tab/>
        <w:t>der henviser til, at forordning (EU) 2018/1725 indeholder bestemmelser om oprettelse af en uafhængig myndighed, Den Europæiske Tilsynsførende for Databeskyttelse ("EDPS"), som er ansvarlig for at beskytte og garantere retten til databeskyttelse og privatlivets fred, og som har til opgave at sikre, at Unionens institutioner og organer, kontorer og agenturer har en stærk databeskyttelseskultur;</w:t>
      </w:r>
    </w:p>
    <w:p w:rsidR="00A60069" w:rsidRPr="008A23A2" w:rsidRDefault="00A60069" w:rsidP="00A60069">
      <w:pPr>
        <w:pStyle w:val="NormalHanging12a"/>
        <w:rPr>
          <w:szCs w:val="24"/>
        </w:rPr>
      </w:pPr>
      <w:r w:rsidRPr="008A23A2">
        <w:t>E.</w:t>
      </w:r>
      <w:r w:rsidRPr="008A23A2">
        <w:tab/>
        <w:t>der henviser til, at EDPS udfører sine opgaver i tæt samarbejde med andre databeskyttelsesmyndigheder som en del af Det Europæiske Databeskyttelsesråd, og at den tjener offentlighedens interesser, samtidig med at den styres af principperne om upartiskhed, integritet, gennemsigtighed og pragmatisme;</w:t>
      </w:r>
    </w:p>
    <w:p w:rsidR="00A60069" w:rsidRPr="008A23A2" w:rsidRDefault="00A60069" w:rsidP="00A60069">
      <w:pPr>
        <w:pStyle w:val="NormalHanging12a"/>
        <w:rPr>
          <w:szCs w:val="24"/>
        </w:rPr>
      </w:pPr>
      <w:r w:rsidRPr="008A23A2">
        <w:t>F.</w:t>
      </w:r>
      <w:r w:rsidRPr="008A23A2">
        <w:tab/>
        <w:t xml:space="preserve">der henviser til, at EDPS indtil den 13. november 2022 uddelegerede den anvisningsberettigedes beføjelser til direktøren og derefter administrationschefen i overensstemmelse med charteret om EDPS' opgaver og ansvarsområder, der er fastsat i artikel 72, stk. 2, i Europa-Parlamentets og Rådets forordning (EU, </w:t>
      </w:r>
      <w:proofErr w:type="spellStart"/>
      <w:r w:rsidRPr="008A23A2">
        <w:t>Euratom</w:t>
      </w:r>
      <w:proofErr w:type="spellEnd"/>
      <w:r w:rsidRPr="008A23A2">
        <w:t>) 2018/1046, mens funktionen som regnskabsfører for EDPS varetages af Kommissionens regnskabsfører i overensstemmelse med Den Europæiske Tilsynsførende for Databeskyttelses afgørelse af 1. marts 2017;</w:t>
      </w:r>
    </w:p>
    <w:p w:rsidR="00A60069" w:rsidRPr="008A23A2" w:rsidRDefault="00A60069" w:rsidP="00A60069">
      <w:pPr>
        <w:pStyle w:val="NormalHanging12a"/>
        <w:rPr>
          <w:szCs w:val="24"/>
        </w:rPr>
      </w:pPr>
      <w:r w:rsidRPr="008A23A2">
        <w:lastRenderedPageBreak/>
        <w:t>1.</w:t>
      </w:r>
      <w:r w:rsidRPr="008A23A2">
        <w:tab/>
        <w:t>bemærker, at EDPS' budget falder ind under FFR-udgiftsområde 7, "Europæisk offentlig forvaltning", som i 2022 beløb sig til i alt 11,6 mia. EUR eller 5,9 % af Unionens udgifter; bemærker, at EDPS' budget udgjorde 0,17 % af bevillingerne under FFR-udgiftsområde 7;</w:t>
      </w:r>
    </w:p>
    <w:p w:rsidR="00A60069" w:rsidRPr="008A23A2" w:rsidRDefault="00A60069" w:rsidP="00A60069">
      <w:pPr>
        <w:pStyle w:val="NormalHanging12a"/>
        <w:rPr>
          <w:szCs w:val="24"/>
        </w:rPr>
      </w:pPr>
      <w:r w:rsidRPr="008A23A2">
        <w:t>2.</w:t>
      </w:r>
      <w:r w:rsidRPr="008A23A2">
        <w:tab/>
        <w:t>bemærker, at Revisionsretten i sin årsberetning for regnskabsåret 2022 undersøgte en stikprøve på 60 transaktioner under "Administration", hvilket er det samme antal som i 2021; bemærker endvidere, at Revisionsretten anfører, at administrationsudgifter omfatter udgifter til menneskelige ressourcer, herunder pensioner, som i 2022 tegnede sig for ca. 70 % af de samlede administrationsudgifter, samt til bygninger, udstyr, energi, kommunikation og informationsteknologi, og at dens revisioner gennem mange år viser, at der generelt kun er lav risiko forbundet med disse udgifter;</w:t>
      </w:r>
    </w:p>
    <w:p w:rsidR="00A60069" w:rsidRPr="008A23A2" w:rsidRDefault="00A60069" w:rsidP="00A60069">
      <w:pPr>
        <w:pStyle w:val="NormalHanging12a"/>
        <w:rPr>
          <w:szCs w:val="24"/>
        </w:rPr>
      </w:pPr>
      <w:r w:rsidRPr="008A23A2">
        <w:t>3.</w:t>
      </w:r>
      <w:r w:rsidRPr="008A23A2">
        <w:tab/>
        <w:t>noterer sig, at Revisionsretten som led i sin revision for 2022 undersøgte EDPS' overvågnings- og kontrolsystemer, navnlig gennemførelsen af interne kontrolstandarder, risikostyring og centrale kontrollers funktion som defineret i finansforordningen, herunder forudgående og efterfølgende kontrol af betalinger;</w:t>
      </w:r>
    </w:p>
    <w:p w:rsidR="00A60069" w:rsidRPr="008A23A2" w:rsidRDefault="00A60069" w:rsidP="00A60069">
      <w:pPr>
        <w:pStyle w:val="NormalHanging12a"/>
        <w:rPr>
          <w:szCs w:val="24"/>
        </w:rPr>
      </w:pPr>
      <w:r w:rsidRPr="008A23A2">
        <w:t>4.</w:t>
      </w:r>
      <w:r w:rsidRPr="008A23A2">
        <w:tab/>
        <w:t>bemærker, at 14 (23 %) af de 60 transaktioner var behæftet med fejl, men at Revisionsretten på grundlag af de fem fejl, der blev kvantificeret, anslår, at fejlforekomsten er under væsentlighedstærsklen;</w:t>
      </w:r>
    </w:p>
    <w:p w:rsidR="00A60069" w:rsidRPr="008A23A2" w:rsidRDefault="00A60069" w:rsidP="00A60069">
      <w:pPr>
        <w:pStyle w:val="NormalHanging12a"/>
        <w:rPr>
          <w:szCs w:val="24"/>
        </w:rPr>
      </w:pPr>
      <w:r w:rsidRPr="008A23A2">
        <w:t>5.</w:t>
      </w:r>
      <w:r w:rsidRPr="008A23A2">
        <w:tab/>
        <w:t>bemærker med tilfredshed, at Revisionsretten i årsberetningen for regnskabsåret 2022 anfører, at den ikke har konstateret nogen specifikke forhold vedrørende EDPS;</w:t>
      </w:r>
    </w:p>
    <w:p w:rsidR="00A60069" w:rsidRPr="008A23A2" w:rsidRDefault="00A60069" w:rsidP="00A60069">
      <w:pPr>
        <w:pStyle w:val="NormalHanging12a"/>
        <w:rPr>
          <w:b/>
          <w:i/>
          <w:szCs w:val="24"/>
        </w:rPr>
      </w:pPr>
      <w:r w:rsidRPr="008A23A2">
        <w:rPr>
          <w:b/>
          <w:i/>
        </w:rPr>
        <w:t>Budgetmæssig og økonomisk forvaltning</w:t>
      </w:r>
    </w:p>
    <w:p w:rsidR="00A60069" w:rsidRPr="008A23A2" w:rsidRDefault="00A60069" w:rsidP="00A60069">
      <w:pPr>
        <w:pStyle w:val="NormalHanging12a"/>
        <w:rPr>
          <w:szCs w:val="24"/>
        </w:rPr>
      </w:pPr>
      <w:r w:rsidRPr="008A23A2">
        <w:t>6.</w:t>
      </w:r>
      <w:r w:rsidRPr="008A23A2">
        <w:tab/>
        <w:t>bemærker, at det endeligt vedtagne budget for EDPS var på 20 266 000 EUR i 2022, hvilket svarer til en stigning på 4,12 % i forhold til 2021; bemærker, at EDPS modtog 50 000 EUR i formålsbestemte indtægter vedrørende tjenesteydelser leveret til EFTA-Tilsynsmyndigheden ved hjælp af en serviceleveranceaftale; bemærker, at EDPS' budget også dækker arbejdet i det uafhængige sekretariat for Det Europæiske Databeskyttelsesråd ("Databeskyttelsesrådet");</w:t>
      </w:r>
    </w:p>
    <w:p w:rsidR="00A60069" w:rsidRPr="008A23A2" w:rsidRDefault="00A60069" w:rsidP="00A60069">
      <w:pPr>
        <w:pStyle w:val="NormalHanging12a"/>
        <w:rPr>
          <w:szCs w:val="24"/>
        </w:rPr>
      </w:pPr>
      <w:r w:rsidRPr="008A23A2">
        <w:t>7.</w:t>
      </w:r>
      <w:r w:rsidRPr="008A23A2">
        <w:tab/>
        <w:t>bemærker med tilfredshed, at budgetgennemførelsesgraden var på 98 % i 2022, hvilket er højere end året før, hvor budgetgennemførelsesgraden var på 86 %;</w:t>
      </w:r>
    </w:p>
    <w:p w:rsidR="00A60069" w:rsidRPr="008A23A2" w:rsidRDefault="00A60069" w:rsidP="00A60069">
      <w:pPr>
        <w:pStyle w:val="NormalHanging12a"/>
        <w:rPr>
          <w:szCs w:val="24"/>
        </w:rPr>
      </w:pPr>
      <w:r w:rsidRPr="008A23A2">
        <w:t>8.</w:t>
      </w:r>
      <w:r w:rsidRPr="008A23A2">
        <w:tab/>
        <w:t>bemærker, at Ruslands angrebskrig mod Ukraine skabte budgetpres på EDPS, herunder gennem stigende inflation og løntilpasninger, stærkt stigende energiomkostninger og omkostninger til varer og tjenesteydelser gennem offentlige indkøb og serviceleveranceaftaler med andre institutioner; glæder sig over de interne omfordelinger inden for budgetkapitlerne i løbet af 2022, der havde til formål at optimere budgetgennemførelsen;</w:t>
      </w:r>
    </w:p>
    <w:p w:rsidR="00A60069" w:rsidRPr="008A23A2" w:rsidRDefault="00A60069" w:rsidP="00A60069">
      <w:pPr>
        <w:pStyle w:val="NormalHanging12a"/>
        <w:rPr>
          <w:szCs w:val="24"/>
        </w:rPr>
      </w:pPr>
      <w:r w:rsidRPr="008A23A2">
        <w:t>9.</w:t>
      </w:r>
      <w:r w:rsidRPr="008A23A2">
        <w:tab/>
        <w:t>bemærker, at den gennemsnitlige betalingstid i 2022 var 21,54 dage, hvilket udgjorde en stigning i forhold til 2021, hvor den gennemsnitlige tid lød på 19,98 dage; glæder sig over indførelsen af et nyt elektronisk betalingssystem til behandling af fakturaer vedrørende tjenesterejseudgifter, der forudbetales af rejsebureauet, hvilket forventes at bidrage til at reducere den tid, det tager at foretage betalinger, når først det er fuldt operationelt; opfordrer EDPS til at overveje muligheden for at udvide dette system til også at omfatte andre typer betalinger;</w:t>
      </w:r>
    </w:p>
    <w:p w:rsidR="00A60069" w:rsidRPr="008A23A2" w:rsidRDefault="00A60069" w:rsidP="00A60069">
      <w:pPr>
        <w:pStyle w:val="NormalHanging12a"/>
        <w:rPr>
          <w:szCs w:val="24"/>
        </w:rPr>
      </w:pPr>
      <w:r w:rsidRPr="008A23A2">
        <w:lastRenderedPageBreak/>
        <w:t>10.</w:t>
      </w:r>
      <w:r w:rsidRPr="008A23A2">
        <w:tab/>
        <w:t>bemærker, at EDPS' budget til tjenesterejser for personale i perioden 2021 og 2022 steg fra 41 000 EUR til 251 000 EUR, dvs. en stigning på 512 %, i kølvandet på genoptagelsen af rejseaktiviteter efter covid-19-pandemien; bemærker endvidere, at EDPS inden for dette samlede budget i 2022 havde et særligt budget til tjenesterejser for den Tilsynsførende på 33 000 EUR sammenlignet med 5 000 EUR i 2021, hvilket svarer til en stigning på 560 %; bemærker, at stigningen i inflationen og den betydelige stigning i energipriserne i 2022 i forbindelse med Ruslands angrebskrig mod Ukraine havde en negativ indvirkning på flybilletternes priser og på hoteludgifter og dermed førte til en stigning i udgifterne til tjenesterejser;</w:t>
      </w:r>
    </w:p>
    <w:p w:rsidR="00A60069" w:rsidRPr="008A23A2" w:rsidRDefault="00A60069" w:rsidP="00A60069">
      <w:pPr>
        <w:pStyle w:val="NormalHanging12a"/>
        <w:rPr>
          <w:b/>
          <w:i/>
          <w:szCs w:val="24"/>
        </w:rPr>
      </w:pPr>
      <w:r w:rsidRPr="008A23A2">
        <w:rPr>
          <w:b/>
          <w:i/>
        </w:rPr>
        <w:t>Intern forvaltning, performance og intern kontrol</w:t>
      </w:r>
    </w:p>
    <w:p w:rsidR="00A60069" w:rsidRPr="008A23A2" w:rsidRDefault="00A60069" w:rsidP="00A60069">
      <w:pPr>
        <w:pStyle w:val="NormalHanging12a"/>
        <w:rPr>
          <w:szCs w:val="24"/>
        </w:rPr>
      </w:pPr>
      <w:r w:rsidRPr="008A23A2">
        <w:t>11.</w:t>
      </w:r>
      <w:r w:rsidRPr="008A23A2">
        <w:tab/>
        <w:t xml:space="preserve">bemærker, at EDPS i 2022 foretog en midtvejsevaluering af sin strategi for 2020-2024 med fokus på de tre søjler fremsyn, handling og solidaritet, hvorved EDPS' </w:t>
      </w:r>
      <w:proofErr w:type="spellStart"/>
      <w:r w:rsidRPr="008A23A2">
        <w:t>reorienterede</w:t>
      </w:r>
      <w:proofErr w:type="spellEnd"/>
      <w:r w:rsidRPr="008A23A2">
        <w:t xml:space="preserve"> vision og prioriteter for perioden 2022-2024 med henblik på at skabe en sikrere digital fremtid blev fremført;</w:t>
      </w:r>
    </w:p>
    <w:p w:rsidR="00A60069" w:rsidRPr="008A23A2" w:rsidRDefault="00A60069" w:rsidP="00A60069">
      <w:pPr>
        <w:pStyle w:val="NormalHanging12a"/>
        <w:rPr>
          <w:szCs w:val="24"/>
        </w:rPr>
      </w:pPr>
      <w:r w:rsidRPr="008A23A2">
        <w:t>12.</w:t>
      </w:r>
      <w:r w:rsidRPr="008A23A2">
        <w:tab/>
        <w:t>glæder sig over de store organisatoriske ændringer og den tilsvarende revision af sin forretningsorden, som EDPS foretog i 2022 med det formål at støtte udviklingen af dens opgaver og forbedre effektiviteten af dens processer i lyset af det hastigt skiftende internationale miljø; bemærker, at EDPS navnlig som følge af disse ændringer oprettede en ny funktion som chef for EDPS-sekretariatet på generalsekretærniveau, en særlig funktion i den juridiske tjeneste, en sektor for forvaltning og intern overholdelse, to nye operationelle sektorer i tilsyns- og håndhævelsesenheden, en ny finanssektor i enheden for menneskelige ressourcer, budget og administration og et afdelingskontor i Strasbourg;</w:t>
      </w:r>
    </w:p>
    <w:p w:rsidR="00A60069" w:rsidRPr="008A23A2" w:rsidRDefault="00A60069" w:rsidP="00A60069">
      <w:pPr>
        <w:pStyle w:val="NormalHanging12a"/>
        <w:rPr>
          <w:szCs w:val="24"/>
        </w:rPr>
      </w:pPr>
      <w:r w:rsidRPr="008A23A2">
        <w:t>13.</w:t>
      </w:r>
      <w:r w:rsidRPr="008A23A2">
        <w:tab/>
        <w:t>bemærker, at EDPS' tilsynsfunktioner i forbindelse med operationelle personoplysninger, der behandles af Europol inden for rammerne af Europols mandat, blev styrket med ikrafttrædelsen den 28. juni 2022 af Europa-Parlamentets og Rådets forordning (EU) 2022/991</w:t>
      </w:r>
      <w:r w:rsidRPr="008A23A2">
        <w:rPr>
          <w:szCs w:val="24"/>
          <w:vertAlign w:val="superscript"/>
        </w:rPr>
        <w:footnoteReference w:id="6"/>
      </w:r>
      <w:r w:rsidRPr="008A23A2">
        <w:t xml:space="preserve"> </w:t>
      </w:r>
      <w:bookmarkStart w:id="7" w:name="_GoBack"/>
      <w:bookmarkEnd w:id="7"/>
      <w:r w:rsidRPr="008A23A2">
        <w:t>om ændring af Europa-Parlamentets og Rådets forordning (EU) 2016/794</w:t>
      </w:r>
      <w:r w:rsidRPr="008A23A2">
        <w:rPr>
          <w:szCs w:val="24"/>
          <w:vertAlign w:val="superscript"/>
        </w:rPr>
        <w:footnoteReference w:id="7"/>
      </w:r>
      <w:r w:rsidRPr="008A23A2">
        <w:t xml:space="preserve"> om oprettelse af Europol; bemærker, at man med de organisatoriske ændringer, der blev indført i 2022, især oprettelsen af en ny undersektor i tilsyns- og håndhævelsesenheden med specialiseret personale, navnlig søgte at afspejle EDPS' specifikke beføjelser i forbindelse med tilsynet med agenturerne inden for området med frihed, sikkerhed og retfærdighed, idet der også blev taget højde for EDPS' nye tilsynsbeføjelser i forhold til Europol; opfordrer EDPS til at holde dechargemyndigheden underrettet om enhver yderligere udvidelse af sit mandat og indvirkningen på ressourcerne;</w:t>
      </w:r>
    </w:p>
    <w:p w:rsidR="00A60069" w:rsidRPr="008A23A2" w:rsidRDefault="00A60069" w:rsidP="00A60069">
      <w:pPr>
        <w:pStyle w:val="NormalHanging12a"/>
        <w:rPr>
          <w:szCs w:val="24"/>
        </w:rPr>
      </w:pPr>
      <w:r w:rsidRPr="008A23A2">
        <w:t>14.</w:t>
      </w:r>
      <w:r w:rsidRPr="008A23A2">
        <w:tab/>
        <w:t xml:space="preserve">bemærker, at EDPS som led i de ændringer, der blev gennemført i 2022, har bestræbt sig på at strømline sine interne procedurer med henblik på en mere stringent behandling </w:t>
      </w:r>
      <w:r w:rsidRPr="008A23A2">
        <w:lastRenderedPageBreak/>
        <w:t xml:space="preserve">af undersøgelser og på at </w:t>
      </w:r>
      <w:proofErr w:type="spellStart"/>
      <w:r w:rsidRPr="008A23A2">
        <w:t>omrokere</w:t>
      </w:r>
      <w:proofErr w:type="spellEnd"/>
      <w:r w:rsidRPr="008A23A2">
        <w:t xml:space="preserve"> specialiseret personale; bemærker, at efterforskningen af klager i forbindelse med retshåndhævelse, f.eks. klager over svar fra Europol på borgeres anmodninger om aktindsigt, ofte indebærer en høj grad af kompleksitet og i gennemsnit tager længere tid at undersøge end andre klager, i betragtning af at der er mange aktører i processen;</w:t>
      </w:r>
    </w:p>
    <w:p w:rsidR="00A60069" w:rsidRPr="008A23A2" w:rsidRDefault="00A60069" w:rsidP="00A60069">
      <w:pPr>
        <w:pStyle w:val="NormalHanging12a"/>
      </w:pPr>
      <w:r w:rsidRPr="008A23A2">
        <w:t>15.</w:t>
      </w:r>
      <w:r w:rsidRPr="008A23A2">
        <w:tab/>
        <w:t>bemærker, at EDPS i 2022 modtog 367 klager, hvilket er 47 flere end i 2021, hvoraf 65 opfyldte betingelserne for behandling, og 302 ikke opfyldte betingelserne for behandling, i tillæg til de 129 klager, der var under behandling i 2022; glæder sig over EDPS' bestræbelser på at reducere det store antal uantagelige klager, som er fordoblet siden 2019, og derfor også har øget behovet for ressourcer til at behandle dem; bemærker, at EDPS i 23 ud af de 65 klagesager, der blev modtaget i 2022, afgav en endelig afgørelse, en udtalelse eller et endeligt svar inden for gennemsnitligt 42 dage; bemærker endvidere, at behandlingen af klager vedrørende svar fra Europol på borgeres anmodninger om aktindsigt i gennemsnit tog mellem fem og 12 måneder; bemærker, at EDPS løbende revurderer sine procedurer og gennemfører forbedringer, hvor det er nødvendigt, på grundlag af tidligere erfaringer med henblik på yderligere at strømline sin klagebehandling, så klager kan behandles hurtigere til trods for ressourcemæssige begrænsninger;</w:t>
      </w:r>
    </w:p>
    <w:p w:rsidR="00A60069" w:rsidRPr="008A23A2" w:rsidRDefault="00A60069" w:rsidP="00A60069">
      <w:pPr>
        <w:pStyle w:val="NormalHanging12a"/>
        <w:rPr>
          <w:szCs w:val="24"/>
        </w:rPr>
      </w:pPr>
      <w:r w:rsidRPr="008A23A2">
        <w:t>16.</w:t>
      </w:r>
      <w:r w:rsidRPr="008A23A2">
        <w:tab/>
        <w:t>bemærker, at EDPS i 2022 gennemførte to forundersøgelser, hvor der var bekymring over en EU-institutions mulige overtrædelse af databeskyttelsesreglerne, og fortsatte tre igangværende formelle undersøgelser i form af databeskyttelsesrevisioner, hvoraf den ene blev afsluttet i april 2022; bemærker endvidere, at EDPS også iværksatte fire undersøgelser i form af databeskyttelsesrevisioner baseret på klager vedrørende visse EU-institutioners, -organers, -kontorers og -agenturers websteder og en undersøgelse i sektoren for området med frihed, sikkerhed og retfærdighed, og at den fortsatte igangværende undersøgelser, der var blevet indledt i tidligere år; bemærker, at EDPS' revision af Europols behandling af personoplysninger om mindreårige under 15 år, der er markeret som mistænkte, og som tredjelande og internationale organisationer forelagde agenturet, blev afsluttet i september 2023 efter en næsten ti måneder lang efterforskning, og efter at EDPS allerede oprindeligt havde rejst spørgsmålet med henstillinger til Europol i december 2018 om behandling af følsomme oplysninger;</w:t>
      </w:r>
    </w:p>
    <w:p w:rsidR="00A60069" w:rsidRPr="008A23A2" w:rsidRDefault="00A60069" w:rsidP="00A60069">
      <w:pPr>
        <w:pStyle w:val="NormalHanging12a"/>
        <w:rPr>
          <w:szCs w:val="24"/>
        </w:rPr>
      </w:pPr>
      <w:r w:rsidRPr="008A23A2">
        <w:t>17.</w:t>
      </w:r>
      <w:r w:rsidRPr="008A23A2">
        <w:tab/>
        <w:t>opfordrer EDPS til at forbedre proceduren og prioritere behandlingen af personoplysninger vedrørende mindreårige under 15 år, eftersom dette repræsenterer sårbare grupper, der kræver øget beskyttelse, og derfor berettiger prioriteret status;</w:t>
      </w:r>
    </w:p>
    <w:p w:rsidR="00A60069" w:rsidRPr="008A23A2" w:rsidRDefault="00A60069" w:rsidP="00A60069">
      <w:pPr>
        <w:pStyle w:val="NormalHanging12a"/>
        <w:rPr>
          <w:szCs w:val="24"/>
        </w:rPr>
      </w:pPr>
      <w:r w:rsidRPr="008A23A2">
        <w:t>18.</w:t>
      </w:r>
      <w:r w:rsidRPr="008A23A2">
        <w:tab/>
        <w:t xml:space="preserve">bemærker, at EDPS den 16. september 2022 anlagde sag ved Den Europæiske Unions Domstol med henblik på </w:t>
      </w:r>
      <w:proofErr w:type="spellStart"/>
      <w:r w:rsidRPr="008A23A2">
        <w:t>annullation</w:t>
      </w:r>
      <w:proofErr w:type="spellEnd"/>
      <w:r w:rsidRPr="008A23A2">
        <w:t xml:space="preserve"> af to bestemmelser i den ændrede </w:t>
      </w:r>
      <w:proofErr w:type="spellStart"/>
      <w:r w:rsidRPr="008A23A2">
        <w:t>Europolforordning</w:t>
      </w:r>
      <w:proofErr w:type="spellEnd"/>
      <w:r w:rsidRPr="008A23A2">
        <w:t>, som EU-Domstolen efterfølgende afviste; understreger, at det forhold, at EDPS i sin tilsynsrolle indbringer vigtige retlige spørgsmål for EU-Domstolen, ikke bør anses for at påvirke det loyale samarbejde og de gode forbindelser mellem EDPS og de enheder, som EDPS fører tilsyn med;</w:t>
      </w:r>
    </w:p>
    <w:p w:rsidR="00A60069" w:rsidRPr="008A23A2" w:rsidRDefault="00A60069" w:rsidP="00A60069">
      <w:pPr>
        <w:pStyle w:val="NormalHanging12a"/>
        <w:rPr>
          <w:szCs w:val="24"/>
        </w:rPr>
      </w:pPr>
      <w:r w:rsidRPr="008A23A2">
        <w:t>19.</w:t>
      </w:r>
      <w:r w:rsidRPr="008A23A2">
        <w:tab/>
        <w:t>bemærker med tilfredshed, at EDPS udviklede en ny ramme for risikostyring ved udgangen af 2022 og dermed styrkede sin interne kontrolramme og indførte risikoanalyser i sin årlige planlægning, hvilket bør bestemme de nødvendige input til EDPS' prioriteter på årlig basis;</w:t>
      </w:r>
    </w:p>
    <w:p w:rsidR="00A60069" w:rsidRPr="008A23A2" w:rsidRDefault="00A60069" w:rsidP="00A60069">
      <w:pPr>
        <w:pStyle w:val="NormalHanging12a"/>
        <w:rPr>
          <w:szCs w:val="24"/>
        </w:rPr>
      </w:pPr>
      <w:r w:rsidRPr="008A23A2">
        <w:t>20.</w:t>
      </w:r>
      <w:r w:rsidRPr="008A23A2">
        <w:tab/>
        <w:t xml:space="preserve">værdsætter den vigtige rolle, som høring af og rådgivning fra EDPS spiller i forbindelse </w:t>
      </w:r>
      <w:r w:rsidRPr="008A23A2">
        <w:lastRenderedPageBreak/>
        <w:t>med lovgivningsprocessen; bemærker, at EDPS' rådgivning tog form af 27 udtalelser (12 i 2021), 49 formelle bemærkninger (76 i 2021) og 30 uformelle bemærkninger (29 i 2021) til Kommissionen og til de lovgivende parter som svar på anmodninger om lovgivningsmæssige høringer i 2022;</w:t>
      </w:r>
    </w:p>
    <w:p w:rsidR="00A60069" w:rsidRPr="008A23A2" w:rsidRDefault="00A60069" w:rsidP="00A60069">
      <w:pPr>
        <w:pStyle w:val="NormalHanging12a"/>
        <w:rPr>
          <w:szCs w:val="24"/>
        </w:rPr>
      </w:pPr>
      <w:r w:rsidRPr="008A23A2">
        <w:t>21.</w:t>
      </w:r>
      <w:r w:rsidRPr="008A23A2">
        <w:tab/>
        <w:t>opfordrer EDPS til at gennemgå sin forretningsorden med henblik på rettidig sikring og gennemgang af klager fra borgere under hensyntagen til alle relevante oplysninger samt til at underrette dechargemyndigheden om de fremskridt, der er gjort på dette område.</w:t>
      </w:r>
    </w:p>
    <w:p w:rsidR="00A60069" w:rsidRPr="008A23A2" w:rsidRDefault="00A60069" w:rsidP="00A60069">
      <w:pPr>
        <w:pStyle w:val="NormalHanging12a"/>
        <w:rPr>
          <w:b/>
          <w:i/>
          <w:szCs w:val="24"/>
        </w:rPr>
      </w:pPr>
      <w:r w:rsidRPr="008A23A2">
        <w:rPr>
          <w:b/>
          <w:i/>
        </w:rPr>
        <w:t>Menneskelige ressourcer, ligestilling og personalets trivsel</w:t>
      </w:r>
    </w:p>
    <w:p w:rsidR="00A60069" w:rsidRPr="008A23A2" w:rsidRDefault="00A60069" w:rsidP="00A60069">
      <w:pPr>
        <w:pStyle w:val="NormalHanging12a"/>
        <w:rPr>
          <w:szCs w:val="24"/>
        </w:rPr>
      </w:pPr>
      <w:r w:rsidRPr="008A23A2">
        <w:t>22.</w:t>
      </w:r>
      <w:r w:rsidRPr="008A23A2">
        <w:tab/>
        <w:t>bemærker, at EDPS ved udgangen af 2022 havde 127 ansatte sammenlignet med 124 ved udgangen af 2021 og 114 ved udgangen af 2020; bemærker, at EDPS beskæftigede 52 kontraktansatte i henhold til artikel 3, litra b), i vedtægten for tjenestemænd og ansættelsesvilkårene for de øvrige ansatte og 6 midlertidigt ansatte i henhold til artikel 2, litra b), og artikel 2, litra c); bemærker endvidere, at EDPS i 2022 beskæftigede otte eksterne tjenesteydere, der arbejdede på stedet; opfordrer EDPS til at underrette dechargemyndigheden om de foranstaltninger, der blev truffet for at sikre, at eksterne tjenesteyderes adgang til oplysninger blev forvaltet i overensstemmelse med det fortrolighedsniveau, der kræves for de pågældende spørgsmål;</w:t>
      </w:r>
    </w:p>
    <w:p w:rsidR="00A60069" w:rsidRPr="008A23A2" w:rsidRDefault="00A60069" w:rsidP="00A60069">
      <w:pPr>
        <w:pStyle w:val="NormalHanging12a"/>
        <w:rPr>
          <w:szCs w:val="24"/>
        </w:rPr>
      </w:pPr>
      <w:r w:rsidRPr="008A23A2">
        <w:t>23.</w:t>
      </w:r>
      <w:r w:rsidRPr="008A23A2">
        <w:tab/>
        <w:t>mener, at EDPS i betragtning af den øgede arbejdsbyrde som følge af nye opgaver og ansvarsområder, som EDPS har fået tildelt, samt mange flere lovgivningsmæssige høringer og datasæt, der skal overvåges, vil have behov for en forholdsmæssig forøgelse af personalet for at opretholde effektive arbejdsgange med rimelige reaktionstider; tilskynder EDPS til at give sine ansatte tidsubegrænsede kontrakter for at sikre forretningskontinuitet og arbejdssikkerhed;</w:t>
      </w:r>
    </w:p>
    <w:p w:rsidR="00A60069" w:rsidRPr="008A23A2" w:rsidRDefault="00A60069" w:rsidP="00A60069">
      <w:pPr>
        <w:pStyle w:val="NormalHanging12a"/>
        <w:rPr>
          <w:szCs w:val="24"/>
        </w:rPr>
      </w:pPr>
      <w:r w:rsidRPr="008A23A2">
        <w:t>24.</w:t>
      </w:r>
      <w:r w:rsidRPr="008A23A2">
        <w:tab/>
        <w:t>bemærker, at besættelsesgraden for stillingsfortegnelsen var på 86,9 % ved udgangen af 2022; beklager, at besættelsesgraden for stillingsfortegnelsen var lavere end målet for 2022; anerkender manglen på kvalificerede fagfolk; tilskynder EDPS til at se på brugbare strategier til at øge synligheden af sine ledige stillinger; bemærker, at EDPS i 2022 tilrettelagde en ekstern udvælgelsesprocedure i den hensigt at oprette en reserveliste over specialiserede kandidater med henblik på rekrutteringsbehov fra 2022;</w:t>
      </w:r>
    </w:p>
    <w:p w:rsidR="00A60069" w:rsidRPr="008A23A2" w:rsidRDefault="00A60069" w:rsidP="00A60069">
      <w:pPr>
        <w:pStyle w:val="NormalHanging12a"/>
        <w:rPr>
          <w:szCs w:val="24"/>
        </w:rPr>
      </w:pPr>
      <w:r w:rsidRPr="008A23A2">
        <w:t>25.</w:t>
      </w:r>
      <w:r w:rsidRPr="008A23A2">
        <w:tab/>
        <w:t>bemærker, at EDPS under hensyntagen til erfaringerne fra covid-19-pandemien i maj 2022 vedtog en ny afgørelse om arbejdstid og hybridarbejde, ifølge hvilken personalet navnlig kan variere deres arbejdstid i henhold til en flekstidsordning og kan telearbejde op til tre dage om ugen; glæder sig over resultaterne af den personaleundersøgelse, der blev gennemført efter vedtagelsen af denne afgørelse, og som viste, at et flertal af personalet var tilfredse med de nye arbejdsordninger;</w:t>
      </w:r>
    </w:p>
    <w:p w:rsidR="00A60069" w:rsidRPr="008A23A2" w:rsidRDefault="00A60069" w:rsidP="00A60069">
      <w:pPr>
        <w:pStyle w:val="NormalHanging12a"/>
        <w:rPr>
          <w:b/>
          <w:i/>
          <w:szCs w:val="24"/>
        </w:rPr>
      </w:pPr>
      <w:r w:rsidRPr="008A23A2">
        <w:t>26.</w:t>
      </w:r>
      <w:r w:rsidRPr="008A23A2">
        <w:tab/>
        <w:t>lykønsker EDPS med, at 22 nationaliteter var repræsenteret blandt personalet i 2022, hvilket svarer til en forbedring i forhold til 21 i 2021 og er et godt resultat for så lille en institution, i betragtning af at fem nationaliteter var overrepræsenterede; opfordrer EDPS til at bestræbe sig på at opnå en mere ligelig geografisk repræsentation blandt alle medlemsstater og til at lægge særlig vægt på at tackle underrepræsentationen af visse lande;</w:t>
      </w:r>
    </w:p>
    <w:p w:rsidR="00A60069" w:rsidRPr="008A23A2" w:rsidRDefault="00A60069" w:rsidP="00A60069">
      <w:pPr>
        <w:pStyle w:val="NormalHanging12a"/>
        <w:rPr>
          <w:szCs w:val="24"/>
        </w:rPr>
      </w:pPr>
      <w:r w:rsidRPr="008A23A2">
        <w:t>27.</w:t>
      </w:r>
      <w:r w:rsidRPr="008A23A2">
        <w:tab/>
        <w:t xml:space="preserve">bemærker, at EDPS i 2022 beskæftigede i alt 64 % kvinder og 36 % mænd, hvilket viser den samme tendens som i de foregående år, hvor fordelingen mellem kvinder og mænd </w:t>
      </w:r>
      <w:r w:rsidRPr="008A23A2">
        <w:lastRenderedPageBreak/>
        <w:t>var på henholdsvis 63 % og 37 %; beklager, at der ikke var nogen kvinder i ledende stillinger i 2022, hvorimod kønsfordelingen blandt de fire mellemledere nåede en balance i løbet af året; opfordrer EDPS til at fortsætte sine bestræbelser på at opnå en ligelig kønsfordeling af personalet;</w:t>
      </w:r>
    </w:p>
    <w:p w:rsidR="00A60069" w:rsidRPr="008A23A2" w:rsidRDefault="00A60069" w:rsidP="00A60069">
      <w:pPr>
        <w:pStyle w:val="NormalHanging12a"/>
        <w:rPr>
          <w:szCs w:val="24"/>
        </w:rPr>
      </w:pPr>
      <w:r w:rsidRPr="008A23A2">
        <w:t>28.</w:t>
      </w:r>
      <w:r w:rsidRPr="008A23A2">
        <w:tab/>
        <w:t xml:space="preserve">bemærker med tilfredshed, at der ikke blev rapporteret om tilfælde af </w:t>
      </w:r>
      <w:proofErr w:type="spellStart"/>
      <w:r w:rsidRPr="008A23A2">
        <w:t>udbrændthed</w:t>
      </w:r>
      <w:proofErr w:type="spellEnd"/>
      <w:r w:rsidRPr="008A23A2">
        <w:t xml:space="preserve"> eller chikane blandt EDPS' personale i 2022; glæder sig over, at EDPS har nedsat en arbejdsgruppe til at drøfte spørgsmål vedrørende fordeling og allokering af arbejde i kølvandet på resultaterne af den halvårlige undersøgelse af personaletilfredshed, der blev gennemført i juni 2022, og som viste, at der var visse af EDPS' ansatte, der mente, at arbejdsbyrden ikke var ligeligt fordelt på tværs af hold og kolleger; anmoder EDPS om at holde dechargemyndigheden underrettet om resultatet af arbejdsgruppens drøftelser og om detaljerne i den handlingsplan, som er under udarbejdelse;</w:t>
      </w:r>
    </w:p>
    <w:p w:rsidR="00A60069" w:rsidRPr="008A23A2" w:rsidRDefault="00A60069" w:rsidP="00A60069">
      <w:pPr>
        <w:pStyle w:val="NormalHanging12a"/>
        <w:rPr>
          <w:szCs w:val="24"/>
        </w:rPr>
      </w:pPr>
      <w:r w:rsidRPr="008A23A2">
        <w:t>29.</w:t>
      </w:r>
      <w:r w:rsidRPr="008A23A2">
        <w:tab/>
        <w:t>glæder sig over EDPS' fortsatte bestræbelser på aktivt at forbedre personalets fysiske og mentale trivsel;</w:t>
      </w:r>
    </w:p>
    <w:p w:rsidR="00A60069" w:rsidRPr="008A23A2" w:rsidRDefault="00A60069" w:rsidP="00A60069">
      <w:pPr>
        <w:pStyle w:val="NormalHanging12a"/>
        <w:rPr>
          <w:szCs w:val="24"/>
        </w:rPr>
      </w:pPr>
      <w:r w:rsidRPr="008A23A2">
        <w:t>30.</w:t>
      </w:r>
      <w:r w:rsidRPr="008A23A2">
        <w:tab/>
        <w:t>bemærker med tilfredshed, at EDPS i 2022 rekrutterede 18 praktikanter, som blev aflønnet og nød godt af de samme arbejdsordninger som resten af personalet;</w:t>
      </w:r>
    </w:p>
    <w:p w:rsidR="00A60069" w:rsidRPr="008A23A2" w:rsidRDefault="00A60069" w:rsidP="00A60069">
      <w:pPr>
        <w:pStyle w:val="NormalHanging12a"/>
        <w:rPr>
          <w:b/>
          <w:i/>
          <w:szCs w:val="24"/>
        </w:rPr>
      </w:pPr>
      <w:r w:rsidRPr="008A23A2">
        <w:rPr>
          <w:b/>
          <w:i/>
        </w:rPr>
        <w:t>Etiske rammer og gennemsigtighed</w:t>
      </w:r>
    </w:p>
    <w:p w:rsidR="00A60069" w:rsidRPr="008A23A2" w:rsidRDefault="00A60069" w:rsidP="00A60069">
      <w:pPr>
        <w:pStyle w:val="NormalHanging12a"/>
        <w:rPr>
          <w:szCs w:val="24"/>
        </w:rPr>
      </w:pPr>
      <w:r w:rsidRPr="008A23A2">
        <w:t>31.</w:t>
      </w:r>
      <w:r w:rsidRPr="008A23A2">
        <w:tab/>
        <w:t>bemærker, at EDPS i 2022 fokuserede sin indsats på at øge personalets bevidsthed om EDPS'/Databeskyttelsesrådets etiske ramme ved at afholde obligatoriske særlige uddannelseskurser for alle ansatte og introduktionskurser for nytilkomne; opfordrer EDPS til fortsat at øge bevidstheden blandt personalet og til at tilrettelægge undersøgelser for at vurdere personalets bevidsthed om EDPS'/Databeskyttelsesrådets etiske ramme;</w:t>
      </w:r>
    </w:p>
    <w:p w:rsidR="00A60069" w:rsidRPr="008A23A2" w:rsidRDefault="00A60069" w:rsidP="00A60069">
      <w:pPr>
        <w:pStyle w:val="NormalHanging12a"/>
        <w:rPr>
          <w:szCs w:val="24"/>
        </w:rPr>
      </w:pPr>
      <w:r w:rsidRPr="008A23A2">
        <w:t>32.</w:t>
      </w:r>
      <w:r w:rsidRPr="008A23A2">
        <w:tab/>
        <w:t>glæder sig over den generelle høje grad af gennemsigtighed, som EDPS har opnået i forbindelse med sine aktiviteter, navnlig med hensyn til offentliggørelsen af dagsordenen og interesseerklæringen fra den Tilsynsførende og EDPS-administrationschefen i overensstemmelse med den Tilsynsførendes adfærdskodeks fra 2019; beklager, at EDPS besluttede at anvende den Tilsynsførendes adfærdskodeks på EDPS-administrationschefen i stedet for at vedtage en særlig adfærdskodeks for den øverste ledelse;</w:t>
      </w:r>
    </w:p>
    <w:p w:rsidR="00A60069" w:rsidRPr="008A23A2" w:rsidRDefault="00A60069" w:rsidP="00A60069">
      <w:pPr>
        <w:pStyle w:val="NormalHanging12a"/>
        <w:rPr>
          <w:szCs w:val="24"/>
        </w:rPr>
      </w:pPr>
      <w:r w:rsidRPr="008A23A2">
        <w:t>33.</w:t>
      </w:r>
      <w:r w:rsidRPr="008A23A2">
        <w:tab/>
        <w:t>bemærker med tilfredshed, at EDPS siden dets oprettelse aldrig har været involveret i undersøgelser foretaget af Det Europæiske Kontor for Bekæmpelse af Svig (OLAF);</w:t>
      </w:r>
    </w:p>
    <w:p w:rsidR="00A60069" w:rsidRPr="008A23A2" w:rsidRDefault="00A60069" w:rsidP="00A60069">
      <w:pPr>
        <w:pStyle w:val="NormalHanging12a"/>
        <w:rPr>
          <w:szCs w:val="24"/>
        </w:rPr>
      </w:pPr>
      <w:r w:rsidRPr="008A23A2">
        <w:t>34.</w:t>
      </w:r>
      <w:r w:rsidRPr="008A23A2">
        <w:tab/>
        <w:t>bemærker med tilfredshed, at to undersøgelser, som Ombudsmanden indledte i 2022 vedrørende EDPS, blev afsluttet, uden at der blev konstateret fejl eller forsømmelser;</w:t>
      </w:r>
    </w:p>
    <w:p w:rsidR="00A60069" w:rsidRPr="008A23A2" w:rsidRDefault="00A60069" w:rsidP="00A60069">
      <w:pPr>
        <w:pStyle w:val="NormalHanging12a"/>
        <w:rPr>
          <w:b/>
          <w:i/>
          <w:szCs w:val="24"/>
        </w:rPr>
      </w:pPr>
      <w:r w:rsidRPr="008A23A2">
        <w:t>35.</w:t>
      </w:r>
      <w:r w:rsidRPr="008A23A2">
        <w:tab/>
        <w:t>beklager, at EDPS stadig ikke formelt har tilsluttet sig åbenhedsregistret; glæder sig ikke desto mindre over tilpasningen af EDPS' gennemsigtighedsregler til principperne i åbenhedsregistret for så vidt angår obligatorisk forudgående kontrol i åbenhedsregistret med henblik på tredjepartsmøder med den Tilsynsførende og EDPS-administrationschefen; fremhæver, at gennemsigtighed i højere grad kan opretholdes ved aktivt at registrere sig i åbenhedsregistret; gentager opfordringerne til EDPS om at tilslutte sig EU's åbenhedsregister;</w:t>
      </w:r>
    </w:p>
    <w:p w:rsidR="00A60069" w:rsidRPr="008A23A2" w:rsidRDefault="00A60069" w:rsidP="00A60069">
      <w:pPr>
        <w:pStyle w:val="NormalHanging12a"/>
        <w:rPr>
          <w:szCs w:val="24"/>
        </w:rPr>
      </w:pPr>
      <w:r w:rsidRPr="008A23A2">
        <w:t>36.</w:t>
      </w:r>
      <w:r w:rsidRPr="008A23A2">
        <w:tab/>
        <w:t xml:space="preserve">bemærker, at EDPS har etableret en ramme for forebyggelse af interessekonflikter på </w:t>
      </w:r>
      <w:r w:rsidRPr="008A23A2">
        <w:lastRenderedPageBreak/>
        <w:t>ledelses- og personaleniveau gennem adfærdskodekser, oplysningskampagner og erklæringer; bemærker med tilfredshed, at der ikke blev indberettet tilfælde af svig i 2022;</w:t>
      </w:r>
    </w:p>
    <w:p w:rsidR="00A60069" w:rsidRPr="008A23A2" w:rsidRDefault="00A60069" w:rsidP="00A60069">
      <w:pPr>
        <w:pStyle w:val="NormalHanging12a"/>
        <w:rPr>
          <w:szCs w:val="24"/>
        </w:rPr>
      </w:pPr>
      <w:r w:rsidRPr="008A23A2">
        <w:t>37.</w:t>
      </w:r>
      <w:r w:rsidRPr="008A23A2">
        <w:tab/>
        <w:t xml:space="preserve">bemærker, at EDPS har interne regler om </w:t>
      </w:r>
      <w:proofErr w:type="spellStart"/>
      <w:r w:rsidRPr="008A23A2">
        <w:t>whistleblowing</w:t>
      </w:r>
      <w:proofErr w:type="spellEnd"/>
      <w:r w:rsidRPr="008A23A2">
        <w:t xml:space="preserve">, hvori der fastlægges sikre ruter og kanaler, som ansatte kan bruge til at rejse bekymringer om svig, korruption eller andre alvorlige forseelser, uden at det berører fortroligheden af </w:t>
      </w:r>
      <w:proofErr w:type="spellStart"/>
      <w:r w:rsidRPr="008A23A2">
        <w:t>whistleblowerens</w:t>
      </w:r>
      <w:proofErr w:type="spellEnd"/>
      <w:r w:rsidRPr="008A23A2">
        <w:t xml:space="preserve"> identitet og de indberettede oplysninger; bemærker, at der ikke blev indberettet nogen tilfælde af </w:t>
      </w:r>
      <w:proofErr w:type="spellStart"/>
      <w:r w:rsidRPr="008A23A2">
        <w:t>whistleblowing</w:t>
      </w:r>
      <w:proofErr w:type="spellEnd"/>
      <w:r w:rsidRPr="008A23A2">
        <w:t xml:space="preserve"> i 2022;</w:t>
      </w:r>
    </w:p>
    <w:p w:rsidR="00A60069" w:rsidRPr="008A23A2" w:rsidRDefault="00A60069" w:rsidP="00A60069">
      <w:pPr>
        <w:pStyle w:val="NormalHanging12a"/>
        <w:rPr>
          <w:b/>
          <w:i/>
          <w:szCs w:val="24"/>
        </w:rPr>
      </w:pPr>
      <w:r w:rsidRPr="008A23A2">
        <w:rPr>
          <w:b/>
          <w:i/>
        </w:rPr>
        <w:t xml:space="preserve">Digitalisering, </w:t>
      </w:r>
      <w:proofErr w:type="spellStart"/>
      <w:r w:rsidRPr="008A23A2">
        <w:rPr>
          <w:b/>
          <w:i/>
        </w:rPr>
        <w:t>cybersikkerhed</w:t>
      </w:r>
      <w:proofErr w:type="spellEnd"/>
      <w:r w:rsidRPr="008A23A2">
        <w:rPr>
          <w:b/>
          <w:i/>
        </w:rPr>
        <w:t xml:space="preserve"> og databeskyttelse</w:t>
      </w:r>
    </w:p>
    <w:p w:rsidR="00A60069" w:rsidRPr="008A23A2" w:rsidRDefault="00A60069" w:rsidP="00A60069">
      <w:pPr>
        <w:pStyle w:val="NormalHanging12a"/>
        <w:rPr>
          <w:szCs w:val="24"/>
        </w:rPr>
      </w:pPr>
      <w:r w:rsidRPr="008A23A2">
        <w:t>38.</w:t>
      </w:r>
      <w:r w:rsidRPr="008A23A2">
        <w:tab/>
        <w:t>bemærker, at budgettet for 2022 til IT-udstyr og -projekter var 21 % højere end i 2021; bemærker, at disse oplysninger skal vurderes på baggrund af, at 2021-budgettet for IT i sig selv var 20 % højere end i 2020-budgettet;</w:t>
      </w:r>
    </w:p>
    <w:p w:rsidR="00A60069" w:rsidRPr="008A23A2" w:rsidRDefault="00A60069" w:rsidP="00A60069">
      <w:pPr>
        <w:pStyle w:val="NormalHanging12a"/>
        <w:rPr>
          <w:szCs w:val="24"/>
        </w:rPr>
      </w:pPr>
      <w:r w:rsidRPr="008A23A2">
        <w:t>39.</w:t>
      </w:r>
      <w:r w:rsidRPr="008A23A2">
        <w:tab/>
        <w:t>bemærker, at EDPS i 2022 undersøgte adskillige EU-institutioners IT-strategier inden for rammerne af en omfattende IT-gennemførlighedsundersøgelse, der dannede grundlag for fastlæggelsen af EDPS' IT-strategi for de kommende år; opfordrer EDPS til at holde dechargemyndigheden underrettet om resultatet af denne analyse og dens indvirkning på ressourcerne;</w:t>
      </w:r>
    </w:p>
    <w:p w:rsidR="00A60069" w:rsidRPr="008A23A2" w:rsidRDefault="00A60069" w:rsidP="00A60069">
      <w:pPr>
        <w:pStyle w:val="NormalHanging12a"/>
        <w:rPr>
          <w:szCs w:val="24"/>
        </w:rPr>
      </w:pPr>
      <w:r w:rsidRPr="008A23A2">
        <w:t>40.</w:t>
      </w:r>
      <w:r w:rsidRPr="008A23A2">
        <w:tab/>
        <w:t>bemærker, at Parlamentet leverer IT-udstyr og -tjenester til EDPS som dennes udbyder af virksomhedstjenester; glæder sig over EDPS' bestræbelser på løbende at forbedre sit digitale arbejdsområde med hensyn til effektivitet og sikkerhed ud over, hvad Parlamentet stiller til rådighed; bemærker, at dette har medført en forbedring af kvaliteten og ydeevnen af de computere, der stilles til rådighed for EDPS' personale i samarbejde med Parlamentet, med henblik på at gøre hybridarbejde mere udbredt;</w:t>
      </w:r>
    </w:p>
    <w:p w:rsidR="00A60069" w:rsidRPr="008A23A2" w:rsidRDefault="00A60069" w:rsidP="00A60069">
      <w:pPr>
        <w:pStyle w:val="NormalHanging12a"/>
        <w:rPr>
          <w:szCs w:val="24"/>
        </w:rPr>
      </w:pPr>
      <w:r w:rsidRPr="008A23A2">
        <w:t>41.</w:t>
      </w:r>
      <w:r w:rsidRPr="008A23A2">
        <w:tab/>
        <w:t xml:space="preserve">anerkender EDPS' ledende rolle, når det kommer til at forbedre EU-institutionernes </w:t>
      </w:r>
      <w:proofErr w:type="spellStart"/>
      <w:r w:rsidRPr="008A23A2">
        <w:t>cybersikkerhedsberedskab</w:t>
      </w:r>
      <w:proofErr w:type="spellEnd"/>
      <w:r w:rsidRPr="008A23A2">
        <w:t xml:space="preserve">; bemærker, at EDPS i 2022 fortsatte med at forbedre sin parathed til at beskytte personoplysninger og følsomme oplysninger mod </w:t>
      </w:r>
      <w:proofErr w:type="spellStart"/>
      <w:r w:rsidRPr="008A23A2">
        <w:t>cyberangreb</w:t>
      </w:r>
      <w:proofErr w:type="spellEnd"/>
      <w:r w:rsidRPr="008A23A2">
        <w:t xml:space="preserve"> i lyset af det hurtigt skiftende trusselsbillede for </w:t>
      </w:r>
      <w:proofErr w:type="spellStart"/>
      <w:r w:rsidRPr="008A23A2">
        <w:t>cybersikkerheden</w:t>
      </w:r>
      <w:proofErr w:type="spellEnd"/>
      <w:r w:rsidRPr="008A23A2">
        <w:t xml:space="preserve">; lykønsker EDPS med i lyset af ikrafttrædelsen af EU's retsakt om </w:t>
      </w:r>
      <w:proofErr w:type="spellStart"/>
      <w:r w:rsidRPr="008A23A2">
        <w:t>cybersikkerhed</w:t>
      </w:r>
      <w:proofErr w:type="spellEnd"/>
      <w:r w:rsidRPr="008A23A2">
        <w:t xml:space="preserve"> at have gennemgået sine sikkerhedspolitikker og -metoder og tilpasset sine kontraktlige krav til </w:t>
      </w:r>
      <w:proofErr w:type="spellStart"/>
      <w:r w:rsidRPr="008A23A2">
        <w:t>cybersikkerhed</w:t>
      </w:r>
      <w:proofErr w:type="spellEnd"/>
      <w:r w:rsidRPr="008A23A2">
        <w:t xml:space="preserve"> i overensstemmelse med CERT-EU's vejledning, hvilket er til gavn for alle institutioner; bemærker, at EDPS ikke blev udsat for </w:t>
      </w:r>
      <w:proofErr w:type="spellStart"/>
      <w:r w:rsidRPr="008A23A2">
        <w:t>cyberangreb</w:t>
      </w:r>
      <w:proofErr w:type="spellEnd"/>
      <w:r w:rsidRPr="008A23A2">
        <w:t xml:space="preserve"> i 2022;</w:t>
      </w:r>
    </w:p>
    <w:p w:rsidR="00A60069" w:rsidRPr="008A23A2" w:rsidRDefault="00A60069" w:rsidP="00A60069">
      <w:pPr>
        <w:pStyle w:val="NormalHanging12a"/>
        <w:rPr>
          <w:szCs w:val="24"/>
        </w:rPr>
      </w:pPr>
      <w:r w:rsidRPr="008A23A2">
        <w:t>42.</w:t>
      </w:r>
      <w:r w:rsidRPr="008A23A2">
        <w:tab/>
        <w:t>bemærker, at EDPS afprøver og udvikler innovative og privatlivsvenlige open source-IT-løsninger; mener, at EDPS bør dele disse erfaringer med de øvrige EU-institutioner;</w:t>
      </w:r>
    </w:p>
    <w:p w:rsidR="00A60069" w:rsidRPr="008A23A2" w:rsidRDefault="00A60069" w:rsidP="00A60069">
      <w:pPr>
        <w:pStyle w:val="NormalHanging12a"/>
        <w:rPr>
          <w:szCs w:val="24"/>
        </w:rPr>
      </w:pPr>
      <w:r w:rsidRPr="008A23A2">
        <w:t>43.</w:t>
      </w:r>
      <w:r w:rsidRPr="008A23A2">
        <w:tab/>
        <w:t xml:space="preserve">glæder sig over </w:t>
      </w:r>
      <w:proofErr w:type="spellStart"/>
      <w:r w:rsidRPr="008A23A2">
        <w:t>EDPS's</w:t>
      </w:r>
      <w:proofErr w:type="spellEnd"/>
      <w:r w:rsidRPr="008A23A2">
        <w:t xml:space="preserve"> opfølgning på </w:t>
      </w:r>
      <w:proofErr w:type="spellStart"/>
      <w:r w:rsidRPr="008A23A2">
        <w:t>Schrems</w:t>
      </w:r>
      <w:proofErr w:type="spellEnd"/>
      <w:r w:rsidRPr="008A23A2">
        <w:t xml:space="preserve"> II-dommen, navnlig med fokus på EU-institutionernes, -kontorernes og -organernes kontrakter med private enheder i 2022, især store IKT-udbydere, og på ordninger mellem EU-institutionerne, -kontorerne og -organerne og offentlige organer uden for EU/EØS eller internationale organisationer;</w:t>
      </w:r>
    </w:p>
    <w:p w:rsidR="00A60069" w:rsidRPr="008A23A2" w:rsidRDefault="00A60069" w:rsidP="00A60069">
      <w:pPr>
        <w:pStyle w:val="NormalHanging12a"/>
        <w:ind w:left="0" w:firstLine="0"/>
        <w:rPr>
          <w:b/>
          <w:i/>
          <w:szCs w:val="24"/>
        </w:rPr>
      </w:pPr>
      <w:r w:rsidRPr="008A23A2">
        <w:rPr>
          <w:b/>
          <w:i/>
        </w:rPr>
        <w:t>Bygninger</w:t>
      </w:r>
    </w:p>
    <w:p w:rsidR="00A60069" w:rsidRPr="008A23A2" w:rsidRDefault="00A60069" w:rsidP="00A60069">
      <w:pPr>
        <w:pStyle w:val="NormalHanging12a"/>
        <w:rPr>
          <w:szCs w:val="24"/>
        </w:rPr>
      </w:pPr>
      <w:r w:rsidRPr="008A23A2">
        <w:t>44.</w:t>
      </w:r>
      <w:r w:rsidRPr="008A23A2">
        <w:tab/>
        <w:t xml:space="preserve">bemærker, at EDPS og Det Europæiske Databeskyttelsesråd i 2022 var de eneste lejere i Parlamentets bygning, hvor de var beliggende, efter Ombudsmandens flytning ved udgangen af 2021; bemærker, at der efter denne flytning var tre etager i bygningen, der blev fuldt ud renoveret for at kunne huse EDPS' og Databeskyttelsesrådets personale og </w:t>
      </w:r>
      <w:r w:rsidRPr="008A23A2">
        <w:lastRenderedPageBreak/>
        <w:t>for at tilpasse lokalerne til de nye arbejdsvilkår, der blev fremherskende i kølvandet på covid-19-pandemien;</w:t>
      </w:r>
    </w:p>
    <w:p w:rsidR="00A60069" w:rsidRPr="008A23A2" w:rsidRDefault="00A60069" w:rsidP="00A60069">
      <w:pPr>
        <w:pStyle w:val="NormalHanging12a"/>
        <w:rPr>
          <w:szCs w:val="24"/>
        </w:rPr>
      </w:pPr>
      <w:r w:rsidRPr="008A23A2">
        <w:t>45.</w:t>
      </w:r>
      <w:r w:rsidRPr="008A23A2">
        <w:tab/>
        <w:t>bemærker, at EDPS for så vidt angår adgang til sin bygning baserer sig på de afgørelser, som Parlamentet har truffet og gennemført som led i sin bygningspolitik; opfordrer EDPS til at slå til lyd for, at der sættes fokus på behovene hos personer med nedsat mobilitet eller handicap, og til at underrette dechargemyndigheden om enhver ny afgørelse, der træffes i den henseende;</w:t>
      </w:r>
    </w:p>
    <w:p w:rsidR="00A60069" w:rsidRPr="008A23A2" w:rsidRDefault="00A60069" w:rsidP="00A60069">
      <w:pPr>
        <w:pStyle w:val="NormalHanging12a"/>
        <w:ind w:left="0" w:firstLine="0"/>
        <w:rPr>
          <w:b/>
          <w:i/>
          <w:szCs w:val="24"/>
        </w:rPr>
      </w:pPr>
      <w:r w:rsidRPr="008A23A2">
        <w:rPr>
          <w:b/>
          <w:i/>
        </w:rPr>
        <w:t>Miljø og bæredygtighed</w:t>
      </w:r>
    </w:p>
    <w:p w:rsidR="00A60069" w:rsidRPr="008A23A2" w:rsidRDefault="00A60069" w:rsidP="00A60069">
      <w:pPr>
        <w:pStyle w:val="NormalHanging12a"/>
        <w:rPr>
          <w:szCs w:val="24"/>
        </w:rPr>
      </w:pPr>
      <w:r w:rsidRPr="008A23A2">
        <w:t>46.</w:t>
      </w:r>
      <w:r w:rsidRPr="008A23A2">
        <w:tab/>
        <w:t>bemærker, at EDPS ikke har tilsluttet sig ordningen for miljøledelse og miljørevision (EMAS), men at den har gennemført adskillige foranstaltninger for at reducere sit miljøaftryk, såsom reduktion af papir som følge af digitaliseringen af HR-processer eller genanvendelse af affald; bemærker, at der med hensyn til miljøinfrastrukturer ikke blev installeret solpaneler i den bygning, som Parlamentet lejede; opfordrer EDPS til at underrette dechargemyndigheden om enhver ny beslutning om at installere solpaneler i sin bygning;</w:t>
      </w:r>
    </w:p>
    <w:p w:rsidR="00A60069" w:rsidRPr="008A23A2" w:rsidRDefault="00A60069" w:rsidP="00A60069">
      <w:pPr>
        <w:pStyle w:val="NormalHanging12a"/>
        <w:rPr>
          <w:szCs w:val="24"/>
        </w:rPr>
      </w:pPr>
      <w:r w:rsidRPr="008A23A2">
        <w:t>47.</w:t>
      </w:r>
      <w:r w:rsidRPr="008A23A2">
        <w:tab/>
        <w:t>glæder sig over, at EDPS fortsat fremmer bæredygtig mobilitet for sine ansatte ved at refundere 50 % af de månedlige/årlige gebyrer for brug af offentlig transport og ved at sørge for, at der i dens garagefaciliteter er tilstrækkelig plads til, at personalet kan stille deres cykler der;</w:t>
      </w:r>
    </w:p>
    <w:p w:rsidR="00A60069" w:rsidRPr="008A23A2" w:rsidRDefault="00A60069" w:rsidP="00A60069">
      <w:pPr>
        <w:pStyle w:val="NormalHanging12a"/>
        <w:rPr>
          <w:b/>
          <w:i/>
          <w:szCs w:val="24"/>
        </w:rPr>
      </w:pPr>
      <w:proofErr w:type="spellStart"/>
      <w:r w:rsidRPr="008A23A2">
        <w:rPr>
          <w:b/>
          <w:i/>
        </w:rPr>
        <w:t>Interinstitutionelt</w:t>
      </w:r>
      <w:proofErr w:type="spellEnd"/>
      <w:r w:rsidRPr="008A23A2">
        <w:rPr>
          <w:b/>
          <w:i/>
        </w:rPr>
        <w:t xml:space="preserve"> samarbejde</w:t>
      </w:r>
    </w:p>
    <w:p w:rsidR="00A60069" w:rsidRPr="008A23A2" w:rsidRDefault="00A60069" w:rsidP="00A60069">
      <w:pPr>
        <w:pStyle w:val="NormalHanging12a"/>
        <w:rPr>
          <w:szCs w:val="24"/>
        </w:rPr>
      </w:pPr>
      <w:r w:rsidRPr="008A23A2">
        <w:t>48.</w:t>
      </w:r>
      <w:r w:rsidRPr="008A23A2">
        <w:tab/>
        <w:t xml:space="preserve">glæder sig over de budgetmæssige og administrative besparelser, der er opnået gennem </w:t>
      </w:r>
      <w:proofErr w:type="spellStart"/>
      <w:r w:rsidRPr="008A23A2">
        <w:t>interinstitutionelt</w:t>
      </w:r>
      <w:proofErr w:type="spellEnd"/>
      <w:r w:rsidRPr="008A23A2">
        <w:t xml:space="preserve"> samarbejde, navnlig indgåelsen af serviceleveranceaftaler med Parlamentet om leje af dets lokaler og anvendelsen af dets IT-systemapplikationer, hardwareforsyninger og vedligeholdelse samt med Kommissionen for så vidt angår IKT-tjenester;</w:t>
      </w:r>
    </w:p>
    <w:p w:rsidR="00A60069" w:rsidRPr="008A23A2" w:rsidRDefault="00A60069" w:rsidP="00A60069">
      <w:pPr>
        <w:pStyle w:val="NormalHanging12a"/>
        <w:rPr>
          <w:szCs w:val="24"/>
        </w:rPr>
      </w:pPr>
      <w:r w:rsidRPr="008A23A2">
        <w:t>49.</w:t>
      </w:r>
      <w:r w:rsidRPr="008A23A2">
        <w:tab/>
        <w:t>bemærker, at EDPS arbejder tæt sammen, omend uformelt, med OLAF, EPPO og Revisionsretten, som den rådgiver om specifikke projekter og spørgsmål som supplement til sin tilsynsrolle; glæder sig navnlig over den regelmæssige dialog med EPPO som en nyoprettet institution i 2022; glæder sig over, at EDPS har et mere struktureret samarbejde med Ombudsmanden i kraft af et aftalememorandum, der har til formål at fastlægge ordningerne for deres samarbejde inden for klagebehandling;</w:t>
      </w:r>
    </w:p>
    <w:p w:rsidR="00A60069" w:rsidRPr="008A23A2" w:rsidRDefault="00A60069" w:rsidP="00A60069">
      <w:pPr>
        <w:pStyle w:val="NormalHanging12a"/>
        <w:rPr>
          <w:szCs w:val="24"/>
        </w:rPr>
      </w:pPr>
      <w:r w:rsidRPr="008A23A2">
        <w:t>50.</w:t>
      </w:r>
      <w:r w:rsidRPr="008A23A2">
        <w:tab/>
        <w:t xml:space="preserve">bemærker, at det </w:t>
      </w:r>
      <w:proofErr w:type="spellStart"/>
      <w:r w:rsidRPr="008A23A2">
        <w:t>interinstitutionelle</w:t>
      </w:r>
      <w:proofErr w:type="spellEnd"/>
      <w:r w:rsidRPr="008A23A2">
        <w:t xml:space="preserve"> samarbejde med EDPS i dennes tilsynsrolle er afgørende for, at de andre EU-institutioner bedre kan overholde den retlige ramme for databeskyttelse; lykønsker EDPS med at have taget føringen for så vidt angår tildelingen af en </w:t>
      </w:r>
      <w:proofErr w:type="spellStart"/>
      <w:r w:rsidRPr="008A23A2">
        <w:t>interinstitutionel</w:t>
      </w:r>
      <w:proofErr w:type="spellEnd"/>
      <w:r w:rsidRPr="008A23A2">
        <w:t xml:space="preserve"> kontrakt om levering af </w:t>
      </w:r>
      <w:proofErr w:type="spellStart"/>
      <w:r w:rsidRPr="008A23A2">
        <w:t>Nextcloud</w:t>
      </w:r>
      <w:proofErr w:type="spellEnd"/>
      <w:r w:rsidRPr="008A23A2">
        <w:t>-tjenester til de underskrivende EU-institutioner;</w:t>
      </w:r>
    </w:p>
    <w:p w:rsidR="00A60069" w:rsidRPr="008A23A2" w:rsidRDefault="00A60069" w:rsidP="00A60069">
      <w:pPr>
        <w:pStyle w:val="NormalHanging12a"/>
        <w:rPr>
          <w:szCs w:val="24"/>
        </w:rPr>
      </w:pPr>
      <w:r w:rsidRPr="008A23A2">
        <w:t>51.</w:t>
      </w:r>
      <w:r w:rsidRPr="008A23A2">
        <w:tab/>
        <w:t xml:space="preserve">glæder sig over den centrale rolle, som EDPS spillede i 2022 i forbindelse med koordineringen af databeskyttelsesmyndighederne i de medlemsstater, der er repræsenteret i Det Europæiske Databeskyttelsesråd, med henblik på at fremme konsekvent databeskyttelse i hele Unionen; bemærker, at EDPS i 2022 deltog i Det Europæiske Databeskyttelsesråds koordinerede håndhævelsesforanstaltning vedrørende brugen af </w:t>
      </w:r>
      <w:proofErr w:type="spellStart"/>
      <w:r w:rsidRPr="008A23A2">
        <w:t>cloudtjenester</w:t>
      </w:r>
      <w:proofErr w:type="spellEnd"/>
      <w:r w:rsidRPr="008A23A2">
        <w:t xml:space="preserve"> i Unionen, hvis formål var at udveksle viden og god praksis </w:t>
      </w:r>
      <w:r w:rsidRPr="008A23A2">
        <w:lastRenderedPageBreak/>
        <w:t>mellem EDPS, EU-institutioner og databeskyttelsesmyndigheder;</w:t>
      </w:r>
    </w:p>
    <w:p w:rsidR="00A60069" w:rsidRPr="008A23A2" w:rsidRDefault="00A60069" w:rsidP="00A60069">
      <w:pPr>
        <w:pStyle w:val="NormalHanging12a"/>
        <w:rPr>
          <w:b/>
          <w:i/>
          <w:szCs w:val="24"/>
        </w:rPr>
      </w:pPr>
      <w:r w:rsidRPr="008A23A2">
        <w:rPr>
          <w:b/>
          <w:i/>
        </w:rPr>
        <w:t>Kommunikation</w:t>
      </w:r>
    </w:p>
    <w:p w:rsidR="00A60069" w:rsidRPr="008A23A2" w:rsidRDefault="00A60069" w:rsidP="00A60069">
      <w:pPr>
        <w:pStyle w:val="NormalHanging12a"/>
        <w:rPr>
          <w:szCs w:val="24"/>
        </w:rPr>
      </w:pPr>
      <w:r w:rsidRPr="008A23A2">
        <w:t>52.</w:t>
      </w:r>
      <w:r w:rsidRPr="008A23A2">
        <w:tab/>
        <w:t>bemærker, at budgettet for offentlige kommunikations- og PR-aktiviteter i 2022 beløb sig til 304 665 EUR, hvilket udgjorde en stigning på 19 % i forhold til 2021; glæder sig over den omfattende kommunikationsstrategi, der har til formål at øge bevidstheden om dens rolle og om betydningen af at overholde Unionens databeskyttelsesregler, og som er rettet mod EU's institutioner, EU's databeskyttelseseksperter og den brede offentlighed;</w:t>
      </w:r>
    </w:p>
    <w:p w:rsidR="00A60069" w:rsidRPr="008A23A2" w:rsidRDefault="00A60069" w:rsidP="00A60069">
      <w:pPr>
        <w:pStyle w:val="NormalHanging12a"/>
        <w:rPr>
          <w:szCs w:val="24"/>
        </w:rPr>
      </w:pPr>
      <w:r w:rsidRPr="008A23A2">
        <w:t>53.</w:t>
      </w:r>
      <w:r w:rsidRPr="008A23A2">
        <w:tab/>
        <w:t>bemærker med tilfredshed, at EDPS i 2022 afholdt adskillige hybride kommunikationsarrangementer, navnlig en større international konference om fremtiden for databeskyttelse og om effektiv håndhævelse i den digitale verden med over 2000 deltagere, såvel fysisk som på afstand;</w:t>
      </w:r>
    </w:p>
    <w:p w:rsidR="00A60069" w:rsidRPr="008A23A2" w:rsidRDefault="00A60069" w:rsidP="00A60069">
      <w:pPr>
        <w:pStyle w:val="NormalHanging12a"/>
        <w:rPr>
          <w:szCs w:val="24"/>
        </w:rPr>
      </w:pPr>
      <w:r w:rsidRPr="008A23A2">
        <w:t>54.</w:t>
      </w:r>
      <w:r w:rsidRPr="008A23A2">
        <w:tab/>
        <w:t>bemærker, at EDPS kommunikerer online gennem sit websted og sine konti på de sociale medier X (det tidligere Twitter) (29 100 følgere), LinkedIn (63 000 følgere), YouTube (275 000 følgere), EU-Voice (5 100 følgere) og EU-Video (690 følgere); bemærker, at EDPS iværksatte adskillige kampagner på de sociale medier i 2022, der var rettet mod at fremme særlige initiativer, eller som var gennemført i partnerskab med andre EU-institutioner med henblik på at styrke opsøgende arbejde og holde sit publikum velinformeret om sine aktiviteter;</w:t>
      </w:r>
    </w:p>
    <w:p w:rsidR="00A60069" w:rsidRPr="008A23A2" w:rsidRDefault="00A60069" w:rsidP="00A60069">
      <w:pPr>
        <w:pStyle w:val="NormalHanging12a"/>
        <w:rPr>
          <w:szCs w:val="24"/>
        </w:rPr>
      </w:pPr>
      <w:r w:rsidRPr="008A23A2">
        <w:t>55.</w:t>
      </w:r>
      <w:r w:rsidRPr="008A23A2">
        <w:tab/>
        <w:t>anerkender EDPS' ledende rolle, når det kommer til at afprøve og fremme sociale mediekanaler, der bidrager til Unionens strategi for data og digital suverænitet i overensstemmelse med den retlige ramme for databeskyttelse;</w:t>
      </w:r>
    </w:p>
    <w:p w:rsidR="00E365E1" w:rsidRPr="008A23A2" w:rsidRDefault="00A60069" w:rsidP="00435955">
      <w:pPr>
        <w:ind w:left="567" w:hanging="567"/>
      </w:pPr>
      <w:r w:rsidRPr="008A23A2">
        <w:t>56.</w:t>
      </w:r>
      <w:r w:rsidRPr="008A23A2">
        <w:tab/>
        <w:t xml:space="preserve">gentager sin støtte til EDPS' bestræbelser på at overvåge og forklare den brede offentlighed den nye teknologiske udvikling og deres potentielle indvirkning på databeskyttelse og privatlivets fred gennem f.eks. </w:t>
      </w:r>
      <w:proofErr w:type="spellStart"/>
      <w:r w:rsidRPr="008A23A2">
        <w:t>TechDispatch</w:t>
      </w:r>
      <w:proofErr w:type="spellEnd"/>
      <w:r w:rsidRPr="008A23A2">
        <w:t xml:space="preserve"> og </w:t>
      </w:r>
      <w:proofErr w:type="spellStart"/>
      <w:r w:rsidRPr="008A23A2">
        <w:t>TechSonar</w:t>
      </w:r>
      <w:proofErr w:type="spellEnd"/>
      <w:r w:rsidRPr="008A23A2">
        <w:t>-rapporterne; opfordrer endvidere EDPS til at øge sin kapacitet inden for teknologiovervågning og iværksætte oplysningskampagner om sine resultater og henstillinger.</w:t>
      </w:r>
      <w:bookmarkStart w:id="8" w:name="TextBodyEnd"/>
      <w:bookmarkEnd w:id="8"/>
    </w:p>
    <w:sectPr w:rsidR="00E365E1" w:rsidRPr="008A23A2" w:rsidSect="008A23A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C8F" w:rsidRPr="008A23A2" w:rsidRDefault="00B20C8F">
      <w:r w:rsidRPr="008A23A2">
        <w:separator/>
      </w:r>
    </w:p>
  </w:endnote>
  <w:endnote w:type="continuationSeparator" w:id="0">
    <w:p w:rsidR="00B20C8F" w:rsidRPr="008A23A2" w:rsidRDefault="00B20C8F">
      <w:r w:rsidRPr="008A23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069" w:rsidRPr="008A23A2" w:rsidRDefault="00A60069" w:rsidP="00E856E8">
    <w:pPr>
      <w:pStyle w:val="EPFooter"/>
    </w:pPr>
    <w:r w:rsidRPr="008A23A2">
      <w:t>PE</w:t>
    </w:r>
    <w:r w:rsidRPr="008A23A2">
      <w:rPr>
        <w:rStyle w:val="HideTWBExt"/>
      </w:rPr>
      <w:t>&lt;NoPE&gt;</w:t>
    </w:r>
    <w:r w:rsidRPr="008A23A2">
      <w:t>753.487</w:t>
    </w:r>
    <w:r w:rsidRPr="008A23A2">
      <w:rPr>
        <w:rStyle w:val="HideTWBExt"/>
      </w:rPr>
      <w:t>&lt;/NoPE&gt;&lt;Version&gt;</w:t>
    </w:r>
    <w:r w:rsidRPr="008A23A2">
      <w:t>v02-00</w:t>
    </w:r>
    <w:r w:rsidRPr="008A23A2">
      <w:rPr>
        <w:rStyle w:val="HideTWBExt"/>
      </w:rPr>
      <w:t>&lt;/Version&gt;</w:t>
    </w:r>
    <w:r w:rsidRPr="008A23A2">
      <w:tab/>
    </w:r>
    <w:r w:rsidRPr="008A23A2">
      <w:fldChar w:fldCharType="begin"/>
    </w:r>
    <w:r w:rsidRPr="008A23A2">
      <w:instrText xml:space="preserve"> PAGE  \* MERGEFORMAT </w:instrText>
    </w:r>
    <w:r w:rsidRPr="008A23A2">
      <w:fldChar w:fldCharType="separate"/>
    </w:r>
    <w:r w:rsidR="008A23A2" w:rsidRPr="008A23A2">
      <w:rPr>
        <w:noProof/>
      </w:rPr>
      <w:t>2</w:t>
    </w:r>
    <w:r w:rsidRPr="008A23A2">
      <w:fldChar w:fldCharType="end"/>
    </w:r>
    <w:r w:rsidRPr="008A23A2">
      <w:t>/</w:t>
    </w:r>
    <w:r w:rsidR="00DC0D2B">
      <w:fldChar w:fldCharType="begin"/>
    </w:r>
    <w:r w:rsidR="00DC0D2B">
      <w:instrText xml:space="preserve"> NUMPAGES  \* MERGEFORMAT </w:instrText>
    </w:r>
    <w:r w:rsidR="00DC0D2B">
      <w:fldChar w:fldCharType="separate"/>
    </w:r>
    <w:r w:rsidR="008A23A2" w:rsidRPr="008A23A2">
      <w:rPr>
        <w:noProof/>
      </w:rPr>
      <w:t>4</w:t>
    </w:r>
    <w:r w:rsidR="00DC0D2B">
      <w:rPr>
        <w:noProof/>
      </w:rPr>
      <w:fldChar w:fldCharType="end"/>
    </w:r>
    <w:r w:rsidRPr="008A23A2">
      <w:tab/>
    </w:r>
    <w:r w:rsidRPr="008A23A2">
      <w:rPr>
        <w:rStyle w:val="HideTWBExt"/>
      </w:rPr>
      <w:t>&lt;PathFdR&gt;</w:t>
    </w:r>
    <w:r w:rsidRPr="008A23A2">
      <w:t>RR\1298695DA.docx</w:t>
    </w:r>
    <w:r w:rsidRPr="008A23A2">
      <w:rPr>
        <w:rStyle w:val="HideTWBExt"/>
      </w:rPr>
      <w:t>&lt;/PathFdR&gt;</w:t>
    </w:r>
  </w:p>
  <w:p w:rsidR="00A60069" w:rsidRPr="008A23A2" w:rsidRDefault="00A60069" w:rsidP="00E856E8">
    <w:pPr>
      <w:pStyle w:val="EPFooter2"/>
    </w:pPr>
    <w:r w:rsidRPr="008A23A2">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069" w:rsidRPr="008A23A2" w:rsidRDefault="00A60069" w:rsidP="00E856E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069" w:rsidRPr="008A23A2" w:rsidRDefault="00A60069" w:rsidP="00E856E8">
    <w:pPr>
      <w:pStyle w:val="EPFooter"/>
    </w:pPr>
    <w:r w:rsidRPr="008A23A2">
      <w:rPr>
        <w:rStyle w:val="HideTWBExt"/>
      </w:rPr>
      <w:t>&lt;PathFdR&gt;</w:t>
    </w:r>
    <w:r w:rsidRPr="008A23A2">
      <w:t>RR\1298695DA.docx</w:t>
    </w:r>
    <w:r w:rsidRPr="008A23A2">
      <w:rPr>
        <w:rStyle w:val="HideTWBExt"/>
      </w:rPr>
      <w:t>&lt;/PathFdR&gt;</w:t>
    </w:r>
    <w:r w:rsidRPr="008A23A2">
      <w:tab/>
    </w:r>
    <w:r w:rsidRPr="008A23A2">
      <w:tab/>
      <w:t>PE</w:t>
    </w:r>
    <w:r w:rsidRPr="008A23A2">
      <w:rPr>
        <w:rStyle w:val="HideTWBExt"/>
      </w:rPr>
      <w:t>&lt;NoPE&gt;</w:t>
    </w:r>
    <w:r w:rsidRPr="008A23A2">
      <w:t>753.487</w:t>
    </w:r>
    <w:r w:rsidRPr="008A23A2">
      <w:rPr>
        <w:rStyle w:val="HideTWBExt"/>
      </w:rPr>
      <w:t>&lt;/NoPE&gt;&lt;Version&gt;</w:t>
    </w:r>
    <w:r w:rsidRPr="008A23A2">
      <w:t>v02-00</w:t>
    </w:r>
    <w:r w:rsidRPr="008A23A2">
      <w:rPr>
        <w:rStyle w:val="HideTWBExt"/>
      </w:rPr>
      <w:t>&lt;/Version&gt;</w:t>
    </w:r>
  </w:p>
  <w:p w:rsidR="00A60069" w:rsidRPr="008A23A2" w:rsidRDefault="00A60069" w:rsidP="00E856E8">
    <w:pPr>
      <w:pStyle w:val="EPFooter2"/>
    </w:pPr>
    <w:r w:rsidRPr="008A23A2">
      <w:t>DA</w:t>
    </w:r>
    <w:r w:rsidRPr="008A23A2">
      <w:tab/>
    </w:r>
    <w:r w:rsidRPr="008A23A2">
      <w:rPr>
        <w:b w:val="0"/>
        <w:i/>
        <w:color w:val="C0C0C0"/>
        <w:sz w:val="22"/>
      </w:rPr>
      <w:t>Forenet i mangfoldighed</w:t>
    </w:r>
    <w:r w:rsidRPr="008A23A2">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A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A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C8F" w:rsidRPr="008A23A2" w:rsidRDefault="00B20C8F">
      <w:r w:rsidRPr="008A23A2">
        <w:separator/>
      </w:r>
    </w:p>
  </w:footnote>
  <w:footnote w:type="continuationSeparator" w:id="0">
    <w:p w:rsidR="00B20C8F" w:rsidRPr="008A23A2" w:rsidRDefault="00B20C8F">
      <w:r w:rsidRPr="008A23A2">
        <w:continuationSeparator/>
      </w:r>
    </w:p>
  </w:footnote>
  <w:footnote w:id="1">
    <w:p w:rsidR="00A60069" w:rsidRPr="008A23A2" w:rsidRDefault="00A60069" w:rsidP="008A23A2">
      <w:pPr>
        <w:pStyle w:val="FootnoteText"/>
        <w:ind w:left="567" w:hanging="567"/>
        <w:rPr>
          <w:sz w:val="24"/>
          <w:lang w:val="da-DK"/>
        </w:rPr>
      </w:pPr>
      <w:r w:rsidRPr="008A23A2">
        <w:rPr>
          <w:rStyle w:val="FootnoteReference"/>
          <w:sz w:val="24"/>
          <w:lang w:val="da-DK"/>
        </w:rPr>
        <w:footnoteRef/>
      </w:r>
      <w:r w:rsidR="008A23A2" w:rsidRPr="008A23A2">
        <w:rPr>
          <w:sz w:val="24"/>
          <w:lang w:val="da-DK"/>
        </w:rPr>
        <w:t xml:space="preserve"> </w:t>
      </w:r>
      <w:r w:rsidR="008A23A2" w:rsidRPr="008A23A2">
        <w:rPr>
          <w:sz w:val="24"/>
          <w:lang w:val="da-DK"/>
        </w:rPr>
        <w:tab/>
      </w:r>
      <w:r w:rsidRPr="008A23A2">
        <w:rPr>
          <w:sz w:val="24"/>
          <w:lang w:val="da-DK"/>
        </w:rPr>
        <w:t>EUT L 45 af 24.2.2022.</w:t>
      </w:r>
    </w:p>
  </w:footnote>
  <w:footnote w:id="2">
    <w:p w:rsidR="00A60069" w:rsidRPr="008A23A2" w:rsidRDefault="00A60069" w:rsidP="008A23A2">
      <w:pPr>
        <w:pStyle w:val="FootnoteText"/>
        <w:ind w:left="567" w:hanging="567"/>
        <w:rPr>
          <w:sz w:val="24"/>
          <w:lang w:val="da-DK"/>
        </w:rPr>
      </w:pPr>
      <w:r w:rsidRPr="008A23A2">
        <w:rPr>
          <w:rStyle w:val="FootnoteReference"/>
          <w:sz w:val="24"/>
          <w:lang w:val="da-DK"/>
        </w:rPr>
        <w:footnoteRef/>
      </w:r>
      <w:r w:rsidR="008A23A2" w:rsidRPr="008A23A2">
        <w:rPr>
          <w:sz w:val="24"/>
          <w:lang w:val="da-DK"/>
        </w:rPr>
        <w:t xml:space="preserve"> </w:t>
      </w:r>
      <w:r w:rsidR="008A23A2" w:rsidRPr="008A23A2">
        <w:rPr>
          <w:sz w:val="24"/>
          <w:lang w:val="da-DK"/>
        </w:rPr>
        <w:tab/>
      </w:r>
      <w:r w:rsidRPr="008A23A2">
        <w:rPr>
          <w:sz w:val="24"/>
          <w:lang w:val="da-DK"/>
        </w:rPr>
        <w:t>EUT C, C/2023/2 af 12.10.2023.</w:t>
      </w:r>
    </w:p>
  </w:footnote>
  <w:footnote w:id="3">
    <w:p w:rsidR="00A60069" w:rsidRPr="008A23A2" w:rsidRDefault="00A60069" w:rsidP="008A23A2">
      <w:pPr>
        <w:pStyle w:val="FootnoteText"/>
        <w:ind w:left="567" w:hanging="567"/>
        <w:rPr>
          <w:sz w:val="24"/>
          <w:lang w:val="da-DK"/>
        </w:rPr>
      </w:pPr>
      <w:r w:rsidRPr="008A23A2">
        <w:rPr>
          <w:rStyle w:val="FootnoteReference"/>
          <w:sz w:val="24"/>
          <w:lang w:val="da-DK"/>
        </w:rPr>
        <w:footnoteRef/>
      </w:r>
      <w:r w:rsidR="008A23A2" w:rsidRPr="008A23A2">
        <w:rPr>
          <w:sz w:val="24"/>
          <w:lang w:val="da-DK"/>
        </w:rPr>
        <w:t xml:space="preserve"> </w:t>
      </w:r>
      <w:r w:rsidR="008A23A2" w:rsidRPr="008A23A2">
        <w:rPr>
          <w:sz w:val="24"/>
          <w:lang w:val="da-DK"/>
        </w:rPr>
        <w:tab/>
      </w:r>
      <w:r w:rsidRPr="008A23A2">
        <w:rPr>
          <w:sz w:val="24"/>
          <w:lang w:val="da-DK"/>
        </w:rPr>
        <w:t>EUT C, C/2023/103 af 4.10.2023.</w:t>
      </w:r>
    </w:p>
  </w:footnote>
  <w:footnote w:id="4">
    <w:p w:rsidR="00A60069" w:rsidRPr="008A23A2" w:rsidRDefault="00A60069" w:rsidP="008A23A2">
      <w:pPr>
        <w:pStyle w:val="FootnoteText"/>
        <w:ind w:left="567" w:hanging="567"/>
        <w:rPr>
          <w:sz w:val="24"/>
          <w:lang w:val="da-DK"/>
        </w:rPr>
      </w:pPr>
      <w:r w:rsidRPr="008A23A2">
        <w:rPr>
          <w:rStyle w:val="FootnoteReference"/>
          <w:sz w:val="24"/>
          <w:lang w:val="da-DK"/>
        </w:rPr>
        <w:footnoteRef/>
      </w:r>
      <w:r w:rsidR="008A23A2" w:rsidRPr="008A23A2">
        <w:rPr>
          <w:sz w:val="24"/>
          <w:lang w:val="da-DK"/>
        </w:rPr>
        <w:t xml:space="preserve"> </w:t>
      </w:r>
      <w:r w:rsidR="008A23A2" w:rsidRPr="008A23A2">
        <w:rPr>
          <w:sz w:val="24"/>
          <w:lang w:val="da-DK"/>
        </w:rPr>
        <w:tab/>
      </w:r>
      <w:r w:rsidRPr="008A23A2">
        <w:rPr>
          <w:sz w:val="24"/>
          <w:lang w:val="da-DK"/>
        </w:rPr>
        <w:t>EUT C, C/2023/112 af 12.10.2023.</w:t>
      </w:r>
    </w:p>
  </w:footnote>
  <w:footnote w:id="5">
    <w:p w:rsidR="00A60069" w:rsidRPr="008A23A2" w:rsidRDefault="00A60069" w:rsidP="008A23A2">
      <w:pPr>
        <w:pStyle w:val="FootnoteText"/>
        <w:ind w:left="567" w:hanging="567"/>
        <w:rPr>
          <w:sz w:val="24"/>
          <w:szCs w:val="24"/>
          <w:lang w:val="da-DK"/>
        </w:rPr>
      </w:pPr>
      <w:r w:rsidRPr="008A23A2">
        <w:rPr>
          <w:rStyle w:val="FootnoteReference"/>
          <w:sz w:val="24"/>
          <w:lang w:val="da-DK"/>
        </w:rPr>
        <w:footnoteRef/>
      </w:r>
      <w:r w:rsidR="008A23A2" w:rsidRPr="008A23A2">
        <w:rPr>
          <w:sz w:val="24"/>
          <w:lang w:val="da-DK"/>
        </w:rPr>
        <w:t xml:space="preserve"> </w:t>
      </w:r>
      <w:r w:rsidR="008A23A2" w:rsidRPr="008A23A2">
        <w:rPr>
          <w:sz w:val="24"/>
          <w:lang w:val="da-DK"/>
        </w:rPr>
        <w:tab/>
      </w:r>
      <w:r w:rsidRPr="008A23A2">
        <w:rPr>
          <w:sz w:val="24"/>
          <w:lang w:val="da-DK"/>
        </w:rPr>
        <w:t>EUT L 193 af 30.7.2018, s. 1.</w:t>
      </w:r>
    </w:p>
  </w:footnote>
  <w:footnote w:id="6">
    <w:p w:rsidR="00A60069" w:rsidRPr="008A23A2" w:rsidRDefault="00A60069" w:rsidP="008A23A2">
      <w:pPr>
        <w:pStyle w:val="FootnoteText"/>
        <w:ind w:left="567" w:hanging="567"/>
        <w:rPr>
          <w:sz w:val="24"/>
          <w:lang w:val="da-DK"/>
        </w:rPr>
      </w:pPr>
      <w:r w:rsidRPr="008A23A2">
        <w:rPr>
          <w:rStyle w:val="FootnoteReference"/>
          <w:sz w:val="24"/>
          <w:lang w:val="da-DK"/>
        </w:rPr>
        <w:footnoteRef/>
      </w:r>
      <w:r w:rsidR="008A23A2" w:rsidRPr="008A23A2">
        <w:rPr>
          <w:sz w:val="24"/>
          <w:lang w:val="da-DK"/>
        </w:rPr>
        <w:t xml:space="preserve"> </w:t>
      </w:r>
      <w:r w:rsidR="008A23A2" w:rsidRPr="008A23A2">
        <w:rPr>
          <w:sz w:val="24"/>
          <w:lang w:val="da-DK"/>
        </w:rPr>
        <w:tab/>
      </w:r>
      <w:r w:rsidRPr="008A23A2">
        <w:rPr>
          <w:sz w:val="24"/>
          <w:lang w:val="da-DK"/>
        </w:rPr>
        <w:t xml:space="preserve">Europa-Parlamentets og Rådets forordning (EU) 2022/991 af 8. juni 2022 om ændring af forordning (EU) 2016/794 for så vidt angår Europols samarbejde med private parter, Europols behandling af personoplysninger til støtte for strafferetlige efterforskninger og Europols rolle inden for forskning og innovation </w:t>
      </w:r>
      <w:r w:rsidR="00E62FCF">
        <w:rPr>
          <w:sz w:val="24"/>
          <w:lang w:val="da-DK"/>
        </w:rPr>
        <w:t>(</w:t>
      </w:r>
      <w:r w:rsidRPr="008A23A2">
        <w:rPr>
          <w:sz w:val="24"/>
          <w:lang w:val="da-DK"/>
        </w:rPr>
        <w:t>EUT L 169 af 27.6.2022, s. 1</w:t>
      </w:r>
      <w:r w:rsidR="00E62FCF">
        <w:rPr>
          <w:sz w:val="24"/>
          <w:lang w:val="da-DK"/>
        </w:rPr>
        <w:t>)</w:t>
      </w:r>
      <w:r w:rsidRPr="008A23A2">
        <w:rPr>
          <w:sz w:val="24"/>
          <w:lang w:val="da-DK"/>
        </w:rPr>
        <w:t>.</w:t>
      </w:r>
    </w:p>
  </w:footnote>
  <w:footnote w:id="7">
    <w:p w:rsidR="00A60069" w:rsidRPr="008A23A2" w:rsidRDefault="00A60069" w:rsidP="008A23A2">
      <w:pPr>
        <w:pStyle w:val="FootnoteText"/>
        <w:ind w:left="567" w:hanging="567"/>
        <w:rPr>
          <w:sz w:val="24"/>
          <w:lang w:val="da-DK"/>
        </w:rPr>
      </w:pPr>
      <w:r w:rsidRPr="008A23A2">
        <w:rPr>
          <w:rStyle w:val="FootnoteReference"/>
          <w:sz w:val="24"/>
          <w:lang w:val="da-DK"/>
        </w:rPr>
        <w:footnoteRef/>
      </w:r>
      <w:r w:rsidR="008A23A2" w:rsidRPr="008A23A2">
        <w:rPr>
          <w:sz w:val="24"/>
          <w:lang w:val="da-DK"/>
        </w:rPr>
        <w:t xml:space="preserve"> </w:t>
      </w:r>
      <w:r w:rsidR="008A23A2" w:rsidRPr="008A23A2">
        <w:rPr>
          <w:sz w:val="24"/>
          <w:lang w:val="da-DK"/>
        </w:rPr>
        <w:tab/>
      </w:r>
      <w:r w:rsidRPr="008A23A2">
        <w:rPr>
          <w:sz w:val="24"/>
          <w:lang w:val="da-DK"/>
        </w:rPr>
        <w:t xml:space="preserve">Europa-Parlamentets og Rådets forordning (EU) 2016/794 af 11. maj 2016 om Den Europæiske Unions Agentur for Retshåndhævelsessamarbejde (Europol) og om erstatning og ophævelse af Rådets afgørelse 2009/371/RIA, 2009/934/RIA, 2009/935/RIA, 2009/936/RIA og 2009/968/RIA </w:t>
      </w:r>
      <w:r w:rsidR="00E62FCF">
        <w:rPr>
          <w:sz w:val="24"/>
          <w:lang w:val="da-DK"/>
        </w:rPr>
        <w:t>(</w:t>
      </w:r>
      <w:r w:rsidRPr="008A23A2">
        <w:rPr>
          <w:sz w:val="24"/>
          <w:lang w:val="da-DK"/>
        </w:rPr>
        <w:t>EUT L 135 af 24.5.2016, s. 53</w:t>
      </w:r>
      <w:r w:rsidR="00E62FCF">
        <w:rPr>
          <w:sz w:val="24"/>
          <w:lang w:val="da-DK"/>
        </w:rPr>
        <w:t>)</w:t>
      </w:r>
      <w:r w:rsidRPr="008A23A2">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069" w:rsidRPr="008A23A2" w:rsidRDefault="00A600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069" w:rsidRPr="008A23A2" w:rsidRDefault="00A600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069" w:rsidRPr="008A23A2" w:rsidRDefault="00A600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A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A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3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DA"/>
    <w:docVar w:name="dvnumam" w:val="0"/>
    <w:docVar w:name="dvpe" w:val="753.487"/>
    <w:docVar w:name="dvrapporteur" w:val="Ordfører: "/>
    <w:docVar w:name="dvtitre" w:val="Europa-Parlamentets afgørelse af xx.xx 2024 om decharge for gennemførelsen af Den Europæiske Unions almindelige budget for regnskabsåret 2022, Sektion IX – Den Europæiske Tilsynsførende for Databeskyttelse(2023/2138(DEC))"/>
  </w:docVars>
  <w:rsids>
    <w:rsidRoot w:val="00B20C8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595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D86"/>
    <w:rsid w:val="00887B3E"/>
    <w:rsid w:val="008A23A2"/>
    <w:rsid w:val="008C2AC6"/>
    <w:rsid w:val="00907C3C"/>
    <w:rsid w:val="00930C23"/>
    <w:rsid w:val="0093193B"/>
    <w:rsid w:val="009509D8"/>
    <w:rsid w:val="00950B64"/>
    <w:rsid w:val="00981893"/>
    <w:rsid w:val="00A14C5E"/>
    <w:rsid w:val="00A1687D"/>
    <w:rsid w:val="00A43E52"/>
    <w:rsid w:val="00A4678D"/>
    <w:rsid w:val="00A60069"/>
    <w:rsid w:val="00A778C7"/>
    <w:rsid w:val="00AB441E"/>
    <w:rsid w:val="00AB6293"/>
    <w:rsid w:val="00AE0928"/>
    <w:rsid w:val="00AF3B82"/>
    <w:rsid w:val="00B12E95"/>
    <w:rsid w:val="00B20C8F"/>
    <w:rsid w:val="00B22876"/>
    <w:rsid w:val="00B558F0"/>
    <w:rsid w:val="00BD48FE"/>
    <w:rsid w:val="00BD7BD8"/>
    <w:rsid w:val="00BE6ADC"/>
    <w:rsid w:val="00C05BFE"/>
    <w:rsid w:val="00C23CD4"/>
    <w:rsid w:val="00C61C0C"/>
    <w:rsid w:val="00C941CB"/>
    <w:rsid w:val="00CA46D8"/>
    <w:rsid w:val="00CC2357"/>
    <w:rsid w:val="00CF071A"/>
    <w:rsid w:val="00D058B8"/>
    <w:rsid w:val="00D56C11"/>
    <w:rsid w:val="00D834A0"/>
    <w:rsid w:val="00D872DF"/>
    <w:rsid w:val="00D91E21"/>
    <w:rsid w:val="00DA7FCD"/>
    <w:rsid w:val="00DC0D2B"/>
    <w:rsid w:val="00E365E1"/>
    <w:rsid w:val="00E62FC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F8C32"/>
  <w15:chartTrackingRefBased/>
  <w15:docId w15:val="{F9290E0D-21B6-4515-8297-457A31A38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6006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60069"/>
    <w:pPr>
      <w:spacing w:before="480" w:after="240"/>
    </w:pPr>
  </w:style>
  <w:style w:type="paragraph" w:customStyle="1" w:styleId="PageHeading">
    <w:name w:val="PageHeading"/>
    <w:basedOn w:val="Normal"/>
    <w:rsid w:val="00A60069"/>
    <w:pPr>
      <w:keepNext/>
      <w:spacing w:after="480"/>
      <w:jc w:val="center"/>
    </w:pPr>
    <w:rPr>
      <w:rFonts w:ascii="Arial" w:hAnsi="Arial" w:cs="Arial"/>
      <w:b/>
    </w:rPr>
  </w:style>
  <w:style w:type="paragraph" w:customStyle="1" w:styleId="NormalBold">
    <w:name w:val="NormalBold"/>
    <w:basedOn w:val="Normal"/>
    <w:rsid w:val="00A60069"/>
    <w:rPr>
      <w:b/>
    </w:rPr>
  </w:style>
  <w:style w:type="paragraph" w:customStyle="1" w:styleId="NormalHanging12a">
    <w:name w:val="NormalHanging12a"/>
    <w:basedOn w:val="Normal"/>
    <w:link w:val="NormalHanging12aChar"/>
    <w:qFormat/>
    <w:rsid w:val="00A60069"/>
    <w:pPr>
      <w:spacing w:after="240"/>
      <w:ind w:left="567" w:hanging="567"/>
    </w:pPr>
  </w:style>
  <w:style w:type="paragraph" w:styleId="Header">
    <w:name w:val="header"/>
    <w:basedOn w:val="Normal"/>
    <w:link w:val="HeaderChar"/>
    <w:rsid w:val="00A60069"/>
    <w:pPr>
      <w:tabs>
        <w:tab w:val="center" w:pos="4513"/>
        <w:tab w:val="right" w:pos="9026"/>
      </w:tabs>
    </w:pPr>
  </w:style>
  <w:style w:type="character" w:customStyle="1" w:styleId="HeaderChar">
    <w:name w:val="Header Char"/>
    <w:basedOn w:val="DefaultParagraphFont"/>
    <w:link w:val="Header"/>
    <w:rsid w:val="00A60069"/>
    <w:rPr>
      <w:sz w:val="24"/>
      <w:lang w:val="da-DK"/>
    </w:rPr>
  </w:style>
  <w:style w:type="paragraph" w:customStyle="1" w:styleId="EPFooter">
    <w:name w:val="EPFooter"/>
    <w:basedOn w:val="Normal"/>
    <w:rsid w:val="00A6006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6006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D3082-193C-4595-9615-AC8FF4E2D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4238</Words>
  <Characters>25951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Karina Pesa</cp:lastModifiedBy>
  <cp:revision>3</cp:revision>
  <cp:lastPrinted>2004-11-19T15:42:00Z</cp:lastPrinted>
  <dcterms:created xsi:type="dcterms:W3CDTF">2024-04-11T10:51:00Z</dcterms:created>
  <dcterms:modified xsi:type="dcterms:W3CDTF">2024-10-30T19:12:00Z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A9-0086/2024</vt:lpwstr>
  </property>
  <property fmtid="{D5CDD505-2E9C-101B-9397-08002B2CF9AE}" pid="4" name="&lt;Type&gt;">
    <vt:lpwstr>RR</vt:lpwstr>
  </property>
</Properties>
</file>