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17EC" w:rsidTr="0010095E">
        <w:trPr>
          <w:trHeight w:hRule="exact" w:val="1418"/>
        </w:trPr>
        <w:tc>
          <w:tcPr>
            <w:tcW w:w="6804" w:type="dxa"/>
            <w:shd w:val="clear" w:color="auto" w:fill="auto"/>
            <w:vAlign w:val="center"/>
          </w:tcPr>
          <w:p w:rsidR="00751A4A" w:rsidRPr="005C17EC" w:rsidRDefault="00062159" w:rsidP="0010095E">
            <w:pPr>
              <w:pStyle w:val="EPName"/>
            </w:pPr>
            <w:r w:rsidRPr="005C17EC">
              <w:t>Euroopan parlamentti</w:t>
            </w:r>
          </w:p>
          <w:p w:rsidR="00751A4A" w:rsidRPr="005C17EC" w:rsidRDefault="00817416" w:rsidP="00756632">
            <w:pPr>
              <w:pStyle w:val="EPTerm"/>
              <w:rPr>
                <w:rStyle w:val="HideTWBExt"/>
                <w:noProof w:val="0"/>
                <w:vanish w:val="0"/>
                <w:color w:val="auto"/>
              </w:rPr>
            </w:pPr>
            <w:r w:rsidRPr="005C17EC">
              <w:t>2019-2024</w:t>
            </w:r>
          </w:p>
        </w:tc>
        <w:tc>
          <w:tcPr>
            <w:tcW w:w="2268" w:type="dxa"/>
            <w:shd w:val="clear" w:color="auto" w:fill="auto"/>
          </w:tcPr>
          <w:p w:rsidR="00751A4A" w:rsidRPr="005C17EC" w:rsidRDefault="00187494" w:rsidP="0010095E">
            <w:pPr>
              <w:pStyle w:val="EPLogo"/>
            </w:pPr>
            <w:r w:rsidRPr="005C17E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C17EC" w:rsidRDefault="00D058B8" w:rsidP="004C5D52">
      <w:pPr>
        <w:pStyle w:val="LineTop"/>
      </w:pPr>
    </w:p>
    <w:p w:rsidR="00680577" w:rsidRPr="005C17EC" w:rsidRDefault="00062159" w:rsidP="00680577">
      <w:pPr>
        <w:pStyle w:val="EPBodyTA1"/>
      </w:pPr>
      <w:r w:rsidRPr="005C17EC">
        <w:t>HYVÄKSYTYT TEKSTIT</w:t>
      </w:r>
    </w:p>
    <w:p w:rsidR="00D058B8" w:rsidRPr="005C17EC" w:rsidRDefault="00D058B8" w:rsidP="00D058B8">
      <w:pPr>
        <w:pStyle w:val="LineBottom"/>
      </w:pPr>
    </w:p>
    <w:p w:rsidR="00062159" w:rsidRPr="005C17EC" w:rsidRDefault="00062159" w:rsidP="00062159">
      <w:pPr>
        <w:pStyle w:val="ATHeading1"/>
      </w:pPr>
      <w:bookmarkStart w:id="0" w:name="TANumber"/>
      <w:r w:rsidRPr="005C17EC">
        <w:t>P9_</w:t>
      </w:r>
      <w:proofErr w:type="gramStart"/>
      <w:r w:rsidRPr="005C17EC">
        <w:t>TA(</w:t>
      </w:r>
      <w:proofErr w:type="gramEnd"/>
      <w:r w:rsidRPr="005C17EC">
        <w:t>2024)0</w:t>
      </w:r>
      <w:r w:rsidR="00E86703">
        <w:t>235</w:t>
      </w:r>
      <w:bookmarkEnd w:id="0"/>
    </w:p>
    <w:p w:rsidR="00062159" w:rsidRPr="005C17EC" w:rsidRDefault="00062159" w:rsidP="00062159">
      <w:pPr>
        <w:pStyle w:val="ATHeading2"/>
      </w:pPr>
      <w:bookmarkStart w:id="1" w:name="title"/>
      <w:r w:rsidRPr="005C17EC">
        <w:t>Vastuuvapaus 2022: EU:n yleinen talousarvio – Euroopan tietosuojavaltuutettu</w:t>
      </w:r>
      <w:bookmarkEnd w:id="1"/>
    </w:p>
    <w:p w:rsidR="00062159" w:rsidRPr="005C17EC" w:rsidRDefault="00062159" w:rsidP="00062159">
      <w:pPr>
        <w:rPr>
          <w:i/>
          <w:vanish/>
        </w:rPr>
      </w:pPr>
      <w:r w:rsidRPr="005C17EC">
        <w:rPr>
          <w:i/>
        </w:rPr>
        <w:fldChar w:fldCharType="begin"/>
      </w:r>
      <w:r w:rsidRPr="005C17EC">
        <w:rPr>
          <w:i/>
        </w:rPr>
        <w:instrText xml:space="preserve"> TC"(</w:instrText>
      </w:r>
      <w:bookmarkStart w:id="2" w:name="DocNumber"/>
      <w:r w:rsidRPr="005C17EC">
        <w:rPr>
          <w:i/>
        </w:rPr>
        <w:instrText>A9-0086/2024</w:instrText>
      </w:r>
      <w:bookmarkEnd w:id="2"/>
      <w:r w:rsidRPr="005C17EC">
        <w:rPr>
          <w:i/>
        </w:rPr>
        <w:instrText xml:space="preserve"> - Esittelijä: Luke Ming </w:instrText>
      </w:r>
      <w:proofErr w:type="spellStart"/>
      <w:r w:rsidRPr="005C17EC">
        <w:rPr>
          <w:i/>
        </w:rPr>
        <w:instrText>Flanagan</w:instrText>
      </w:r>
      <w:proofErr w:type="spellEnd"/>
      <w:r w:rsidRPr="005C17EC">
        <w:rPr>
          <w:i/>
        </w:rPr>
        <w:instrText xml:space="preserve">)"\l3 \n&gt; \* MERGEFORMAT </w:instrText>
      </w:r>
      <w:r w:rsidRPr="005C17EC">
        <w:rPr>
          <w:i/>
        </w:rPr>
        <w:fldChar w:fldCharType="end"/>
      </w:r>
    </w:p>
    <w:p w:rsidR="00062159" w:rsidRPr="005C17EC" w:rsidRDefault="00062159" w:rsidP="00062159">
      <w:pPr>
        <w:rPr>
          <w:vanish/>
        </w:rPr>
      </w:pPr>
      <w:bookmarkStart w:id="3" w:name="Commission"/>
      <w:r w:rsidRPr="005C17EC">
        <w:rPr>
          <w:vanish/>
        </w:rPr>
        <w:t>Talousarvion valvontavaliokunta</w:t>
      </w:r>
      <w:bookmarkEnd w:id="3"/>
    </w:p>
    <w:p w:rsidR="00062159" w:rsidRPr="005C17EC" w:rsidRDefault="00062159" w:rsidP="00062159">
      <w:pPr>
        <w:rPr>
          <w:vanish/>
        </w:rPr>
      </w:pPr>
      <w:bookmarkStart w:id="4" w:name="PE"/>
      <w:r w:rsidRPr="005C17EC">
        <w:rPr>
          <w:vanish/>
        </w:rPr>
        <w:t>PE753.487</w:t>
      </w:r>
      <w:bookmarkEnd w:id="4"/>
    </w:p>
    <w:p w:rsidR="00062159" w:rsidRPr="005C17EC" w:rsidRDefault="00062159" w:rsidP="00513E65">
      <w:pPr>
        <w:pStyle w:val="ATHeading3"/>
      </w:pPr>
      <w:bookmarkStart w:id="5" w:name="Sujet"/>
      <w:r w:rsidRPr="005C17EC">
        <w:t>1. Euroopan parlamentin päätös 11. huhtikuuta 2024 vastuuvapauden myöntämisestä Euroopan unionin yleisen talousarvion toteuttamisesta varainhoitovuonna 2022, pääluokka IX – Euroopan tietosuojavaltuutettu</w:t>
      </w:r>
      <w:bookmarkEnd w:id="5"/>
      <w:r w:rsidRPr="005C17EC">
        <w:t xml:space="preserve"> </w:t>
      </w:r>
      <w:bookmarkStart w:id="6" w:name="References"/>
      <w:r w:rsidRPr="005C17EC">
        <w:t>(2023/2138(DEC))</w:t>
      </w:r>
      <w:bookmarkEnd w:id="6"/>
    </w:p>
    <w:p w:rsidR="00E54062" w:rsidRPr="005C17EC" w:rsidRDefault="00E54062" w:rsidP="00E54062">
      <w:pPr>
        <w:pStyle w:val="EPComma"/>
        <w:widowControl/>
      </w:pPr>
      <w:bookmarkStart w:id="7" w:name="TextBodyBegin"/>
      <w:bookmarkEnd w:id="7"/>
      <w:r w:rsidRPr="005C17EC">
        <w:rPr>
          <w:i/>
          <w:iCs/>
        </w:rPr>
        <w:t>Euroopan parlamentti</w:t>
      </w:r>
      <w:r w:rsidRPr="005C17EC">
        <w:t>, joka</w:t>
      </w:r>
      <w:bookmarkStart w:id="8" w:name="_GoBack"/>
      <w:bookmarkEnd w:id="8"/>
    </w:p>
    <w:p w:rsidR="00E54062" w:rsidRPr="005C17EC" w:rsidRDefault="00E54062" w:rsidP="00E54062">
      <w:pPr>
        <w:pStyle w:val="NormalHanging12a"/>
        <w:widowControl/>
      </w:pPr>
      <w:r w:rsidRPr="005C17EC">
        <w:t>–</w:t>
      </w:r>
      <w:r w:rsidRPr="005C17EC">
        <w:tab/>
        <w:t>ottaa huomioon Euroopan unionin yleisen talousarvion varainhoitovuodeksi 2022</w:t>
      </w:r>
      <w:r w:rsidRPr="005C17EC">
        <w:rPr>
          <w:rStyle w:val="FootnoteReference"/>
        </w:rPr>
        <w:footnoteReference w:id="1"/>
      </w:r>
      <w:r w:rsidRPr="005C17EC">
        <w:t>,</w:t>
      </w:r>
    </w:p>
    <w:p w:rsidR="00E54062" w:rsidRPr="005C17EC" w:rsidRDefault="00E54062" w:rsidP="00E54062">
      <w:pPr>
        <w:pStyle w:val="NormalHanging12a"/>
        <w:widowControl/>
      </w:pPr>
      <w:r w:rsidRPr="005C17EC">
        <w:t>–</w:t>
      </w:r>
      <w:r w:rsidRPr="005C17EC">
        <w:tab/>
        <w:t xml:space="preserve">ottaa huomioon Euroopan unionin </w:t>
      </w:r>
      <w:proofErr w:type="spellStart"/>
      <w:r w:rsidRPr="005C17EC">
        <w:t>konsolidoidun</w:t>
      </w:r>
      <w:proofErr w:type="spellEnd"/>
      <w:r w:rsidRPr="005C17EC">
        <w:t xml:space="preserve"> tilinpäätöksen varainhoitovuodelta 2022 (COM(2023)0391 – C9</w:t>
      </w:r>
      <w:r w:rsidRPr="005C17EC">
        <w:noBreakHyphen/>
        <w:t>0257/2023)</w:t>
      </w:r>
      <w:r w:rsidRPr="005C17EC">
        <w:rPr>
          <w:rStyle w:val="FootnoteReference"/>
        </w:rPr>
        <w:footnoteReference w:id="2"/>
      </w:r>
      <w:r w:rsidRPr="005C17EC">
        <w:t>,</w:t>
      </w:r>
    </w:p>
    <w:p w:rsidR="00E54062" w:rsidRPr="005C17EC" w:rsidRDefault="00E54062" w:rsidP="00E54062">
      <w:pPr>
        <w:pStyle w:val="NormalHanging12a"/>
        <w:widowControl/>
      </w:pPr>
      <w:r w:rsidRPr="005C17EC">
        <w:t>–</w:t>
      </w:r>
      <w:r w:rsidRPr="005C17EC">
        <w:tab/>
        <w:t>ottaa huomioon Euroopan tietosuojavaltuutetun vuosikertomuksen varainhoitovuodelta 2022,</w:t>
      </w:r>
    </w:p>
    <w:p w:rsidR="00E54062" w:rsidRPr="005C17EC" w:rsidRDefault="00E54062" w:rsidP="00E54062">
      <w:pPr>
        <w:pStyle w:val="NormalHanging12a"/>
        <w:widowControl/>
      </w:pPr>
      <w:r w:rsidRPr="005C17EC">
        <w:t>–</w:t>
      </w:r>
      <w:r w:rsidRPr="005C17EC">
        <w:tab/>
        <w:t>ottaa huomioon tilintarkastustuomioistuimen vuosikertomuksen talousarvion toteuttamisesta varainhoitovuonna 2022 sekä toimielinten vastaukset</w:t>
      </w:r>
      <w:r w:rsidRPr="005C17EC">
        <w:rPr>
          <w:rStyle w:val="FootnoteReference"/>
        </w:rPr>
        <w:footnoteReference w:id="3"/>
      </w:r>
      <w:r w:rsidRPr="005C17EC">
        <w:t>,</w:t>
      </w:r>
    </w:p>
    <w:p w:rsidR="00E54062" w:rsidRPr="005C17EC" w:rsidRDefault="00E54062" w:rsidP="00E54062">
      <w:pPr>
        <w:pStyle w:val="NormalHanging12a"/>
        <w:widowControl/>
      </w:pPr>
      <w:r w:rsidRPr="005C17EC">
        <w:t>–</w:t>
      </w:r>
      <w:r w:rsidRPr="005C17EC">
        <w:tab/>
        <w:t>ottaa huomioon tilintarkastustuomioistuimen Euroopan unionin toiminnasta tehdyn sopimuksen 287 artiklan mukaisesti antaman varainhoitovuotta 2022 koskevan lausuman</w:t>
      </w:r>
      <w:r w:rsidRPr="005C17EC">
        <w:rPr>
          <w:rStyle w:val="FootnoteReference"/>
        </w:rPr>
        <w:footnoteReference w:id="4"/>
      </w:r>
      <w:r w:rsidRPr="005C17EC">
        <w:t xml:space="preserve"> tilien luotettavuudesta sekä tilien perustana olevien toimien laillisuudesta ja asianmukaisuudesta (sääntöjenmukaisuudesta),</w:t>
      </w:r>
    </w:p>
    <w:p w:rsidR="00E54062" w:rsidRPr="005C17EC" w:rsidRDefault="00E54062" w:rsidP="00E54062">
      <w:pPr>
        <w:pStyle w:val="NormalHanging12a"/>
        <w:widowControl/>
      </w:pPr>
      <w:r w:rsidRPr="005C17EC">
        <w:t>–</w:t>
      </w:r>
      <w:r w:rsidRPr="005C17EC">
        <w:tab/>
        <w:t>ottaa huomioon Euroopan unionin toiminnasta tehdyn sopimuksen 314 artiklan 10 kohdan sekä 317, 318 ja 319 artiklan,</w:t>
      </w:r>
    </w:p>
    <w:p w:rsidR="00E54062" w:rsidRPr="005C17EC" w:rsidRDefault="00E54062" w:rsidP="00E54062">
      <w:pPr>
        <w:pStyle w:val="NormalHanging12a"/>
        <w:widowControl/>
      </w:pPr>
      <w:r w:rsidRPr="005C17EC">
        <w:t>–</w:t>
      </w:r>
      <w:r w:rsidRPr="005C17EC">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w:t>
      </w:r>
      <w:r w:rsidRPr="005C17EC">
        <w:lastRenderedPageBreak/>
        <w:t>parlamentin ja neuvoston asetuksen (EU, Euratom) 2018/1046</w:t>
      </w:r>
      <w:r w:rsidRPr="005C17EC">
        <w:rPr>
          <w:rStyle w:val="FootnoteReference"/>
        </w:rPr>
        <w:footnoteReference w:id="5"/>
      </w:r>
      <w:r w:rsidRPr="005C17EC">
        <w:t xml:space="preserve"> ja erityisesti sen 59, 118, 260, 261 ja 262 artiklan,</w:t>
      </w:r>
    </w:p>
    <w:p w:rsidR="00E54062" w:rsidRPr="005C17EC" w:rsidRDefault="00E54062" w:rsidP="00E54062">
      <w:pPr>
        <w:pStyle w:val="NormalHanging12a"/>
        <w:widowControl/>
      </w:pPr>
      <w:r w:rsidRPr="005C17EC">
        <w:t>–</w:t>
      </w:r>
      <w:r w:rsidRPr="005C17EC">
        <w:tab/>
      </w:r>
      <w:r w:rsidRPr="005C17EC">
        <w:rPr>
          <w:snapToGrid w:val="0"/>
        </w:rPr>
        <w:t xml:space="preserve">ottaa huomioon luonnollisten henkilöiden suojelusta unionin toimielinten, elinten ja laitosten suorittamassa henkilötietojen käsittelyssä ja näiden tietojen vapaasta liikkuvuudesta sekä asetuksen (EY) </w:t>
      </w:r>
      <w:proofErr w:type="gramStart"/>
      <w:r w:rsidRPr="005C17EC">
        <w:rPr>
          <w:snapToGrid w:val="0"/>
        </w:rPr>
        <w:t>N:o</w:t>
      </w:r>
      <w:proofErr w:type="gramEnd"/>
      <w:r w:rsidRPr="005C17EC">
        <w:rPr>
          <w:snapToGrid w:val="0"/>
        </w:rPr>
        <w:t xml:space="preserve"> 45/2001 ja päätöksen N:o 1247/2002/EY kumoamisesta 23. lokakuuta 2018 annetun Euroopan parlamentin ja neuvoston asetuksen (EU) 2018/1725 ja erityisesti sen 54 artiklan,</w:t>
      </w:r>
    </w:p>
    <w:p w:rsidR="00E54062" w:rsidRPr="005C17EC" w:rsidRDefault="00E54062" w:rsidP="00E54062">
      <w:pPr>
        <w:pStyle w:val="NormalHanging12a"/>
        <w:widowControl/>
      </w:pPr>
      <w:r w:rsidRPr="005C17EC">
        <w:t>–</w:t>
      </w:r>
      <w:r w:rsidRPr="005C17EC">
        <w:tab/>
        <w:t>ottaa huomioon työjärjestyksen 100 artiklan ja liitteen V,</w:t>
      </w:r>
    </w:p>
    <w:p w:rsidR="00E54062" w:rsidRPr="005C17EC" w:rsidRDefault="00E54062" w:rsidP="00E54062">
      <w:pPr>
        <w:pStyle w:val="NormalHanging12a"/>
        <w:widowControl/>
      </w:pPr>
      <w:r w:rsidRPr="005C17EC">
        <w:t>–</w:t>
      </w:r>
      <w:r w:rsidRPr="005C17EC">
        <w:tab/>
        <w:t>ottaa huomioon kansalaisvapauksien sekä oikeus- ja sisäasioiden valiokunnan lausunnon,</w:t>
      </w:r>
    </w:p>
    <w:p w:rsidR="00E54062" w:rsidRPr="005C17EC" w:rsidRDefault="00E54062" w:rsidP="00E54062">
      <w:pPr>
        <w:pStyle w:val="NormalHanging12a"/>
        <w:widowControl/>
      </w:pPr>
      <w:r w:rsidRPr="005C17EC">
        <w:t>–</w:t>
      </w:r>
      <w:r w:rsidRPr="005C17EC">
        <w:tab/>
        <w:t>ottaa huomioon talousarvion valvontavaliokunnan mietinnön (A9-0086/2024),</w:t>
      </w:r>
    </w:p>
    <w:p w:rsidR="00E54062" w:rsidRPr="005C17EC" w:rsidRDefault="00E54062" w:rsidP="00E54062">
      <w:pPr>
        <w:pStyle w:val="NormalHanging12a"/>
        <w:widowControl/>
      </w:pPr>
      <w:r w:rsidRPr="005C17EC">
        <w:t>1.</w:t>
      </w:r>
      <w:r w:rsidRPr="005C17EC">
        <w:tab/>
        <w:t>myöntää Euroopan tietosuojavaltuutetulle vastuuvapauden tietosuojavaltuutetun talousarvion toteuttamisesta varainhoitovuonna 2022;</w:t>
      </w:r>
    </w:p>
    <w:p w:rsidR="00E54062" w:rsidRPr="005C17EC" w:rsidRDefault="00E54062" w:rsidP="00E54062">
      <w:pPr>
        <w:pStyle w:val="NormalHanging12a"/>
        <w:widowControl/>
      </w:pPr>
      <w:r w:rsidRPr="005C17EC">
        <w:t>2.</w:t>
      </w:r>
      <w:r w:rsidRPr="005C17EC">
        <w:tab/>
        <w:t>esittää huomautuksensa oheisessa päätöslauselmassa;</w:t>
      </w:r>
    </w:p>
    <w:p w:rsidR="00E54062" w:rsidRPr="005C17EC" w:rsidRDefault="00E54062" w:rsidP="00E54062">
      <w:pPr>
        <w:pStyle w:val="NormalHanging12a"/>
        <w:widowControl/>
      </w:pPr>
      <w:r w:rsidRPr="005C17EC">
        <w:t>3.</w:t>
      </w:r>
      <w:r w:rsidRPr="005C17EC">
        <w:tab/>
        <w:t xml:space="preserve">kehottaa puhemiestä välittämään tämän päätöksen ja siihen erottamattomasti kuuluvan päätöslauselman Euroopan tietosuojavaltuutetulle, Eurooppa-neuvostolle, neuvostolle, komissiolle, tilintarkastustuomioistuimelle, Euroopan unionin tuomioistuimelle, Euroopan oikeusasiamiehelle ja Euroopan ulkosuhdehallinnolle sekä huolehtimaan niiden julkaisemisesta </w:t>
      </w:r>
      <w:r w:rsidRPr="005C17EC">
        <w:rPr>
          <w:i/>
        </w:rPr>
        <w:t>Euroopan unionin virallisessa lehdessä</w:t>
      </w:r>
      <w:r w:rsidRPr="005C17EC">
        <w:t xml:space="preserve"> (L-sarja).</w:t>
      </w:r>
    </w:p>
    <w:p w:rsidR="00E54062" w:rsidRPr="005C17EC" w:rsidRDefault="00E54062" w:rsidP="00E54062">
      <w:pPr>
        <w:widowControl/>
      </w:pPr>
    </w:p>
    <w:p w:rsidR="00E54062" w:rsidRPr="005C17EC" w:rsidRDefault="00E54062" w:rsidP="00E54062">
      <w:pPr>
        <w:pStyle w:val="PageHeading"/>
        <w:widowControl/>
        <w:sectPr w:rsidR="00E54062" w:rsidRPr="005C17EC" w:rsidSect="005C17EC">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54062" w:rsidRPr="005C17EC" w:rsidRDefault="00E54062" w:rsidP="00E54062">
      <w:pPr>
        <w:pStyle w:val="NormalBold"/>
        <w:widowControl/>
      </w:pPr>
      <w:bookmarkStart w:id="9" w:name="_Toc161403492"/>
      <w:r w:rsidRPr="005C17EC">
        <w:lastRenderedPageBreak/>
        <w:t xml:space="preserve">2. </w:t>
      </w:r>
      <w:bookmarkEnd w:id="9"/>
      <w:r w:rsidR="00513E65" w:rsidRPr="005C17EC">
        <w:t>Euroopan parlamentin päätöslauselma 11. huhtikuuta 2024</w:t>
      </w:r>
      <w:r w:rsidR="00513E65">
        <w:t xml:space="preserve">, </w:t>
      </w:r>
      <w:r w:rsidRPr="005C17EC">
        <w:t>joka sisältää huomautukset, jotka ovat erottamaton osa päätöstä vastuuvapauden myöntämisestä Euroopan unionin yleisen talousarvion toteuttamisesta varainhoitovuonna 2022, pääluokka IX – Euroopan tietosuojavaltuutettu</w:t>
      </w:r>
      <w:r w:rsidR="00513E65">
        <w:t xml:space="preserve"> </w:t>
      </w:r>
      <w:r w:rsidRPr="005C17EC">
        <w:t>(2023/2138(DEC))</w:t>
      </w:r>
    </w:p>
    <w:p w:rsidR="00E54062" w:rsidRPr="005C17EC" w:rsidRDefault="00E54062" w:rsidP="00E54062">
      <w:pPr>
        <w:pStyle w:val="EPComma"/>
        <w:widowControl/>
      </w:pPr>
      <w:r w:rsidRPr="005C17EC">
        <w:rPr>
          <w:i/>
          <w:iCs/>
        </w:rPr>
        <w:t>Euroopan parlamentti</w:t>
      </w:r>
      <w:r w:rsidRPr="005C17EC">
        <w:t>, joka</w:t>
      </w:r>
    </w:p>
    <w:p w:rsidR="00E54062" w:rsidRPr="005C17EC" w:rsidRDefault="00E54062" w:rsidP="00E54062">
      <w:pPr>
        <w:pStyle w:val="NormalHanging12a"/>
        <w:widowControl/>
        <w:rPr>
          <w:szCs w:val="24"/>
        </w:rPr>
      </w:pPr>
      <w:r w:rsidRPr="005C17EC">
        <w:t>–</w:t>
      </w:r>
      <w:r w:rsidRPr="005C17EC">
        <w:tab/>
        <w:t>ottaa huomioon päätöksensä vastuuvapauden myöntämisestä Euroopan unionin yleisen talousarvion toteuttamisesta varainhoitovuonna 2022, pääluokka IX – Euroopan tietosuojavaltuutettu,</w:t>
      </w:r>
    </w:p>
    <w:p w:rsidR="00E54062" w:rsidRPr="005C17EC" w:rsidRDefault="00E54062" w:rsidP="00E54062">
      <w:pPr>
        <w:pStyle w:val="NormalHanging12a"/>
        <w:widowControl/>
        <w:rPr>
          <w:szCs w:val="24"/>
        </w:rPr>
      </w:pPr>
      <w:r w:rsidRPr="005C17EC">
        <w:t>–</w:t>
      </w:r>
      <w:r w:rsidRPr="005C17EC">
        <w:tab/>
        <w:t>ottaa huomioon työjärjestyksen 100 artiklan ja liitteen V,</w:t>
      </w:r>
    </w:p>
    <w:p w:rsidR="00E54062" w:rsidRPr="005C17EC" w:rsidRDefault="00E54062" w:rsidP="00E54062">
      <w:pPr>
        <w:pStyle w:val="NormalHanging12a"/>
        <w:widowControl/>
        <w:rPr>
          <w:szCs w:val="24"/>
        </w:rPr>
      </w:pPr>
      <w:r w:rsidRPr="005C17EC">
        <w:t>–</w:t>
      </w:r>
      <w:r w:rsidRPr="005C17EC">
        <w:tab/>
        <w:t>ottaa huomioon kansalaisvapauksien sekä oikeus- ja sisäasioiden valiokunnan lausunnon,</w:t>
      </w:r>
    </w:p>
    <w:p w:rsidR="00E54062" w:rsidRPr="005C17EC" w:rsidRDefault="00E54062" w:rsidP="00E54062">
      <w:pPr>
        <w:pStyle w:val="NormalHanging12a"/>
        <w:widowControl/>
        <w:rPr>
          <w:szCs w:val="24"/>
        </w:rPr>
      </w:pPr>
      <w:r w:rsidRPr="005C17EC">
        <w:t>–</w:t>
      </w:r>
      <w:r w:rsidRPr="005C17EC">
        <w:tab/>
        <w:t>ottaa huomioon talousarvion valvontavaliokunnan mietinnön (A9-0086/2024),</w:t>
      </w:r>
    </w:p>
    <w:p w:rsidR="00E54062" w:rsidRPr="005C17EC" w:rsidRDefault="00E54062" w:rsidP="00E54062">
      <w:pPr>
        <w:pStyle w:val="NormalHanging12a"/>
        <w:widowControl/>
        <w:rPr>
          <w:szCs w:val="24"/>
        </w:rPr>
      </w:pPr>
      <w:r w:rsidRPr="005C17EC">
        <w:t>A.</w:t>
      </w:r>
      <w:r w:rsidRPr="005C17EC">
        <w:tab/>
        <w:t>haluaa korostaa vastuuvapauden myöntävänä viranomaisena vastuuvapausmenettelyn yhteydessä, että unionin toimielinten demokraattista legitimiteettiä on erityisen tärkeää vahvistaa edelleen lisäämällä avoimuutta ja vastuuvelvollisuutta sekä soveltamalla tulosbudjetoinnin käsitettä ja noudattamalla henkilöresursseja koskevaa hyvää hallintotapaa;</w:t>
      </w:r>
    </w:p>
    <w:p w:rsidR="00E54062" w:rsidRPr="005C17EC" w:rsidRDefault="00E54062" w:rsidP="00E54062">
      <w:pPr>
        <w:pStyle w:val="NormalHanging12a"/>
        <w:widowControl/>
        <w:rPr>
          <w:szCs w:val="24"/>
        </w:rPr>
      </w:pPr>
      <w:r w:rsidRPr="005C17EC">
        <w:t>B.</w:t>
      </w:r>
      <w:r w:rsidRPr="005C17EC">
        <w:tab/>
        <w:t>ottaa huomioon, että tietosuoja on unionin oikeuden suojaama perusoikeus ja että se vahvistetaan Euroopan unionin perusoikeuskirjan 8 artiklassa;</w:t>
      </w:r>
    </w:p>
    <w:p w:rsidR="00E54062" w:rsidRPr="005C17EC" w:rsidRDefault="00E54062" w:rsidP="00E54062">
      <w:pPr>
        <w:pStyle w:val="NormalHanging12a"/>
        <w:widowControl/>
        <w:rPr>
          <w:szCs w:val="24"/>
        </w:rPr>
      </w:pPr>
      <w:r w:rsidRPr="005C17EC">
        <w:t>C.</w:t>
      </w:r>
      <w:r w:rsidRPr="005C17EC">
        <w:tab/>
        <w:t>ottaa huomioon, että Euroopan unionin toiminnasta tehdyn sopimuksen 16 artiklassa määrätään, että luonnollisten henkilöiden suojaa heitä koskevien henkilötietojen käsittelyssä koskevien sääntöjen noudattamista valvoo riippumaton viranomainen;</w:t>
      </w:r>
    </w:p>
    <w:p w:rsidR="00E54062" w:rsidRPr="005C17EC" w:rsidRDefault="00E54062" w:rsidP="00E54062">
      <w:pPr>
        <w:pStyle w:val="NormalHanging12a"/>
        <w:widowControl/>
        <w:rPr>
          <w:szCs w:val="24"/>
        </w:rPr>
      </w:pPr>
      <w:r w:rsidRPr="005C17EC">
        <w:t>D.</w:t>
      </w:r>
      <w:r w:rsidRPr="005C17EC">
        <w:tab/>
        <w:t>ottaa huomioon, että asetuksessa (EU) 2018/1725 säädetään riippumattoman viranomaisen eli Euroopan tietosuojavaltuutetun perustamisesta ja että viranomaisen tehtävänä on suojata oikeutta henkilötietojen suojaan ja yksityisyyteen, taata se ja varmistaa, että unionin toimielimet, elimet, toimistot ja virastot omaksuvat vahvan tietosuojakulttuurin;</w:t>
      </w:r>
    </w:p>
    <w:p w:rsidR="00E54062" w:rsidRPr="005C17EC" w:rsidRDefault="00E54062" w:rsidP="00E54062">
      <w:pPr>
        <w:pStyle w:val="NormalHanging12a"/>
        <w:widowControl/>
        <w:rPr>
          <w:szCs w:val="24"/>
        </w:rPr>
      </w:pPr>
      <w:r w:rsidRPr="005C17EC">
        <w:t>E.</w:t>
      </w:r>
      <w:r w:rsidRPr="005C17EC">
        <w:tab/>
        <w:t>ottaa huomioon, että tietosuojavaltuutettu hoitaa tehtäviään tiiviissä yhteistyössä muiden tietosuojaviranomaisten kanssa osana Euroopan tietosuojaneuvostoa ja että se palvelee yleistä etua ja noudattaa puolueettomuuden, rehellisyyden, avoimuuden ja käytännöllisyyden periaatteita;</w:t>
      </w:r>
    </w:p>
    <w:p w:rsidR="00E54062" w:rsidRPr="005C17EC" w:rsidRDefault="00E54062" w:rsidP="00E54062">
      <w:pPr>
        <w:pStyle w:val="NormalHanging12a"/>
        <w:widowControl/>
        <w:rPr>
          <w:szCs w:val="24"/>
        </w:rPr>
      </w:pPr>
      <w:r w:rsidRPr="005C17EC">
        <w:t>F.</w:t>
      </w:r>
      <w:r w:rsidRPr="005C17EC">
        <w:tab/>
        <w:t>ottaa huomioon, että 13. marraskuuta 2022 asti tietosuojavaltuutettu siirsi tulojen ja menojen hyväksyjän valtuudet johtajalle ja sen jälkeen hallintopäällikölle Euroopan parlamentin ja neuvoston asetuksen (EU, Euratom) 2018/1046 72 artiklan 2 kohdassa tarkoitetun, tietosuojavaltuutetun talousarviota ja hallintoa koskevista tehtävistä ja vastuista laaditun toimenkuvauksen mukaisesti, kun taas tietosuojavaltuutetun tilinpitäjän tehtävästä vastaa komission tilinpitäjä Euroopan tietosuojavaltuutetun 1. maaliskuuta 2017 tekemän päätöksen mukaisesti;</w:t>
      </w:r>
    </w:p>
    <w:p w:rsidR="00E54062" w:rsidRPr="005C17EC" w:rsidRDefault="00E54062" w:rsidP="00E54062">
      <w:pPr>
        <w:pStyle w:val="NormalHanging12a"/>
        <w:widowControl/>
        <w:rPr>
          <w:szCs w:val="24"/>
        </w:rPr>
      </w:pPr>
      <w:r w:rsidRPr="005C17EC">
        <w:lastRenderedPageBreak/>
        <w:t>1.</w:t>
      </w:r>
      <w:r w:rsidRPr="005C17EC">
        <w:tab/>
        <w:t>toteaa, että tietosuojavaltuutetun talousarvio kuuluu monivuotisen rahoituskehyksen otsakkeeseen 7 ”EU:n yleinen hallinto”, jonka kokonaismäärä vuonna 2022 oli 11,6 miljardia euroa eli 5,9 prosenttia unionin talousarviomenoista; toteaa, että tietosuojavaltuutetun talousarvio oli 0,17 prosenttia monivuotisen rahoituskehyksen otsakkeen 7 määrärahoista;</w:t>
      </w:r>
    </w:p>
    <w:p w:rsidR="00E54062" w:rsidRPr="005C17EC" w:rsidRDefault="00E54062" w:rsidP="00E54062">
      <w:pPr>
        <w:pStyle w:val="NormalHanging12a"/>
        <w:widowControl/>
        <w:rPr>
          <w:szCs w:val="24"/>
        </w:rPr>
      </w:pPr>
      <w:r w:rsidRPr="005C17EC">
        <w:t>2.</w:t>
      </w:r>
      <w:r w:rsidRPr="005C17EC">
        <w:tab/>
        <w:t>toteaa, että varainhoitovuotta 2022 koskevassa vuosikertomuksessaan tilintarkastustuomioistuin tarkasti hallinnon alaan kuuluvan 60 tapahtuman otoksen eli yhtä suuren otoksen kuin vuonna 2021; toteaa myös tilintarkastustuomioistuimen kirjoittavan, että hallintomenoja ovat muun muassa henkilöstömenot ja eläkemenot, joiden osuus hallintomenojen kokonaismäärästä oli vuonna 2022 noin 70 prosenttia, ja lisäksi kiinteistöihin, laitteisiin, energiaan, viestintään ja tietotekniikkaan liittyvät menot ja että sen tarkastukset ovat jo useamman vuoden ajan osoittaneet, että hallintomenoissa riski on yleisesti ottaen alhainen;</w:t>
      </w:r>
    </w:p>
    <w:p w:rsidR="00E54062" w:rsidRPr="005C17EC" w:rsidRDefault="00E54062" w:rsidP="00E54062">
      <w:pPr>
        <w:pStyle w:val="NormalHanging12a"/>
        <w:widowControl/>
        <w:rPr>
          <w:szCs w:val="24"/>
        </w:rPr>
      </w:pPr>
      <w:r w:rsidRPr="005C17EC">
        <w:t>3.</w:t>
      </w:r>
      <w:r w:rsidRPr="005C17EC">
        <w:tab/>
        <w:t>toteaa, että osana vuoden 2022 tarkastusta tilintarkastustuomioistuin tutki tietosuojavaltuutetun valvontajärjestelmiä, erityisesti varainhoitoasetuksessa määriteltyjen sisäisen valvonnan standardien, riskienhallinnan ja keskeisten valvontamenettelyjen täytäntöönpanoa, myös maksuihin kohdistettavia ennakko- ja jälkitarkastuksia;</w:t>
      </w:r>
    </w:p>
    <w:p w:rsidR="00E54062" w:rsidRPr="005C17EC" w:rsidRDefault="00E54062" w:rsidP="00E54062">
      <w:pPr>
        <w:pStyle w:val="NormalHanging12a"/>
        <w:widowControl/>
        <w:rPr>
          <w:szCs w:val="24"/>
        </w:rPr>
      </w:pPr>
      <w:r w:rsidRPr="005C17EC">
        <w:t>4.</w:t>
      </w:r>
      <w:r w:rsidRPr="005C17EC">
        <w:tab/>
        <w:t xml:space="preserve">panee merkille, että tarkastetuista 60 tapahtumasta 14 (23 prosenttia) sisälsi virheitä, mutta että tilintarkastustuomioistuin arvioi </w:t>
      </w:r>
      <w:proofErr w:type="spellStart"/>
      <w:r w:rsidRPr="005C17EC">
        <w:t>kvantifioimiensa</w:t>
      </w:r>
      <w:proofErr w:type="spellEnd"/>
      <w:r w:rsidRPr="005C17EC">
        <w:t xml:space="preserve"> viiden virheen perusteella, että virhetaso on alle olennaisuusrajan;</w:t>
      </w:r>
    </w:p>
    <w:p w:rsidR="00E54062" w:rsidRPr="005C17EC" w:rsidRDefault="00E54062" w:rsidP="00E54062">
      <w:pPr>
        <w:pStyle w:val="NormalHanging12a"/>
        <w:widowControl/>
        <w:rPr>
          <w:szCs w:val="24"/>
        </w:rPr>
      </w:pPr>
      <w:r w:rsidRPr="005C17EC">
        <w:t>5.</w:t>
      </w:r>
      <w:r w:rsidRPr="005C17EC">
        <w:tab/>
        <w:t>panee tyytyväisenä merkille tilintarkastustuomioistuimen toteavan varainhoitovuotta 2022 koskevassa vuosikertomuksessaan, ettei se havainnut tietosuojavaltuutettua koskevia erityisiä ongelmia;</w:t>
      </w:r>
    </w:p>
    <w:p w:rsidR="00E54062" w:rsidRPr="005C17EC" w:rsidRDefault="00E54062" w:rsidP="00E54062">
      <w:pPr>
        <w:pStyle w:val="NormalHanging12a"/>
        <w:widowControl/>
        <w:rPr>
          <w:b/>
          <w:i/>
          <w:szCs w:val="24"/>
        </w:rPr>
      </w:pPr>
      <w:r w:rsidRPr="005C17EC">
        <w:rPr>
          <w:b/>
          <w:i/>
        </w:rPr>
        <w:t>Talousarvio- ja varainhallinto</w:t>
      </w:r>
    </w:p>
    <w:p w:rsidR="00E54062" w:rsidRPr="005C17EC" w:rsidRDefault="00E54062" w:rsidP="00E54062">
      <w:pPr>
        <w:pStyle w:val="NormalHanging12a"/>
        <w:widowControl/>
        <w:rPr>
          <w:szCs w:val="24"/>
        </w:rPr>
      </w:pPr>
      <w:r w:rsidRPr="005C17EC">
        <w:t>6.</w:t>
      </w:r>
      <w:r w:rsidRPr="005C17EC">
        <w:tab/>
        <w:t xml:space="preserve">toteaa, että tietosuojavaltuutetun lopullinen hyväksytty talousarvio vuodeksi 2022 oli 20 266 000 euroa, mikä merkitsee 4,12 prosentin lisäystä vuoteen 2021 verrattuna; panee merkille, että tietosuojavaltuutettu sai 50 000 euroa käyttötarkoitukseensa sidottuja tuloja, jotka liittyivät </w:t>
      </w:r>
      <w:proofErr w:type="spellStart"/>
      <w:r w:rsidRPr="005C17EC">
        <w:t>EFTAn</w:t>
      </w:r>
      <w:proofErr w:type="spellEnd"/>
      <w:r w:rsidRPr="005C17EC">
        <w:t xml:space="preserve"> valvontaviranomaiselle palvelutasosopimuksen nojalla tarjottuihin palveluihin; panee merkille, että tietosuojavaltuutetun talousarviosta katetaan myös Euroopan tietosuojaneuvoston riippumattoman sihteeristön toiminta;</w:t>
      </w:r>
    </w:p>
    <w:p w:rsidR="00E54062" w:rsidRPr="005C17EC" w:rsidRDefault="00E54062" w:rsidP="00E54062">
      <w:pPr>
        <w:pStyle w:val="NormalHanging12a"/>
        <w:widowControl/>
        <w:rPr>
          <w:szCs w:val="24"/>
        </w:rPr>
      </w:pPr>
      <w:r w:rsidRPr="005C17EC">
        <w:t>7.</w:t>
      </w:r>
      <w:r w:rsidRPr="005C17EC">
        <w:tab/>
        <w:t>panee tyytyväisenä merkille, että talousarvion toteutusaste vuonna 2022 oli 98 prosenttia, mikä on korkeampi kuin edellisenä vuonna, jolloin se oli 86 prosenttia;</w:t>
      </w:r>
    </w:p>
    <w:p w:rsidR="00E54062" w:rsidRPr="005C17EC" w:rsidRDefault="00E54062" w:rsidP="00E54062">
      <w:pPr>
        <w:pStyle w:val="NormalHanging12a"/>
        <w:widowControl/>
        <w:rPr>
          <w:szCs w:val="24"/>
        </w:rPr>
      </w:pPr>
      <w:r w:rsidRPr="005C17EC">
        <w:t>8.</w:t>
      </w:r>
      <w:r w:rsidRPr="005C17EC">
        <w:tab/>
        <w:t>toteaa, että Venäjän hyökkäyssota Ukrainaa vastaan aiheutti tietosuojavaltuutetulle talousarviopainetta muun muassa kiihtyvän inflaation ja palkkamukautusten, energiakustannusten merkittävän nousun sekä julkisten hankintojen ja muiden toimielinten kanssa tehtyjen palvelutasosopimusten kautta hankittavien tuotteiden ja palvelujen kallistumisen muodossa; suhtautuu myönteisesti vuoden 2022 aikana talousarvion lukujen sisällä tehtyihin sisäisiin uudelleenkohdennuksiin, joilla on pyritty optimoimaan talousarvion toteuttamista;</w:t>
      </w:r>
    </w:p>
    <w:p w:rsidR="00E54062" w:rsidRPr="005C17EC" w:rsidRDefault="00E54062" w:rsidP="00E54062">
      <w:pPr>
        <w:pStyle w:val="NormalHanging12a"/>
        <w:widowControl/>
        <w:rPr>
          <w:szCs w:val="24"/>
        </w:rPr>
      </w:pPr>
      <w:r w:rsidRPr="005C17EC">
        <w:t>9.</w:t>
      </w:r>
      <w:r w:rsidRPr="005C17EC">
        <w:tab/>
        <w:t xml:space="preserve">panee merkille, että keskimääräinen maksuaika vuonna 2022 oli 21,54 päivää, mikä merkitsee kasvua vuodesta 2021, jolloin keskimääräinen maksuaika oli 19,98 päivää; </w:t>
      </w:r>
      <w:r w:rsidRPr="005C17EC">
        <w:lastRenderedPageBreak/>
        <w:t xml:space="preserve">pitää myönteisenä uuden sähköisen maksujärjestelmän käyttöönottoa matkatoimiston ennalta maksamiin virkamatkakuluihin liittyvien laskujen käsittelyssä ja toteaa, että sen odotetaan vähentävän maksujen suorittamiseen kuluvaa aikaa, kunhan järjestelmä on kaikilta osin toiminnassa; kehottaa tietosuojavaltuutettua harkitsemaan mahdollisuutta laajentaa järjestelmää </w:t>
      </w:r>
      <w:proofErr w:type="spellStart"/>
      <w:r w:rsidRPr="005C17EC">
        <w:t>muuntyyppisiin</w:t>
      </w:r>
      <w:proofErr w:type="spellEnd"/>
      <w:r w:rsidRPr="005C17EC">
        <w:t xml:space="preserve"> maksuihin;</w:t>
      </w:r>
    </w:p>
    <w:p w:rsidR="00E54062" w:rsidRPr="005C17EC" w:rsidRDefault="00E54062" w:rsidP="00E54062">
      <w:pPr>
        <w:pStyle w:val="NormalHanging12a"/>
        <w:widowControl/>
        <w:rPr>
          <w:szCs w:val="24"/>
        </w:rPr>
      </w:pPr>
      <w:r w:rsidRPr="005C17EC">
        <w:t>10.</w:t>
      </w:r>
      <w:r w:rsidRPr="005C17EC">
        <w:tab/>
        <w:t>panee merkille, että tietosuojavaltuutetun henkilöstön virkamatkoihin varatut määrärahat kasvoivat 41 000 eurosta 251 000 euroon eli 512 prosenttia vuodesta 2021 vuoteen 2022 seurauksena matkustustoiminnan aloittamisesta uudelleen covid</w:t>
      </w:r>
      <w:r w:rsidRPr="005C17EC">
        <w:noBreakHyphen/>
        <w:t>19</w:t>
      </w:r>
      <w:r w:rsidRPr="005C17EC">
        <w:noBreakHyphen/>
        <w:t>pandemian jälkeen; panee lisäksi merkille, että tässä kokonaistalousarviossa tietosuojavaltuutetulle oli vuonna 2022 varattu 33 000 euron virkamatkabudjetti verrattuna 5 000 euroon vuonna 2021, eli se kasvoi 560 prosenttia; panee merkille, että Venäjän Ukrainaa vastaan käymään hyökkäyssotaan liittyvä inflaation kiihtyminen ja energian hintojen huomattava nousu vaikuttivat kielteisesti lentolippujen ja hotellimajoituksen kustannuksiin, mikä johti virkamatkakulujen kasvuun;</w:t>
      </w:r>
    </w:p>
    <w:p w:rsidR="00E54062" w:rsidRPr="005C17EC" w:rsidRDefault="00E54062" w:rsidP="00E54062">
      <w:pPr>
        <w:pStyle w:val="NormalHanging12a"/>
        <w:widowControl/>
        <w:rPr>
          <w:b/>
          <w:i/>
          <w:szCs w:val="24"/>
        </w:rPr>
      </w:pPr>
      <w:r w:rsidRPr="005C17EC">
        <w:rPr>
          <w:b/>
          <w:i/>
        </w:rPr>
        <w:t>Sisäinen hallinto, toiminnan tuloksellisuus ja sisäinen valvonta</w:t>
      </w:r>
    </w:p>
    <w:p w:rsidR="00E54062" w:rsidRPr="005C17EC" w:rsidRDefault="00E54062" w:rsidP="00E54062">
      <w:pPr>
        <w:pStyle w:val="NormalHanging12a"/>
        <w:widowControl/>
        <w:rPr>
          <w:szCs w:val="24"/>
        </w:rPr>
      </w:pPr>
      <w:r w:rsidRPr="005C17EC">
        <w:t>11.</w:t>
      </w:r>
      <w:r w:rsidRPr="005C17EC">
        <w:tab/>
        <w:t>panee merkille, että tietosuojavaltuutettu teki vuosien 2020–2024 strategiastaan kolmeen pilariin eli ennakointiin, toimintaan ja yhteisvastuuseen keskittyvän väliarvioinnin, jossa hahmoteltiin tietosuojavaltuutetun uudelleen kohdennettu visio ja painopisteet vuosiksi 2022–2024 ”entistä turvallisemman digitaalisen tulevaisuuden rakentamiseksi”;</w:t>
      </w:r>
    </w:p>
    <w:p w:rsidR="00E54062" w:rsidRPr="005C17EC" w:rsidRDefault="00E54062" w:rsidP="00E54062">
      <w:pPr>
        <w:pStyle w:val="NormalHanging12a"/>
        <w:widowControl/>
        <w:rPr>
          <w:szCs w:val="24"/>
        </w:rPr>
      </w:pPr>
      <w:r w:rsidRPr="005C17EC">
        <w:t>12.</w:t>
      </w:r>
      <w:r w:rsidRPr="005C17EC">
        <w:tab/>
        <w:t>panee merkille merkittävät organisaatiomuutokset ja vastaavan työjärjestyksen tarkistuksen, jotka tietosuojavaltuutettu toteutti vuonna 2022 tukemaan tehtäviensä kehittymistä ja parantamaan prosessiensa tehokkuutta nopeasti muuttuvaa kansainvälistä ympäristöä ajatellen; panee erityisesti merkille, että näiden muutosten seurauksena tietosuojavaltuutettuun perustettiin pääsihteerin tasoinen uusi tietosuojavaltuutetun sihteeristön päällikön tehtävä, erityinen oikeudellinen yksikkö, hallinnon ja sisäisen vaatimustenmukaisuuden jaosto, kaksi uutta operatiivista jaostoa valvonta- ja täytäntöönpanoyksikköön, uusi rahoitussektori henkilöstö-, budjetti- ja hallintoyksikköön sekä yhteystoimisto Strasbourgiin;</w:t>
      </w:r>
    </w:p>
    <w:p w:rsidR="00E54062" w:rsidRPr="005C17EC" w:rsidRDefault="00E54062" w:rsidP="00E54062">
      <w:pPr>
        <w:pStyle w:val="NormalHanging12a"/>
        <w:widowControl/>
        <w:rPr>
          <w:szCs w:val="24"/>
        </w:rPr>
      </w:pPr>
      <w:r w:rsidRPr="005C17EC">
        <w:t>13.</w:t>
      </w:r>
      <w:r w:rsidRPr="005C17EC">
        <w:tab/>
        <w:t>toteaa, että kun Euroopan parlamentin ja neuvoston asetus (EU) 2022/991</w:t>
      </w:r>
      <w:r w:rsidRPr="005C17EC">
        <w:rPr>
          <w:szCs w:val="24"/>
          <w:vertAlign w:val="superscript"/>
        </w:rPr>
        <w:footnoteReference w:id="6"/>
      </w:r>
      <w:r w:rsidRPr="005C17EC">
        <w:t>, jolla muutettiin Europolin perustamisesta annettua Euroopan parlamentin ja neuvoston asetusta (EU) 2016/794</w:t>
      </w:r>
      <w:r w:rsidRPr="005C17EC">
        <w:rPr>
          <w:szCs w:val="24"/>
          <w:vertAlign w:val="superscript"/>
        </w:rPr>
        <w:footnoteReference w:id="7"/>
      </w:r>
      <w:r w:rsidRPr="005C17EC">
        <w:t xml:space="preserve">, tuli voimaan 28. kesäkuuta 2022, sillä todella vahvistettiin tietosuojavaltuutetun valvontatehtäviä Europolin toimeksiantonsa puitteissa käsittelemien operatiivisten henkilötietojen osalta; toteaa, että vuonna 2022 tehdyillä organisaatiomuutoksilla, varsinkin sillä, että perustettiin valvonta- ja täytäntöönpanoyksikköön uusi alajaosto, jossa työskentelee erikoistunutta henkilöstöä, </w:t>
      </w:r>
      <w:r w:rsidRPr="005C17EC">
        <w:lastRenderedPageBreak/>
        <w:t>pyrittiin erityisesti heijastelemaan tietosuojavaltuutetun erityisiä valtuuksia vapauden, turvallisuuden ja oikeuden alueen virastojen valvonnassa ja ottamaan huomioon myös tietosuojavaltuutetun uudet valvontavaltuudet Europoliin nähden; kehottaa tietosuojavaltuutettua pitämään vastuuvapauden myöntävä viranomainen ajan tasalla toimeksiantonsa mahdollisesta laajentamisesta edelleen ja tämän vaikutuksista resursseihin;</w:t>
      </w:r>
    </w:p>
    <w:p w:rsidR="00E54062" w:rsidRPr="005C17EC" w:rsidRDefault="00E54062" w:rsidP="00E54062">
      <w:pPr>
        <w:pStyle w:val="NormalHanging12a"/>
        <w:widowControl/>
        <w:rPr>
          <w:szCs w:val="24"/>
        </w:rPr>
      </w:pPr>
      <w:r w:rsidRPr="005C17EC">
        <w:t>14.</w:t>
      </w:r>
      <w:r w:rsidRPr="005C17EC">
        <w:tab/>
        <w:t>panee merkille, että osana vuonna 2022 toteuttamiaan muutoksia tietosuojavaltuutettu pyrki virtaviivaistamaan sisäisiä menettelyjään voidakseen olla tiukempi tutkimusten käsittelyssä ja kohdentaa erikoistunutta henkilöstöä toisiin tehtäviin; panee merkille, että lainvalvontaan liittyvien valitusten, jotka koskevat esimerkiksi Europolin vastauksia kansalaisten tietopyyntöihin, tutkinta on usein hyvin monimutkaista ja kestää keskimäärin pidempään kuin muiden valitusten käsittely, koska prosessissa on mukana monia eri sidosryhmiä;</w:t>
      </w:r>
    </w:p>
    <w:p w:rsidR="00E54062" w:rsidRPr="005C17EC" w:rsidRDefault="00E54062" w:rsidP="00E54062">
      <w:pPr>
        <w:pStyle w:val="NormalHanging12a"/>
        <w:widowControl/>
      </w:pPr>
      <w:r w:rsidRPr="005C17EC">
        <w:t>15.</w:t>
      </w:r>
      <w:r w:rsidRPr="005C17EC">
        <w:tab/>
        <w:t>panee merkille, että niiden 129:n käsiteltäväksi otetun valituksen lisäksi, jotka olivat edelleen vireillä vuonna 2022, tietosuojavaltuutettu vastaanotti 367 valitusta vuonna 2022 eli 47 enemmän kuin vuonna 2021 ja että näistä 65 otettiin käsiteltäviksi ja 302:ta ei voitu ottaa käsiteltäviksi; suhtautuu myönteisesti tietosuojavaltuutetun pyrkimyksiin vähentää sellaisten valitusten, joita ei voida ottaa käsiteltäväksi, suurta määrää, joka on kaksinkertaistunut vuodesta 2019 ja näin ollen lisännyt tarvetta resursseille niiden käsittelyyn; panee merkille, että 23:ssa vuonna 2022 vastaanotetuista 65 valitustapauksesta tietosuojavaltuutettu antoi lopullisen päätöksen/lausunnon/vastauksen keskimäärin 42 päivässä; panee lisäksi merkille, että valituksia, jotka koskivat Europolin vastauksia kansalaisten tietopyyntöihin, käsiteltiin keskimäärin 5–12 kuukautta; panee merkille, että tietosuojavaltuutettu arvioi jatkuvasti menettelyjään ja toteuttaa tarvittaessa parannuksia aiempien kokemusten perusteella, jotta se voi edelleen virtaviivaistaa valitusten käsittelyä ja siten nopeuttaa sitä resurssirajoituksista huolimatta;</w:t>
      </w:r>
    </w:p>
    <w:p w:rsidR="00E54062" w:rsidRPr="005C17EC" w:rsidRDefault="00E54062" w:rsidP="00E54062">
      <w:pPr>
        <w:pStyle w:val="NormalHanging12a"/>
        <w:widowControl/>
        <w:rPr>
          <w:szCs w:val="24"/>
        </w:rPr>
      </w:pPr>
      <w:r w:rsidRPr="005C17EC">
        <w:t>16.</w:t>
      </w:r>
      <w:r w:rsidRPr="005C17EC">
        <w:tab/>
        <w:t>panee merkille, että tietosuojavaltuutettu toimitti vuonna 2022 kaksi alustavaa tutkintaa, jotka koskivat epäilyjä jonkin unionin toimielimen mahdollisista tietosuojasääntöjen rikkomuksesta, ja jatkoi kolmea meneillään olevaa tietosuojatarkastuksen muodossa tehtävää virallista tutkintaa, joista yksi saatiin päätökseen huhtikuussa 2022; panee lisäksi merkille, että tietosuojavaltuutettu käynnisti myös neljä tietosuojatarkastusten muodossa tehtävää tutkintaa, jotka perustuivat tiettyjen unionin toimielinten, elinten, toimistojen ja virastojen verkkosivustoja koskeviin valituksiin, ja yhden tutkimuksen, joka koski vapauden, turvallisuuden ja oikeuden aluetta, sekä jatkoi aiempina vuosina käynnistettyjä tutkintoja; toteaa, että tietosuojavaltuutettu sai lähes 10 kuukautta kestäneen tutkinnan jälkeen päätökseen kolmansien maiden ja kansainvälisten organisaatioiden Europolille toimittamien, epäiltyinä pidettyjen alle 15‑vuotiaiden alaikäisten henkilötietojen käsittelyä virastossa koskevan tarkastuksensa syyskuussa 2023 ja panee merkille, että tietosuojavaltuutettu oli alun perin ottanut asian käsiteltäväksi ja esittänyt Europolille arkaluonteisten tietojen käsittelyä koskevia suosituksia jo joulukuussa 2018;</w:t>
      </w:r>
    </w:p>
    <w:p w:rsidR="00E54062" w:rsidRPr="005C17EC" w:rsidRDefault="00E54062" w:rsidP="00E54062">
      <w:pPr>
        <w:pStyle w:val="NormalHanging12a"/>
        <w:widowControl/>
        <w:rPr>
          <w:szCs w:val="24"/>
        </w:rPr>
      </w:pPr>
      <w:r w:rsidRPr="005C17EC">
        <w:t>17.</w:t>
      </w:r>
      <w:r w:rsidRPr="005C17EC">
        <w:tab/>
        <w:t>kehottaa tietosuojavaltuutettua tehostamaan menettelyä ja asettamaan etusijalle alle 15</w:t>
      </w:r>
      <w:r w:rsidRPr="005C17EC">
        <w:noBreakHyphen/>
        <w:t>vuotiaita alaikäisiä koskevien henkilötietojen käsittelyn, koska kyse on haavoittuvassa asemassa olevista ryhmistä, jotka tarvitsevat tehostettua suojelua ja joille on siten annettava ensisijainen asema;</w:t>
      </w:r>
    </w:p>
    <w:p w:rsidR="00E54062" w:rsidRPr="005C17EC" w:rsidRDefault="00E54062" w:rsidP="00E54062">
      <w:pPr>
        <w:pStyle w:val="NormalHanging12a"/>
        <w:widowControl/>
        <w:rPr>
          <w:szCs w:val="24"/>
        </w:rPr>
      </w:pPr>
      <w:r w:rsidRPr="005C17EC">
        <w:lastRenderedPageBreak/>
        <w:t>18.</w:t>
      </w:r>
      <w:r w:rsidRPr="005C17EC">
        <w:tab/>
        <w:t xml:space="preserve">panee merkille, että tietosuojavaltuutettu nosti 16. syyskuuta 2022 Euroopan unionin tuomioistuimessa kanteen muutetun </w:t>
      </w:r>
      <w:proofErr w:type="spellStart"/>
      <w:r w:rsidRPr="005C17EC">
        <w:t>Europol</w:t>
      </w:r>
      <w:proofErr w:type="spellEnd"/>
      <w:r w:rsidRPr="005C17EC">
        <w:t>-asetuksen kahden säännöksen kumoamiseksi mutta tuomioistuin hylkäsi sen myöhemmin; korostaa, että sen, että tietosuojavaltuutettu saattaa tärkeitä oikeudellisia kysymyksiä unionin tuomioistuimen käsiteltäväksi, ei pitäisi katsoa vaikuttavan vilpittömään yhteistyöhön ja hyviin suhteisiin tietosuojavaltuutetun ja sen valvonnan kohteena olevien organisaatioiden välillä;</w:t>
      </w:r>
    </w:p>
    <w:p w:rsidR="00E54062" w:rsidRPr="005C17EC" w:rsidRDefault="00E54062" w:rsidP="00E54062">
      <w:pPr>
        <w:pStyle w:val="NormalHanging12a"/>
        <w:widowControl/>
        <w:rPr>
          <w:szCs w:val="24"/>
        </w:rPr>
      </w:pPr>
      <w:r w:rsidRPr="005C17EC">
        <w:t>19.</w:t>
      </w:r>
      <w:r w:rsidRPr="005C17EC">
        <w:tab/>
        <w:t>panee tyytyväisenä merkille, että tietosuojavaltuutettu kehitti vuoden 2022 lopussa uuden riskinhallintakehyksen, millä se vahvisti sisäisen valvonnan kehystään ja sisällytti riskianalyysin vuotuiseen suunnitteluunsa, ja toteaa, että tietosuojavaltuutetun painopisteitä koskeva vuosittainen panos olisi määriteltävä tämän perusteella;</w:t>
      </w:r>
    </w:p>
    <w:p w:rsidR="00E54062" w:rsidRPr="005C17EC" w:rsidRDefault="00E54062" w:rsidP="00E54062">
      <w:pPr>
        <w:pStyle w:val="NormalHanging12a"/>
        <w:widowControl/>
        <w:rPr>
          <w:szCs w:val="24"/>
        </w:rPr>
      </w:pPr>
      <w:r w:rsidRPr="005C17EC">
        <w:t>20.</w:t>
      </w:r>
      <w:r w:rsidRPr="005C17EC">
        <w:tab/>
        <w:t>panee merkille tietosuojavaltuutetun merkittävän konsultoivan ja neuvoa-antavan roolin lainsäädäntöprosessissa; toteaa, että tietosuojavaltuutettu antoi vuonna 2022 komissiolle ja lainsäätäjille neuvoja 27 lausunnon (12 vuonna 2021), 49 virallisen huomautuksen (76 vuonna 2021) ja 30 epävirallisen huomautuksen (29 vuonna 2021) muodossa vastauksena lainsäädäntöä koskeviin kuulemispyyntöihin;</w:t>
      </w:r>
    </w:p>
    <w:p w:rsidR="00E54062" w:rsidRPr="005C17EC" w:rsidRDefault="00E54062" w:rsidP="00E54062">
      <w:pPr>
        <w:pStyle w:val="NormalHanging12a"/>
        <w:widowControl/>
        <w:rPr>
          <w:szCs w:val="24"/>
        </w:rPr>
      </w:pPr>
      <w:r w:rsidRPr="005C17EC">
        <w:t>21.</w:t>
      </w:r>
      <w:r w:rsidRPr="005C17EC">
        <w:tab/>
        <w:t>kehottaa tietosuojavaltuutettua tarkistamaan työjärjestystään, jotta varmistetaan kansalaisten tekemien valitusten oikea-aikainen tarkastelu ottaen huomioon kaikki asiaankuuluvat tiedot, sekä tiedottamaan vastuuvapauden myöntävälle viranomaiselle asian etenemisestä;</w:t>
      </w:r>
    </w:p>
    <w:p w:rsidR="00E54062" w:rsidRPr="005C17EC" w:rsidRDefault="00E54062" w:rsidP="00E54062">
      <w:pPr>
        <w:pStyle w:val="NormalHanging12a"/>
        <w:widowControl/>
        <w:rPr>
          <w:b/>
          <w:i/>
          <w:szCs w:val="24"/>
        </w:rPr>
      </w:pPr>
      <w:r w:rsidRPr="005C17EC">
        <w:rPr>
          <w:b/>
          <w:i/>
        </w:rPr>
        <w:t>Henkilöresurssit, tasa-arvo ja henkilöstön hyvinvointi</w:t>
      </w:r>
    </w:p>
    <w:p w:rsidR="00E54062" w:rsidRPr="005C17EC" w:rsidRDefault="00E54062" w:rsidP="00E54062">
      <w:pPr>
        <w:pStyle w:val="NormalHanging12a"/>
        <w:widowControl/>
        <w:rPr>
          <w:szCs w:val="24"/>
        </w:rPr>
      </w:pPr>
      <w:r w:rsidRPr="005C17EC">
        <w:t>22.</w:t>
      </w:r>
      <w:r w:rsidRPr="005C17EC">
        <w:tab/>
        <w:t>panee merkille, että vuoden 2022 lopussa tietosuojavaltuutetun palveluksessa oli 127 työntekijää, kun heitä vuoden 2021 lopussa oli 124 ja vuoden 2020 lopussa 114; panee merkille, että tietosuojavaltuutetun palveluksessa oli 52 sopimussuhteista toimihenkilöä virkamiehiin sovellettavien henkilöstösääntöjen ja muuhun henkilöstöön sovellettavien palvelussuhteen ehtojen 3 artiklan b alakohdan mukaisesti ja kuusi väliaikaista toimihenkilöä 2 artiklan b ja c alakohdan mukaisesti; panee lisäksi merkille, että vuonna 2022 tietosuojavaltuutetun palveluksessa oli kahdeksan ulkopuolista palveluntarjoajaa, jotka työskentelivät paikan päällä; kehottaa tietosuojavaltuutettua tiedottamaan vastuuvapauden myöntävälle viranomaiselle toimenpiteistä, joilla varmistetaan, että ulkoisten palveluntarjoajien pääsyä tietoihin hallinnoidaan kyseessä olevien asioiden edellyttämän luottamuksellisuuden tason mukaisesti;</w:t>
      </w:r>
    </w:p>
    <w:p w:rsidR="00E54062" w:rsidRPr="005C17EC" w:rsidRDefault="00E54062" w:rsidP="00E54062">
      <w:pPr>
        <w:pStyle w:val="NormalHanging12a"/>
        <w:widowControl/>
        <w:rPr>
          <w:szCs w:val="24"/>
        </w:rPr>
      </w:pPr>
      <w:r w:rsidRPr="005C17EC">
        <w:t>23.</w:t>
      </w:r>
      <w:r w:rsidRPr="005C17EC">
        <w:tab/>
        <w:t>katsoo, että kun otetaan huomioon tietosuojavaltuutetun uusista tehtävistä ja vastuualueista johtuva työmäärän kasvu sekä monet muut lainsäädäntökuulemiset ja seurattavat tietokokonaisuudet, tietosuojavaltuutettu tarvitsisi oikeasuhteisen henkilöstölisäyksen voidakseen ylläpitää tehokkaita työnkulkuja kohtuullisella vastausajalla; kannustaa tietosuojavaltuutettua tarjoamaan työntekijöilleen vakituisia työsopimuksia, jotta taataan toiminnan jatkuvuus ja turvatut työpaikat;</w:t>
      </w:r>
    </w:p>
    <w:p w:rsidR="00E54062" w:rsidRPr="005C17EC" w:rsidRDefault="00E54062" w:rsidP="00E54062">
      <w:pPr>
        <w:pStyle w:val="NormalHanging12a"/>
        <w:widowControl/>
        <w:rPr>
          <w:szCs w:val="24"/>
        </w:rPr>
      </w:pPr>
      <w:r w:rsidRPr="005C17EC">
        <w:t>24.</w:t>
      </w:r>
      <w:r w:rsidRPr="005C17EC">
        <w:tab/>
        <w:t xml:space="preserve">toteaa, että henkilöstötaulukon täyttöaste vuoden 2022 lopussa oli 86,9 prosenttia; pitää valitettavana, että henkilöstötaulukon täyttöaste oli vuodelle 2022 asetettua tavoitetta alhaisempi; toteaa, että pätevistä ammattilaisista on pulaa; kannustaa tietosuojavaltuutettua tarkastelemaan hyödyllisiä strategioita, joilla se voi lisätä avointen virkojensa näkyvyyttä; toteaa, että vuonna 2022 tietosuojavaltuutettu järjesti </w:t>
      </w:r>
      <w:r w:rsidRPr="005C17EC">
        <w:lastRenderedPageBreak/>
        <w:t xml:space="preserve">ulkoisen valintamenettelyn laatiakseen varallaololuettelon erikoistuneista hakijoista vuoden 2022 </w:t>
      </w:r>
      <w:proofErr w:type="spellStart"/>
      <w:r w:rsidRPr="005C17EC">
        <w:t>palvelukseenottotarpeita</w:t>
      </w:r>
      <w:proofErr w:type="spellEnd"/>
      <w:r w:rsidRPr="005C17EC">
        <w:t xml:space="preserve"> varten;</w:t>
      </w:r>
    </w:p>
    <w:p w:rsidR="00E54062" w:rsidRPr="005C17EC" w:rsidRDefault="00E54062" w:rsidP="00E54062">
      <w:pPr>
        <w:pStyle w:val="NormalHanging12a"/>
        <w:widowControl/>
        <w:rPr>
          <w:szCs w:val="24"/>
        </w:rPr>
      </w:pPr>
      <w:r w:rsidRPr="005C17EC">
        <w:t>25.</w:t>
      </w:r>
      <w:r w:rsidRPr="005C17EC">
        <w:tab/>
        <w:t>panee merkille, että covid-19-pandemiasta saatujen kokemusten perusteella tietosuojavaltuutettu hyväksyi toukokuussa 2022 uuden päätöksen työajasta ja hybridityöstä ja sen mukaan henkilöstö voi huomattavasti vaihdella työaikaansa joustavan työaikajärjestelyn mukaisesti ja tehdä etätyötä enintään kolmena päivänä viikossa; panee tyytyväisenä merkille kyseisen päätöksen hyväksymisen jälkeen tehdyn henkilöstötutkimuksen tulokset, joiden mukaan suurin osa henkilöstöstä oli tyytyväisiä uusiin työjärjestelyihin;</w:t>
      </w:r>
    </w:p>
    <w:p w:rsidR="00E54062" w:rsidRPr="005C17EC" w:rsidRDefault="00E54062" w:rsidP="00E54062">
      <w:pPr>
        <w:pStyle w:val="NormalHanging12a"/>
        <w:widowControl/>
        <w:rPr>
          <w:b/>
          <w:i/>
          <w:szCs w:val="24"/>
        </w:rPr>
      </w:pPr>
      <w:r w:rsidRPr="005C17EC">
        <w:t>26.</w:t>
      </w:r>
      <w:r w:rsidRPr="005C17EC">
        <w:tab/>
        <w:t>onnittelee tietosuojavaltuutettua siitä, että sen henkilöstössä oli vuonna edustettuna 22 kansallisuutta, mikä on parannusta vuodesta 2021, jolloin edustettuna oli 21 kansallisuutta, ja se on näin pienelle toimielimelle hyvä tulos siitä huolimatta, että viisi kansallisuutta oli yliedustettuna; kehottaa tietosuojavaltuutettua pyrkimään tasapuolisempaan maantieteelliseen edustukseen kaikissa jäsenvaltioissa ja kiinnittämään erityistä huomiota tiettyjen maiden aliedustukseen;</w:t>
      </w:r>
    </w:p>
    <w:p w:rsidR="00E54062" w:rsidRPr="005C17EC" w:rsidRDefault="00E54062" w:rsidP="00E54062">
      <w:pPr>
        <w:pStyle w:val="NormalHanging12a"/>
        <w:widowControl/>
        <w:rPr>
          <w:szCs w:val="24"/>
        </w:rPr>
      </w:pPr>
      <w:r w:rsidRPr="005C17EC">
        <w:t>27.</w:t>
      </w:r>
      <w:r w:rsidRPr="005C17EC">
        <w:tab/>
        <w:t>panee merkille, että vuonna 2022 tietosuojavaltuutetun henkilökunnasta kaikkiaan 64 prosenttia oli naisia ja 36 prosenttia miehiä, mikä vastaa suuntausta aiempina vuosina, jolloin naisten osuus oli 63 ja miesten 37 prosenttia; pitää valitettavana, että vuonna 2022 ylemmän johdon tehtävissä ei ollut naisia, kun taas keskijohdon neljän edustajan sukupuolijakauma saavutti vuoden aikana tasapainon; kehottaa tietosuojavaltuutettua jatkamaan ponnistelujaan sukupuolten tasapuolisen edustuksen saavuttamiseksi henkilöstössään;</w:t>
      </w:r>
    </w:p>
    <w:p w:rsidR="00E54062" w:rsidRPr="005C17EC" w:rsidRDefault="00E54062" w:rsidP="00E54062">
      <w:pPr>
        <w:pStyle w:val="NormalHanging12a"/>
        <w:widowControl/>
        <w:rPr>
          <w:szCs w:val="24"/>
        </w:rPr>
      </w:pPr>
      <w:r w:rsidRPr="005C17EC">
        <w:t>28.</w:t>
      </w:r>
      <w:r w:rsidRPr="005C17EC">
        <w:tab/>
        <w:t>panee tyytyväisenä merkille, ettei tietosuojavaltuutetun henkilöstön keskuudessa ollut vuonna 2022 yhtäkään ilmoitettua työuupumus- tai häirintätapausta; on tyytyväinen, että tietosuojavaltuutettu perusti työryhmän keskustelemaan työn jakamiseen ja osoittamiseen liittyvistä kysymyksistä kesäkuussa 2022 tehdyn joka toinen vuosi toteutettavan henkilöstön tyytyväisyystutkimuksen tulosten pohjalta, joiden mukaan osa tietosuojavaltuutetun henkilöstöstä ei katsonut työmäärän jakautuvan tasapuolisesti ja hyvin tiimien ja kollegoiden kesken; kehottaa tietosuojavaltuutettua pitämään vastuuvapauden myöntävän viranomaisen ajan tasalla työryhmän keskustelujen tuloksista ja valmisteilla olevan toimintasuunnitelman yksityiskohdista;</w:t>
      </w:r>
    </w:p>
    <w:p w:rsidR="00E54062" w:rsidRPr="005C17EC" w:rsidRDefault="00E54062" w:rsidP="00E54062">
      <w:pPr>
        <w:pStyle w:val="NormalHanging12a"/>
        <w:widowControl/>
        <w:rPr>
          <w:szCs w:val="24"/>
        </w:rPr>
      </w:pPr>
      <w:r w:rsidRPr="005C17EC">
        <w:t>29.</w:t>
      </w:r>
      <w:r w:rsidRPr="005C17EC">
        <w:tab/>
        <w:t>pitää myönteisinä tietosuojavaltuutetun jatkuvia pyrkimyksiä parantaa aktiivisesti henkilöstönsä fyysistä ja henkistä hyvinvointia;</w:t>
      </w:r>
    </w:p>
    <w:p w:rsidR="00E54062" w:rsidRPr="005C17EC" w:rsidRDefault="00E54062" w:rsidP="00E54062">
      <w:pPr>
        <w:pStyle w:val="NormalHanging12a"/>
        <w:widowControl/>
        <w:rPr>
          <w:szCs w:val="24"/>
        </w:rPr>
      </w:pPr>
      <w:r w:rsidRPr="005C17EC">
        <w:t>30.</w:t>
      </w:r>
      <w:r w:rsidRPr="005C17EC">
        <w:tab/>
        <w:t>panee tyytyväisenä merkille, että tietosuojavaltuutettu otti vuonna 2022 palvelukseensa 18 harjoittelijaa, joille maksettiin palkkaa ja tarjottiin samat työjärjestelyt kuin muullekin henkilöstölle;</w:t>
      </w:r>
    </w:p>
    <w:p w:rsidR="00E54062" w:rsidRPr="005C17EC" w:rsidRDefault="00E54062" w:rsidP="00E54062">
      <w:pPr>
        <w:pStyle w:val="NormalHanging12a"/>
        <w:widowControl/>
        <w:rPr>
          <w:b/>
          <w:i/>
          <w:szCs w:val="24"/>
        </w:rPr>
      </w:pPr>
      <w:r w:rsidRPr="005C17EC">
        <w:rPr>
          <w:b/>
          <w:i/>
        </w:rPr>
        <w:t>Eettiset toimintapuitteet ja avoimuus</w:t>
      </w:r>
    </w:p>
    <w:p w:rsidR="00E54062" w:rsidRPr="005C17EC" w:rsidRDefault="00E54062" w:rsidP="00E54062">
      <w:pPr>
        <w:pStyle w:val="NormalHanging12a"/>
        <w:widowControl/>
        <w:rPr>
          <w:szCs w:val="24"/>
        </w:rPr>
      </w:pPr>
      <w:r w:rsidRPr="005C17EC">
        <w:t>31.</w:t>
      </w:r>
      <w:r w:rsidRPr="005C17EC">
        <w:tab/>
        <w:t xml:space="preserve">panee merkille, että tietosuojavaltuutettu keskittyi vuonna 2022 lisäämään henkilöstön tietoisuutta tietosuojavaltuutetun ja Euroopan tietosuojaneuvoston eettisistä toimintapuitteista järjestämällä aiheesta pakollisia koulutustilaisuuksia koko henkilöstölle sekä perehdytyskoulutusta tietosuojavaltuutetun ja Euroopan tietosuojaneuvoston uusille tulokkaille; kannustaa tietosuojavaltuutettua yhä lisäämään tietoisuutta ja toteuttamaan kyselytutkimuksia, joilla arvioidaan henkilöstön </w:t>
      </w:r>
      <w:r w:rsidRPr="005C17EC">
        <w:lastRenderedPageBreak/>
        <w:t>tietämyksen tasoa tietosuojavaltuutetun ja Euroopan tietosuojaneuvoston eettisistä toimintapuitteista;</w:t>
      </w:r>
    </w:p>
    <w:p w:rsidR="00E54062" w:rsidRPr="005C17EC" w:rsidRDefault="00E54062" w:rsidP="00E54062">
      <w:pPr>
        <w:pStyle w:val="NormalHanging12a"/>
        <w:widowControl/>
        <w:rPr>
          <w:szCs w:val="24"/>
        </w:rPr>
      </w:pPr>
      <w:r w:rsidRPr="005C17EC">
        <w:t>32.</w:t>
      </w:r>
      <w:r w:rsidRPr="005C17EC">
        <w:tab/>
        <w:t>pitää myönteisenä tietosuojavaltuutetun toiminnassaan saavuttamaa yleisesti ottaen korkeaa avoimuuden tasoa erityisesti kun on kyse tietosuojavaltuutetun ja toimielimen hallintopäällikön ohjelman ja sidonnaisuuksia koskevan ilmoituksen julkaisemisesta vuonna 2019 annettujen tietosuojavaltuutetun käytännesääntöjen mukaisesti; pitää valitettavana, että hallintopäällikköön päätettiin soveltaa tietosuojavaltuutetun käytännesääntöjä sen sijaan, että olisi annettu erityiset käytännesäännöt ylemmän johdon tehtäviin;</w:t>
      </w:r>
    </w:p>
    <w:p w:rsidR="00E54062" w:rsidRPr="005C17EC" w:rsidRDefault="00E54062" w:rsidP="00E54062">
      <w:pPr>
        <w:pStyle w:val="NormalHanging12a"/>
        <w:widowControl/>
        <w:rPr>
          <w:szCs w:val="24"/>
        </w:rPr>
      </w:pPr>
      <w:r w:rsidRPr="005C17EC">
        <w:t>33.</w:t>
      </w:r>
      <w:r w:rsidRPr="005C17EC">
        <w:tab/>
        <w:t>panee tyytyväisenä merkille, että tietosuojavaltuutettu ei ole koskaan ollut osallisena missään Euroopan petostentorjuntaviraston (OLAF) tutkimuksessa perustamisensa jälkeen;</w:t>
      </w:r>
    </w:p>
    <w:p w:rsidR="00E54062" w:rsidRPr="005C17EC" w:rsidRDefault="00E54062" w:rsidP="00E54062">
      <w:pPr>
        <w:pStyle w:val="NormalHanging12a"/>
        <w:widowControl/>
        <w:rPr>
          <w:szCs w:val="24"/>
        </w:rPr>
      </w:pPr>
      <w:r w:rsidRPr="005C17EC">
        <w:t>34.</w:t>
      </w:r>
      <w:r w:rsidRPr="005C17EC">
        <w:tab/>
        <w:t>on tyytyväinen, että kaksi oikeusasiamiehen vuonna 2022 aloittamaa tietosuojavaltuutettua koskevaa tutkimusta päätettiin ilman havaintoja hallinnollisista epäkohdista;</w:t>
      </w:r>
    </w:p>
    <w:p w:rsidR="00E54062" w:rsidRPr="005C17EC" w:rsidRDefault="00E54062" w:rsidP="00E54062">
      <w:pPr>
        <w:pStyle w:val="NormalHanging12a"/>
        <w:widowControl/>
        <w:rPr>
          <w:b/>
          <w:i/>
          <w:szCs w:val="24"/>
        </w:rPr>
      </w:pPr>
      <w:r w:rsidRPr="005C17EC">
        <w:t>35.</w:t>
      </w:r>
      <w:r w:rsidRPr="005C17EC">
        <w:tab/>
        <w:t>pitää valitettavana, että tietosuojavaltuutettu ei ole vieläkään virallisesti liittynyt avoimuusrekisteriin; pitää kuitenkin myönteisenä, että tietosuojavaltuutetun avoimuussäännöt on mukautettu avoimuusrekisterin periaatteisiin siltä osin kuin on kyse kolmansien osapuolten ja tietosuojavaltuutetun ja hallintopäällikön tapaamisia edeltävistä pakollisista avoimuusrekisterin ennakkotarkastuksista; korostaa, että avoimuutta voitaisiin edistää paremmin kirjautumalla rekisteriin; toistaa tietosuojavaltuutetulle esittämänsä kehotuksen liittyä EU:n avoimuusrekisteriin;</w:t>
      </w:r>
    </w:p>
    <w:p w:rsidR="00E54062" w:rsidRPr="005C17EC" w:rsidRDefault="00E54062" w:rsidP="00E54062">
      <w:pPr>
        <w:pStyle w:val="NormalHanging12a"/>
        <w:widowControl/>
        <w:rPr>
          <w:szCs w:val="24"/>
        </w:rPr>
      </w:pPr>
      <w:r w:rsidRPr="005C17EC">
        <w:t>36.</w:t>
      </w:r>
      <w:r w:rsidRPr="005C17EC">
        <w:tab/>
        <w:t>panee merkille, että tietosuojavaltuutettu on luonut käytännesääntöjen, tietoisuuden lisäämisen ja ilmoitusten avulla kehyksen, jolla ehkäistään eturistiriitoja ylemmän johdon ja henkilöstön tasolla; panee tyytyväisenä merkille, ettei vuonna 2022 havaittu yhtäkään eturistiriitaa;</w:t>
      </w:r>
    </w:p>
    <w:p w:rsidR="00E54062" w:rsidRPr="005C17EC" w:rsidRDefault="00E54062" w:rsidP="00E54062">
      <w:pPr>
        <w:pStyle w:val="NormalHanging12a"/>
        <w:widowControl/>
        <w:rPr>
          <w:szCs w:val="24"/>
        </w:rPr>
      </w:pPr>
      <w:r w:rsidRPr="005C17EC">
        <w:t>37.</w:t>
      </w:r>
      <w:r w:rsidRPr="005C17EC">
        <w:tab/>
        <w:t>panee merkille, että tietosuojavaltuutetulla on väärinkäytösten paljastamisesta sisäiset säännöt, joissa määritellään turvalliset reitit ja kanavat, joiden kautta henkilöstö voi tuoda esiin petoksiin, korruptioon ja mihin tahansa muihin vakaviin väärinkäytöksiin liittyviä huolenaiheita ilman, että se vaikuttaa väärinkäytösten paljastajan henkilöllisyyden ja ilmoitettujen tietojen luottamuksellisuuteen; toteaa, että vuonna 2022 ei ollut yhtäkään ilmoitettua väärinkäytösten paljastamistapausta;</w:t>
      </w:r>
    </w:p>
    <w:p w:rsidR="00E54062" w:rsidRPr="005C17EC" w:rsidRDefault="00E54062" w:rsidP="00E54062">
      <w:pPr>
        <w:pStyle w:val="NormalHanging12a"/>
        <w:widowControl/>
        <w:rPr>
          <w:b/>
          <w:i/>
          <w:szCs w:val="24"/>
        </w:rPr>
      </w:pPr>
      <w:proofErr w:type="spellStart"/>
      <w:r w:rsidRPr="005C17EC">
        <w:rPr>
          <w:b/>
          <w:i/>
        </w:rPr>
        <w:t>Digitalisaatio</w:t>
      </w:r>
      <w:proofErr w:type="spellEnd"/>
      <w:r w:rsidRPr="005C17EC">
        <w:rPr>
          <w:b/>
          <w:i/>
        </w:rPr>
        <w:t>, kyberturvallisuus ja tietosuoja</w:t>
      </w:r>
    </w:p>
    <w:p w:rsidR="00E54062" w:rsidRPr="005C17EC" w:rsidRDefault="00E54062" w:rsidP="00E54062">
      <w:pPr>
        <w:pStyle w:val="NormalHanging12a"/>
        <w:widowControl/>
        <w:rPr>
          <w:szCs w:val="24"/>
        </w:rPr>
      </w:pPr>
      <w:r w:rsidRPr="005C17EC">
        <w:t>38.</w:t>
      </w:r>
      <w:r w:rsidRPr="005C17EC">
        <w:tab/>
        <w:t>toteaa, että tietotekniikkalaitteiden ja -hankkeiden määrärahat vuonna 2022 olivat 21 prosenttia suuremmat kuin vuonna 2021; toteaa, että tätä tietoa on arvioitava sitä taustaa vasten, että myös vuoden 2021 tietotekniikkamäärärahat olivat 20 prosenttia suuremmat kuin vuoden 2020 talousarviossa;</w:t>
      </w:r>
    </w:p>
    <w:p w:rsidR="00E54062" w:rsidRPr="005C17EC" w:rsidRDefault="00E54062" w:rsidP="00E54062">
      <w:pPr>
        <w:pStyle w:val="NormalHanging12a"/>
        <w:widowControl/>
        <w:rPr>
          <w:szCs w:val="24"/>
        </w:rPr>
      </w:pPr>
      <w:r w:rsidRPr="005C17EC">
        <w:t>39.</w:t>
      </w:r>
      <w:r w:rsidRPr="005C17EC">
        <w:tab/>
        <w:t xml:space="preserve">panee merkille, että tietosuojavaltuutettu tutki vuonna 2022 useiden EU:n toimielinten tietotekniikkastrategioita tehdessään tietotekniikkaa koskevaa laajaa toteutettavuustutkimusta, joka toimi perustana tietosuojavaltuutetun tulevien vuosien tietotekniikkastrategian määrittelylle; kehottaa tietosuojavaltuutettua pitämään </w:t>
      </w:r>
      <w:r w:rsidRPr="005C17EC">
        <w:lastRenderedPageBreak/>
        <w:t>vastuuvapauden myöntävän viranomaisen ajan tasalla tämän analyysin tuloksista ja vaikutuksista resursseihin;</w:t>
      </w:r>
    </w:p>
    <w:p w:rsidR="00E54062" w:rsidRPr="005C17EC" w:rsidRDefault="00E54062" w:rsidP="00E54062">
      <w:pPr>
        <w:pStyle w:val="NormalHanging12a"/>
        <w:widowControl/>
        <w:rPr>
          <w:szCs w:val="24"/>
        </w:rPr>
      </w:pPr>
      <w:r w:rsidRPr="005C17EC">
        <w:t>40.</w:t>
      </w:r>
      <w:r w:rsidRPr="005C17EC">
        <w:tab/>
        <w:t>toteaa, että parlamentti tarjoaa institutionaalisena palveluntarjoajana tietosuojavaltuutetulle tietotekniikkalaitteita ja -palveluja; on tyytyväinen tietosuojavaltuutetun pyrkimyksiin kehittää jatkuvasti digitaalisen työympäristönsä tehokkuutta ja turvallisuutta parlamentin tarjoamaa laajemmin; toteaa, että tähän on kuulunut tietosuojavaltuutetun henkilöstölle tarjottujen tietokoneiden laadun ja suorituskyvyn parantaminen yhteistyössä parlamentin kanssa hybridityön yleistymistä ajatellen;</w:t>
      </w:r>
    </w:p>
    <w:p w:rsidR="00E54062" w:rsidRPr="005C17EC" w:rsidRDefault="00E54062" w:rsidP="00E54062">
      <w:pPr>
        <w:pStyle w:val="NormalHanging12a"/>
        <w:widowControl/>
        <w:rPr>
          <w:szCs w:val="24"/>
        </w:rPr>
      </w:pPr>
      <w:r w:rsidRPr="005C17EC">
        <w:t>41.</w:t>
      </w:r>
      <w:r w:rsidRPr="005C17EC">
        <w:tab/>
        <w:t xml:space="preserve">panee merkille tietosuojavaltuutetun johtavan aseman EU:n toimielinten kyberturvallisuusvalmiuden parantamisessa; toteaa, että tietosuojavaltuutettu paransi vuonna 2022 edelleen valmiuttaan suojata henkilötietoja ja arkaluonteisia tietoja kyberhyökkäyksiltä nopeasti muuttuvassa kyberuhkaympäristössä; onnittelee tietosuojavaltuutettua siitä, että se on tarkistanut turvallisuuspolitiikkaansa ja </w:t>
      </w:r>
      <w:r w:rsidRPr="005C17EC">
        <w:noBreakHyphen/>
        <w:t>menetelmiään ja mukauttanut kyberturvallisuussopimustensa vaatimuksia CERT</w:t>
      </w:r>
      <w:r w:rsidRPr="005C17EC">
        <w:noBreakHyphen/>
        <w:t>EU:n ohjeiden mukaisesti EU:n kyberturvallisuusasetuksen voimaantuloa ennakoiden, mikä hyödyttää kaikkia toimielimiä; toteaa, että tietosuojavaltuutettuun ei kohdistunut kyberhyökkäyksiä vuonna 2022;</w:t>
      </w:r>
    </w:p>
    <w:p w:rsidR="00E54062" w:rsidRPr="005C17EC" w:rsidRDefault="00E54062" w:rsidP="00E54062">
      <w:pPr>
        <w:pStyle w:val="NormalHanging12a"/>
        <w:widowControl/>
        <w:rPr>
          <w:szCs w:val="24"/>
        </w:rPr>
      </w:pPr>
      <w:r w:rsidRPr="005C17EC">
        <w:t>42.</w:t>
      </w:r>
      <w:r w:rsidRPr="005C17EC">
        <w:tab/>
        <w:t xml:space="preserve">panee merkille, että tietosuojavaltuutettu </w:t>
      </w:r>
      <w:proofErr w:type="spellStart"/>
      <w:r w:rsidRPr="005C17EC">
        <w:t>pilotoi</w:t>
      </w:r>
      <w:proofErr w:type="spellEnd"/>
      <w:r w:rsidRPr="005C17EC">
        <w:t xml:space="preserve"> ja kehittää innovatiivisia ja yksityisyyttä edistäviä avoimen lähdekoodin tietoteknisiä ratkaisuja; katsoo, että tietosuojavaltuutetun olisi jaettava näitä kokemuksia muiden EU:n toimielinten kanssa;</w:t>
      </w:r>
    </w:p>
    <w:p w:rsidR="00E54062" w:rsidRPr="005C17EC" w:rsidRDefault="00E54062" w:rsidP="00E54062">
      <w:pPr>
        <w:pStyle w:val="NormalHanging12a"/>
        <w:widowControl/>
        <w:rPr>
          <w:szCs w:val="24"/>
        </w:rPr>
      </w:pPr>
      <w:r w:rsidRPr="005C17EC">
        <w:t>43.</w:t>
      </w:r>
      <w:r w:rsidRPr="005C17EC">
        <w:tab/>
        <w:t xml:space="preserve">panee tyytyväisenä merkille tietosuojavaltuutetun </w:t>
      </w:r>
      <w:proofErr w:type="spellStart"/>
      <w:r w:rsidRPr="005C17EC">
        <w:t>Schrems</w:t>
      </w:r>
      <w:proofErr w:type="spellEnd"/>
      <w:r w:rsidRPr="005C17EC">
        <w:t xml:space="preserve"> II -tuomion jatkotoimet, jotka keskittyivät vuonna 2022 etenkin EU:n toimielinten, elinten ja laitosten sopimuksiin yksityisen sektorin toimijoiden, erityisesti suurten tieto- ja viestintätekniikan toimittajien, kanssa sekä toimielinten järjestelyihin EU:n/ETA:n ulkopuolisten julkisten elinten ja kansainvälisten järjestöjen kanssa;</w:t>
      </w:r>
    </w:p>
    <w:p w:rsidR="00E54062" w:rsidRPr="005C17EC" w:rsidRDefault="00E54062" w:rsidP="00E54062">
      <w:pPr>
        <w:pStyle w:val="NormalHanging12a"/>
        <w:widowControl/>
        <w:ind w:left="0" w:firstLine="0"/>
        <w:rPr>
          <w:b/>
          <w:i/>
          <w:szCs w:val="24"/>
        </w:rPr>
      </w:pPr>
      <w:r w:rsidRPr="005C17EC">
        <w:rPr>
          <w:b/>
          <w:i/>
        </w:rPr>
        <w:t>Kiinteistöt</w:t>
      </w:r>
    </w:p>
    <w:p w:rsidR="00E54062" w:rsidRPr="005C17EC" w:rsidRDefault="00E54062" w:rsidP="00E54062">
      <w:pPr>
        <w:pStyle w:val="NormalHanging12a"/>
        <w:widowControl/>
        <w:rPr>
          <w:szCs w:val="24"/>
        </w:rPr>
      </w:pPr>
      <w:r w:rsidRPr="005C17EC">
        <w:t>44.</w:t>
      </w:r>
      <w:r w:rsidRPr="005C17EC">
        <w:tab/>
        <w:t>toteaa, että oikeusasiamiehen muuton jälkeen vuoden 2021 lopussa Euroopan tietosuojavaltuutettu ja Euroopan tietosuojaneuvosto olivat vuonna 2022 ainoat vuokralaiset parlamentin rakennuksessa, jossa ne sijaitsevat; toteaa, että muuton jälkeen rakennuksen kolme kerrosta kunnostettiin täysin tietosuojavaltuutetun ja Euroopan tietosuojaneuvoston henkilöstöä varten ja niitä mukautettiin covid-19-pandemian jälkeisiin uusiin työoloihin;</w:t>
      </w:r>
    </w:p>
    <w:p w:rsidR="00E54062" w:rsidRPr="005C17EC" w:rsidRDefault="00E54062" w:rsidP="00E54062">
      <w:pPr>
        <w:pStyle w:val="NormalHanging12a"/>
        <w:widowControl/>
        <w:rPr>
          <w:szCs w:val="24"/>
        </w:rPr>
      </w:pPr>
      <w:r w:rsidRPr="005C17EC">
        <w:t>45.</w:t>
      </w:r>
      <w:r w:rsidRPr="005C17EC">
        <w:tab/>
        <w:t>toteaa, että tietosuojavaltuutettu tukeutuu osana kiinteistöpolitiikkaansa rakennuksensa esteettömyyden osalta niihin päätöksiin, jotka parlamentti on tehnyt ja pannut täytäntöön; kehottaa tietosuojavaltuutettua puhumaan sen puolesta, että keskityttäisiin liikuntarajoitteisten tai vammaisten henkilöiden tarpeisiin, ja tiedottamaan vastuuvapauden myöntävälle viranomaiselle kaikista asiaa koskevista uusista päätöksistä;</w:t>
      </w:r>
    </w:p>
    <w:p w:rsidR="00E54062" w:rsidRPr="005C17EC" w:rsidRDefault="00E54062" w:rsidP="00E54062">
      <w:pPr>
        <w:pStyle w:val="NormalHanging12a"/>
        <w:widowControl/>
        <w:ind w:left="0" w:firstLine="0"/>
        <w:rPr>
          <w:b/>
          <w:i/>
          <w:szCs w:val="24"/>
        </w:rPr>
      </w:pPr>
      <w:r w:rsidRPr="005C17EC">
        <w:rPr>
          <w:b/>
          <w:i/>
        </w:rPr>
        <w:t>Ympäristö ja kestävä kehitys</w:t>
      </w:r>
    </w:p>
    <w:p w:rsidR="00E54062" w:rsidRPr="005C17EC" w:rsidRDefault="00E54062" w:rsidP="00E54062">
      <w:pPr>
        <w:pStyle w:val="NormalHanging12a"/>
        <w:widowControl/>
        <w:rPr>
          <w:szCs w:val="24"/>
        </w:rPr>
      </w:pPr>
      <w:r w:rsidRPr="005C17EC">
        <w:t>46.</w:t>
      </w:r>
      <w:r w:rsidRPr="005C17EC">
        <w:tab/>
        <w:t xml:space="preserve">panee merkille, että tietosuojavaltuutettu ei ole liittynyt ympäristöasioiden hallinta- ja auditointijärjestelmään (EMAS) mutta on toteuttanut ympäristöjalanjälkensä </w:t>
      </w:r>
      <w:r w:rsidRPr="005C17EC">
        <w:lastRenderedPageBreak/>
        <w:t>pienentämiseksi useita toimenpiteitä, kuten paperin määrän vähentäminen henkilöstöprosessien digitalisoinnin seurauksena tai jätteiden kierrätys; panee ympäristöinfrastruktuurien osalta merkille, että parlamentin vuokraamaan rakennukseen ei ole asennettu aurinkopaneeleja; kehottaa tietosuojavaltuutettua tiedottamaan vastuuvapauden myöntävälle viranomaiselle kaikista uusista päätöksistä, jotka koskevat aurinkopaneelien asentamista rakennukseen;</w:t>
      </w:r>
    </w:p>
    <w:p w:rsidR="00E54062" w:rsidRPr="005C17EC" w:rsidRDefault="00E54062" w:rsidP="00E54062">
      <w:pPr>
        <w:pStyle w:val="NormalHanging12a"/>
        <w:widowControl/>
        <w:rPr>
          <w:szCs w:val="24"/>
        </w:rPr>
      </w:pPr>
      <w:r w:rsidRPr="005C17EC">
        <w:t>47.</w:t>
      </w:r>
      <w:r w:rsidRPr="005C17EC">
        <w:tab/>
        <w:t>panee tyytyväisenä merkille, että tietosuojavaltuutettu edistää edelleen henkilöstönsä kestävää liikkumista korvaamalla 50 prosenttia julkisen liikenteen käytön kuukausi- tai vuosimaksuista ja varaamalla pysäköintitiloistaan riittävästi tilaa henkilöstönsä polkupyörille;</w:t>
      </w:r>
    </w:p>
    <w:p w:rsidR="00E54062" w:rsidRPr="005C17EC" w:rsidRDefault="00E54062" w:rsidP="00E54062">
      <w:pPr>
        <w:pStyle w:val="NormalHanging12a"/>
        <w:widowControl/>
        <w:rPr>
          <w:b/>
          <w:i/>
          <w:szCs w:val="24"/>
        </w:rPr>
      </w:pPr>
      <w:r w:rsidRPr="005C17EC">
        <w:rPr>
          <w:b/>
          <w:i/>
        </w:rPr>
        <w:t>Toimielinten välinen yhteistyö</w:t>
      </w:r>
    </w:p>
    <w:p w:rsidR="00E54062" w:rsidRPr="005C17EC" w:rsidRDefault="00E54062" w:rsidP="00E54062">
      <w:pPr>
        <w:pStyle w:val="NormalHanging12a"/>
        <w:widowControl/>
        <w:rPr>
          <w:szCs w:val="24"/>
        </w:rPr>
      </w:pPr>
      <w:r w:rsidRPr="005C17EC">
        <w:t>48.</w:t>
      </w:r>
      <w:r w:rsidRPr="005C17EC">
        <w:tab/>
        <w:t>on tyytyväinen toimielinten välisellä yhteistyöllä saavutettuihin talousarvio- ja hallintosäästöihin, erityisesti palvelutasosopimuksiin parlamentin kanssa toimitilojen vuokraamisesta ja tietotekniikkasovellusten käytöstä, laitteistojen toimituksesta ja ylläpidosta sekä komission kanssa tieto- ja viestintätekniikan palveluista;</w:t>
      </w:r>
    </w:p>
    <w:p w:rsidR="00E54062" w:rsidRPr="005C17EC" w:rsidRDefault="00E54062" w:rsidP="00E54062">
      <w:pPr>
        <w:pStyle w:val="NormalHanging12a"/>
        <w:widowControl/>
        <w:rPr>
          <w:szCs w:val="24"/>
        </w:rPr>
      </w:pPr>
      <w:r w:rsidRPr="005C17EC">
        <w:t>49.</w:t>
      </w:r>
      <w:r w:rsidRPr="005C17EC">
        <w:tab/>
        <w:t xml:space="preserve">panee merkille, että tietosuojavaltuutettu tekee tiivistä vaikkakin epävirallista yhteistyötä Euroopan petostentorjuntavirasto </w:t>
      </w:r>
      <w:proofErr w:type="spellStart"/>
      <w:r w:rsidRPr="005C17EC">
        <w:t>OLAFin</w:t>
      </w:r>
      <w:proofErr w:type="spellEnd"/>
      <w:r w:rsidRPr="005C17EC">
        <w:t xml:space="preserve">, Euroopan syyttäjänvirasto </w:t>
      </w:r>
      <w:proofErr w:type="spellStart"/>
      <w:r w:rsidRPr="005C17EC">
        <w:t>EPPOn</w:t>
      </w:r>
      <w:proofErr w:type="spellEnd"/>
      <w:r w:rsidRPr="005C17EC">
        <w:t xml:space="preserve"> ja Euroopan unionin tuomioistuimen kanssa, joille se antaa tietyissä hankkeissa ja kysymyksissä valvontatehtäväänsä täydentävää neuvontaa; pitää myönteisenä erityisesti säännöllistä keskustelua vastaperustetun toimielimen, </w:t>
      </w:r>
      <w:proofErr w:type="spellStart"/>
      <w:r w:rsidRPr="005C17EC">
        <w:t>EPPOn</w:t>
      </w:r>
      <w:proofErr w:type="spellEnd"/>
      <w:r w:rsidRPr="005C17EC">
        <w:t>, kanssa vuonna 2022; on tyytyväinen, että tietosuojavaltuutettu tekee entistä jäsennellympää yhteistyötä oikeusasiamiehen kanssa yhteisymmärryspöytäkirjan pohjalta, jonka tarkoituksena on määritellä valitusten käsittelyn tasolla tapahtuvaa yhteistyötä koskevat järjestelyt;</w:t>
      </w:r>
    </w:p>
    <w:p w:rsidR="00E54062" w:rsidRPr="005C17EC" w:rsidRDefault="00E54062" w:rsidP="00E54062">
      <w:pPr>
        <w:pStyle w:val="NormalHanging12a"/>
        <w:widowControl/>
        <w:rPr>
          <w:szCs w:val="24"/>
        </w:rPr>
      </w:pPr>
      <w:r w:rsidRPr="005C17EC">
        <w:t>50.</w:t>
      </w:r>
      <w:r w:rsidRPr="005C17EC">
        <w:tab/>
        <w:t xml:space="preserve">toteaa, että toimielinten välinen yhteistyö valvontatehtävää toteuttavan tietosuojavaltuutetun kanssa on keskeistä muille EU:n toimielimille, jotta ne voivat parantaa toiminnassaan tietosuojalainsäädännön noudattamisen tasoa; onnittelee tietosuojavaltuutettua siitä, että se otti vastuulleen tehdä yhteisen sopimuksen </w:t>
      </w:r>
      <w:proofErr w:type="spellStart"/>
      <w:r w:rsidRPr="005C17EC">
        <w:t>Nextcloud</w:t>
      </w:r>
      <w:proofErr w:type="spellEnd"/>
      <w:r w:rsidRPr="005C17EC">
        <w:t>-palveluista allekirjoittaneiden toimielinten puolesta;</w:t>
      </w:r>
    </w:p>
    <w:p w:rsidR="00E54062" w:rsidRPr="005C17EC" w:rsidRDefault="00E54062" w:rsidP="00E54062">
      <w:pPr>
        <w:pStyle w:val="NormalHanging12a"/>
        <w:widowControl/>
        <w:rPr>
          <w:szCs w:val="24"/>
        </w:rPr>
      </w:pPr>
      <w:r w:rsidRPr="005C17EC">
        <w:t>51.</w:t>
      </w:r>
      <w:r w:rsidRPr="005C17EC">
        <w:tab/>
        <w:t>pitää myönteisenä, että tietosuojavaltuutettu otti vuonna 2022 keskeisen roolin Euroopan tietosuojaneuvostossa edustettuina olevien jäsenvaltioiden tietosuojaviranomaisten koordinoimisessa johdonmukaisen tietosuojan edistämiseksi kaikkialla unionissa; panee merkille, että tietosuojavaltuutettu osallistui vuonna 2022 Euroopan tietosuojaneuvoston koordinoimaan, pilvipalvelujen käyttöä unionissa koskevaan täytäntöönpanotoimeen, jolla pyrittiin jakamaan tietoa ja hyviä käytäntöjä tietosuojavaltuutetun, EU:n toimielinten ja tietosuojaviranomaisten kesken;</w:t>
      </w:r>
    </w:p>
    <w:p w:rsidR="00E54062" w:rsidRPr="005C17EC" w:rsidRDefault="00E54062" w:rsidP="00E54062">
      <w:pPr>
        <w:pStyle w:val="NormalHanging12a"/>
        <w:widowControl/>
        <w:rPr>
          <w:b/>
          <w:i/>
          <w:szCs w:val="24"/>
        </w:rPr>
      </w:pPr>
      <w:r w:rsidRPr="005C17EC">
        <w:rPr>
          <w:b/>
          <w:i/>
        </w:rPr>
        <w:t>Viestintä</w:t>
      </w:r>
    </w:p>
    <w:p w:rsidR="00E54062" w:rsidRPr="005C17EC" w:rsidRDefault="00E54062" w:rsidP="00E54062">
      <w:pPr>
        <w:pStyle w:val="NormalHanging12a"/>
        <w:widowControl/>
        <w:rPr>
          <w:szCs w:val="24"/>
        </w:rPr>
      </w:pPr>
      <w:r w:rsidRPr="005C17EC">
        <w:t>52.</w:t>
      </w:r>
      <w:r w:rsidRPr="005C17EC">
        <w:tab/>
        <w:t>toteaa, että julkisten viestintä- ja tiedotustoimien määrärahat vuonna 2022 olivat 304 665 euroa, eli ne kasvoivat 19 prosenttia vuodesta 2021; suhtautuu myönteisesti EU:n toimielimille, EU:n tietosuoja-asiantuntijoille ja suurelle yleisölle suunnattuun kattavaan viestintästrategiaan, jolla pyritään lisäämään tietoisuutta tietosuojavaltuutetun roolista ja unionin tietosuojasääntöjen noudattamisen tärkeydestä;</w:t>
      </w:r>
    </w:p>
    <w:p w:rsidR="00E54062" w:rsidRPr="005C17EC" w:rsidRDefault="00E54062" w:rsidP="00E54062">
      <w:pPr>
        <w:pStyle w:val="NormalHanging12a"/>
        <w:widowControl/>
        <w:rPr>
          <w:szCs w:val="24"/>
        </w:rPr>
      </w:pPr>
      <w:r w:rsidRPr="005C17EC">
        <w:lastRenderedPageBreak/>
        <w:t>53.</w:t>
      </w:r>
      <w:r w:rsidRPr="005C17EC">
        <w:tab/>
        <w:t>panee tyytyväisenä merkille, että tietosuojavaltuutettu järjesti vuonna 2022 useita hybridimuotoisia viestintätapahtumia, kuten merkittävän kansainvälisen konferenssin ”</w:t>
      </w:r>
      <w:proofErr w:type="spellStart"/>
      <w:r w:rsidRPr="005C17EC">
        <w:t>The</w:t>
      </w:r>
      <w:proofErr w:type="spellEnd"/>
      <w:r w:rsidRPr="005C17EC">
        <w:t xml:space="preserve"> </w:t>
      </w:r>
      <w:proofErr w:type="spellStart"/>
      <w:r w:rsidRPr="005C17EC">
        <w:t>future</w:t>
      </w:r>
      <w:proofErr w:type="spellEnd"/>
      <w:r w:rsidRPr="005C17EC">
        <w:t xml:space="preserve"> of data </w:t>
      </w:r>
      <w:proofErr w:type="spellStart"/>
      <w:r w:rsidRPr="005C17EC">
        <w:t>protection</w:t>
      </w:r>
      <w:proofErr w:type="spellEnd"/>
      <w:r w:rsidRPr="005C17EC">
        <w:t xml:space="preserve">: </w:t>
      </w:r>
      <w:proofErr w:type="spellStart"/>
      <w:r w:rsidRPr="005C17EC">
        <w:t>effective</w:t>
      </w:r>
      <w:proofErr w:type="spellEnd"/>
      <w:r w:rsidRPr="005C17EC">
        <w:t xml:space="preserve"> </w:t>
      </w:r>
      <w:proofErr w:type="spellStart"/>
      <w:r w:rsidRPr="005C17EC">
        <w:t>enforcement</w:t>
      </w:r>
      <w:proofErr w:type="spellEnd"/>
      <w:r w:rsidRPr="005C17EC">
        <w:t xml:space="preserve"> in </w:t>
      </w:r>
      <w:proofErr w:type="spellStart"/>
      <w:r w:rsidRPr="005C17EC">
        <w:t>the</w:t>
      </w:r>
      <w:proofErr w:type="spellEnd"/>
      <w:r w:rsidRPr="005C17EC">
        <w:t xml:space="preserve"> </w:t>
      </w:r>
      <w:proofErr w:type="spellStart"/>
      <w:r w:rsidRPr="005C17EC">
        <w:t>digital</w:t>
      </w:r>
      <w:proofErr w:type="spellEnd"/>
      <w:r w:rsidRPr="005C17EC">
        <w:t xml:space="preserve"> </w:t>
      </w:r>
      <w:proofErr w:type="spellStart"/>
      <w:r w:rsidRPr="005C17EC">
        <w:t>world</w:t>
      </w:r>
      <w:proofErr w:type="spellEnd"/>
      <w:r w:rsidRPr="005C17EC">
        <w:t>”, johon osallistui yli 2 000 henkilöä joko paikan päällä tai etänä;</w:t>
      </w:r>
    </w:p>
    <w:p w:rsidR="00E54062" w:rsidRPr="005C17EC" w:rsidRDefault="00E54062" w:rsidP="00E54062">
      <w:pPr>
        <w:pStyle w:val="NormalHanging12a"/>
        <w:widowControl/>
        <w:rPr>
          <w:szCs w:val="24"/>
        </w:rPr>
      </w:pPr>
      <w:r w:rsidRPr="005C17EC">
        <w:t>54.</w:t>
      </w:r>
      <w:r w:rsidRPr="005C17EC">
        <w:tab/>
        <w:t xml:space="preserve">panee merkille, että tietosuojavaltuutettu viestii verkossa omalla verkkosivustollaan ja sosiaalisen median tileillään X:ssä (ent. Twitter) (29 100 seuraajaa), </w:t>
      </w:r>
      <w:proofErr w:type="spellStart"/>
      <w:r w:rsidRPr="005C17EC">
        <w:t>Linkedinissä</w:t>
      </w:r>
      <w:proofErr w:type="spellEnd"/>
      <w:r w:rsidRPr="005C17EC">
        <w:t xml:space="preserve"> (63 000 seuraajaa), </w:t>
      </w:r>
      <w:proofErr w:type="spellStart"/>
      <w:r w:rsidRPr="005C17EC">
        <w:t>Youtubessa</w:t>
      </w:r>
      <w:proofErr w:type="spellEnd"/>
      <w:r w:rsidRPr="005C17EC">
        <w:t xml:space="preserve"> (275 000 seuraajaa), EU Voicessa (5 100 seuraajaa) ja EU Videossa (690 seuraajaa); toteaa, että tietosuojavaltuutettu käynnisti vuonna 2022 useita sosiaalisen median kampanjoita, joilla pyrittiin edistämään tiettyjä aloitteita tai jotka toteutettiin yhteistyössä muiden EU:n toimielinten kanssa näkyvyyden parantamiseksi ja seuraajien pitämiseksi ajan tasalla toiminnasta;</w:t>
      </w:r>
    </w:p>
    <w:p w:rsidR="00E54062" w:rsidRPr="005C17EC" w:rsidRDefault="00E54062" w:rsidP="00E54062">
      <w:pPr>
        <w:pStyle w:val="NormalHanging12a"/>
        <w:widowControl/>
        <w:rPr>
          <w:szCs w:val="24"/>
        </w:rPr>
      </w:pPr>
      <w:r w:rsidRPr="005C17EC">
        <w:t>55.</w:t>
      </w:r>
      <w:r w:rsidRPr="005C17EC">
        <w:tab/>
        <w:t>panee merkille tietosuojavaltuutetun johtavan roolin sellaisten sosiaalisen median kanavien pilotoinnissa ja edistämisessä, jotka tukevat datasuvereniteettia ja digitaalista suvereniteettia koskevaa unionin strategiaa tietosuojalainsäädännön mukaisesti;</w:t>
      </w:r>
    </w:p>
    <w:p w:rsidR="00E365E1" w:rsidRDefault="00E54062" w:rsidP="00513E65">
      <w:pPr>
        <w:pStyle w:val="NormalHanging12a"/>
        <w:widowControl/>
      </w:pPr>
      <w:r w:rsidRPr="005C17EC">
        <w:t>56.</w:t>
      </w:r>
      <w:r w:rsidRPr="005C17EC">
        <w:tab/>
        <w:t xml:space="preserve">toistaa tukensa tietosuojavaltuutetun pyrkimyksille seurata ja selittää suurelle yleisölle teknologian uusinta kehitystä ja sen mahdollista vaikutusta tietosuojaan ja yksityisyyteen esimerkiksi </w:t>
      </w:r>
      <w:proofErr w:type="spellStart"/>
      <w:r w:rsidRPr="005C17EC">
        <w:t>TechDispatch</w:t>
      </w:r>
      <w:proofErr w:type="spellEnd"/>
      <w:r w:rsidRPr="005C17EC">
        <w:t xml:space="preserve">- ja </w:t>
      </w:r>
      <w:proofErr w:type="spellStart"/>
      <w:r w:rsidRPr="005C17EC">
        <w:t>TechSonar</w:t>
      </w:r>
      <w:proofErr w:type="spellEnd"/>
      <w:r w:rsidRPr="005C17EC">
        <w:t>-raporttien avulla; kannustaa edelleen tietosuojavaltuutettua lisäämään valmiuksiaan teknologian seurannan alalla ja käynnistämään havaintojaan ja suosituksiaan koskevia tiedotuskampanjoita</w:t>
      </w:r>
      <w:r w:rsidR="005B67C6">
        <w:t>.</w:t>
      </w:r>
      <w:bookmarkStart w:id="10" w:name="TextBodyEnd"/>
      <w:bookmarkEnd w:id="10"/>
    </w:p>
    <w:p w:rsidR="00513E65" w:rsidRPr="005C17EC" w:rsidRDefault="00513E65" w:rsidP="00513E65">
      <w:pPr>
        <w:pStyle w:val="NormalHanging12a"/>
        <w:widowControl/>
      </w:pPr>
    </w:p>
    <w:sectPr w:rsidR="00513E65" w:rsidRPr="005C17EC" w:rsidSect="005C17E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2159" w:rsidRPr="005C17EC" w:rsidRDefault="00062159">
      <w:r w:rsidRPr="005C17EC">
        <w:separator/>
      </w:r>
    </w:p>
  </w:endnote>
  <w:endnote w:type="continuationSeparator" w:id="0">
    <w:p w:rsidR="00062159" w:rsidRPr="005C17EC" w:rsidRDefault="00062159">
      <w:r w:rsidRPr="005C17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062" w:rsidRPr="005C17EC" w:rsidRDefault="00E54062" w:rsidP="0057420D">
    <w:pPr>
      <w:pStyle w:val="EPFooter"/>
    </w:pPr>
    <w:r w:rsidRPr="005C17EC">
      <w:t>PE</w:t>
    </w:r>
    <w:r w:rsidRPr="005C17EC">
      <w:rPr>
        <w:rStyle w:val="HideTWBExt"/>
      </w:rPr>
      <w:t>&lt;</w:t>
    </w:r>
    <w:proofErr w:type="spellStart"/>
    <w:r w:rsidRPr="005C17EC">
      <w:rPr>
        <w:rStyle w:val="HideTWBExt"/>
      </w:rPr>
      <w:t>NoPE</w:t>
    </w:r>
    <w:proofErr w:type="spellEnd"/>
    <w:r w:rsidRPr="005C17EC">
      <w:rPr>
        <w:rStyle w:val="HideTWBExt"/>
      </w:rPr>
      <w:t>&gt;</w:t>
    </w:r>
    <w:r w:rsidRPr="005C17EC">
      <w:t>753.487</w:t>
    </w:r>
    <w:r w:rsidRPr="005C17EC">
      <w:rPr>
        <w:rStyle w:val="HideTWBExt"/>
      </w:rPr>
      <w:t>&lt;/</w:t>
    </w:r>
    <w:proofErr w:type="spellStart"/>
    <w:r w:rsidRPr="005C17EC">
      <w:rPr>
        <w:rStyle w:val="HideTWBExt"/>
      </w:rPr>
      <w:t>NoPE</w:t>
    </w:r>
    <w:proofErr w:type="spellEnd"/>
    <w:r w:rsidRPr="005C17EC">
      <w:rPr>
        <w:rStyle w:val="HideTWBExt"/>
      </w:rPr>
      <w:t>&gt;&lt;Version&gt;</w:t>
    </w:r>
    <w:r w:rsidRPr="005C17EC">
      <w:t>v02-00</w:t>
    </w:r>
    <w:r w:rsidRPr="005C17EC">
      <w:rPr>
        <w:rStyle w:val="HideTWBExt"/>
      </w:rPr>
      <w:t>&lt;/Version&gt;</w:t>
    </w:r>
    <w:r w:rsidRPr="005C17EC">
      <w:tab/>
    </w:r>
    <w:r w:rsidRPr="005C17EC">
      <w:fldChar w:fldCharType="begin"/>
    </w:r>
    <w:r w:rsidRPr="005C17EC">
      <w:instrText xml:space="preserve"> PAGE  \* MERGEFORMAT </w:instrText>
    </w:r>
    <w:r w:rsidRPr="005C17EC">
      <w:fldChar w:fldCharType="separate"/>
    </w:r>
    <w:r w:rsidR="005C17EC" w:rsidRPr="005C17EC">
      <w:rPr>
        <w:noProof/>
      </w:rPr>
      <w:t>2</w:t>
    </w:r>
    <w:r w:rsidRPr="005C17EC">
      <w:fldChar w:fldCharType="end"/>
    </w:r>
    <w:r w:rsidRPr="005C17EC">
      <w:t>/</w:t>
    </w:r>
    <w:fldSimple w:instr=" NUMPAGES  \* MERGEFORMAT ">
      <w:r w:rsidR="005C17EC" w:rsidRPr="005C17EC">
        <w:rPr>
          <w:noProof/>
        </w:rPr>
        <w:t>4</w:t>
      </w:r>
    </w:fldSimple>
    <w:r w:rsidRPr="005C17EC">
      <w:tab/>
    </w:r>
    <w:r w:rsidRPr="005C17EC">
      <w:rPr>
        <w:rStyle w:val="HideTWBExt"/>
      </w:rPr>
      <w:t>&lt;PathFdR&gt;</w:t>
    </w:r>
    <w:r w:rsidRPr="005C17EC">
      <w:t>RR\1298695FI.docx</w:t>
    </w:r>
    <w:r w:rsidRPr="005C17EC">
      <w:rPr>
        <w:rStyle w:val="HideTWBExt"/>
      </w:rPr>
      <w:t>&lt;/</w:t>
    </w:r>
    <w:proofErr w:type="spellStart"/>
    <w:r w:rsidRPr="005C17EC">
      <w:rPr>
        <w:rStyle w:val="HideTWBExt"/>
      </w:rPr>
      <w:t>PathFdR</w:t>
    </w:r>
    <w:proofErr w:type="spellEnd"/>
    <w:r w:rsidRPr="005C17EC">
      <w:rPr>
        <w:rStyle w:val="HideTWBExt"/>
      </w:rPr>
      <w:t>&gt;</w:t>
    </w:r>
  </w:p>
  <w:p w:rsidR="00E54062" w:rsidRPr="005C17EC" w:rsidRDefault="00E54062" w:rsidP="0057420D">
    <w:pPr>
      <w:pStyle w:val="EPFooter2"/>
    </w:pPr>
    <w:r w:rsidRPr="005C17EC">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062" w:rsidRPr="005C17EC" w:rsidRDefault="00E54062" w:rsidP="0057420D">
    <w:pPr>
      <w:pStyle w:val="EPFooter"/>
    </w:pPr>
    <w:r w:rsidRPr="005C17EC">
      <w:rPr>
        <w:rStyle w:val="HideTWBExt"/>
      </w:rPr>
      <w:t>&lt;PathFdR&gt;</w:t>
    </w:r>
    <w:r w:rsidRPr="005C17EC">
      <w:t>RR\1298695FI.docx</w:t>
    </w:r>
    <w:r w:rsidRPr="005C17EC">
      <w:rPr>
        <w:rStyle w:val="HideTWBExt"/>
      </w:rPr>
      <w:t>&lt;/</w:t>
    </w:r>
    <w:proofErr w:type="spellStart"/>
    <w:r w:rsidRPr="005C17EC">
      <w:rPr>
        <w:rStyle w:val="HideTWBExt"/>
      </w:rPr>
      <w:t>PathFdR</w:t>
    </w:r>
    <w:proofErr w:type="spellEnd"/>
    <w:r w:rsidRPr="005C17EC">
      <w:rPr>
        <w:rStyle w:val="HideTWBExt"/>
      </w:rPr>
      <w:t>&gt;</w:t>
    </w:r>
    <w:r w:rsidRPr="005C17EC">
      <w:tab/>
    </w:r>
    <w:r w:rsidRPr="005C17EC">
      <w:tab/>
      <w:t>PE</w:t>
    </w:r>
    <w:r w:rsidRPr="005C17EC">
      <w:rPr>
        <w:rStyle w:val="HideTWBExt"/>
      </w:rPr>
      <w:t>&lt;</w:t>
    </w:r>
    <w:proofErr w:type="spellStart"/>
    <w:r w:rsidRPr="005C17EC">
      <w:rPr>
        <w:rStyle w:val="HideTWBExt"/>
      </w:rPr>
      <w:t>NoPE</w:t>
    </w:r>
    <w:proofErr w:type="spellEnd"/>
    <w:r w:rsidRPr="005C17EC">
      <w:rPr>
        <w:rStyle w:val="HideTWBExt"/>
      </w:rPr>
      <w:t>&gt;</w:t>
    </w:r>
    <w:r w:rsidRPr="005C17EC">
      <w:t>753.487</w:t>
    </w:r>
    <w:r w:rsidRPr="005C17EC">
      <w:rPr>
        <w:rStyle w:val="HideTWBExt"/>
      </w:rPr>
      <w:t>&lt;/</w:t>
    </w:r>
    <w:proofErr w:type="spellStart"/>
    <w:r w:rsidRPr="005C17EC">
      <w:rPr>
        <w:rStyle w:val="HideTWBExt"/>
      </w:rPr>
      <w:t>NoPE</w:t>
    </w:r>
    <w:proofErr w:type="spellEnd"/>
    <w:r w:rsidRPr="005C17EC">
      <w:rPr>
        <w:rStyle w:val="HideTWBExt"/>
      </w:rPr>
      <w:t>&gt;&lt;Version&gt;</w:t>
    </w:r>
    <w:r w:rsidRPr="005C17EC">
      <w:t>v02-00</w:t>
    </w:r>
    <w:r w:rsidRPr="005C17EC">
      <w:rPr>
        <w:rStyle w:val="HideTWBExt"/>
      </w:rPr>
      <w:t>&lt;/Version&gt;</w:t>
    </w:r>
  </w:p>
  <w:p w:rsidR="00E54062" w:rsidRPr="005C17EC" w:rsidRDefault="00E54062" w:rsidP="0057420D">
    <w:pPr>
      <w:pStyle w:val="EPFooter2"/>
    </w:pPr>
    <w:r w:rsidRPr="005C17EC">
      <w:t>FI</w:t>
    </w:r>
    <w:r w:rsidRPr="005C17EC">
      <w:tab/>
    </w:r>
    <w:r w:rsidRPr="005C17EC">
      <w:rPr>
        <w:b w:val="0"/>
        <w:i/>
        <w:color w:val="C0C0C0"/>
        <w:sz w:val="22"/>
      </w:rPr>
      <w:t>Moninaisuudessaan yhtenäinen</w:t>
    </w:r>
    <w:r w:rsidRPr="005C17EC">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17EC"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17E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17E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2159" w:rsidRPr="005C17EC" w:rsidRDefault="00062159">
      <w:r w:rsidRPr="005C17EC">
        <w:separator/>
      </w:r>
    </w:p>
  </w:footnote>
  <w:footnote w:type="continuationSeparator" w:id="0">
    <w:p w:rsidR="00062159" w:rsidRPr="005C17EC" w:rsidRDefault="00062159">
      <w:r w:rsidRPr="005C17EC">
        <w:continuationSeparator/>
      </w:r>
    </w:p>
  </w:footnote>
  <w:footnote w:id="1">
    <w:p w:rsidR="00E54062" w:rsidRPr="005C17EC" w:rsidRDefault="00E54062" w:rsidP="005C17EC">
      <w:pPr>
        <w:pStyle w:val="FootnoteText"/>
        <w:ind w:left="567" w:hanging="567"/>
        <w:rPr>
          <w:sz w:val="24"/>
          <w:lang w:val="fi-FI"/>
        </w:rPr>
      </w:pPr>
      <w:r w:rsidRPr="005C17EC">
        <w:rPr>
          <w:rStyle w:val="FootnoteReference"/>
          <w:sz w:val="24"/>
          <w:lang w:val="fi-FI"/>
        </w:rPr>
        <w:footnoteRef/>
      </w:r>
      <w:r w:rsidR="005C17EC" w:rsidRPr="005C17EC">
        <w:rPr>
          <w:sz w:val="24"/>
          <w:lang w:val="fi-FI"/>
        </w:rPr>
        <w:t xml:space="preserve"> </w:t>
      </w:r>
      <w:r w:rsidR="005C17EC" w:rsidRPr="005C17EC">
        <w:rPr>
          <w:sz w:val="24"/>
          <w:lang w:val="fi-FI"/>
        </w:rPr>
        <w:tab/>
      </w:r>
      <w:r w:rsidRPr="005C17EC">
        <w:rPr>
          <w:sz w:val="24"/>
          <w:lang w:val="fi-FI"/>
        </w:rPr>
        <w:t>EUVL L 45, 24.2.2022.</w:t>
      </w:r>
    </w:p>
  </w:footnote>
  <w:footnote w:id="2">
    <w:p w:rsidR="00E54062" w:rsidRPr="005C17EC" w:rsidRDefault="00E54062" w:rsidP="005C17EC">
      <w:pPr>
        <w:pStyle w:val="FootnoteText"/>
        <w:ind w:left="567" w:hanging="567"/>
        <w:rPr>
          <w:sz w:val="24"/>
          <w:lang w:val="fi-FI"/>
        </w:rPr>
      </w:pPr>
      <w:r w:rsidRPr="005C17EC">
        <w:rPr>
          <w:rStyle w:val="FootnoteReference"/>
          <w:sz w:val="24"/>
          <w:lang w:val="fi-FI"/>
        </w:rPr>
        <w:footnoteRef/>
      </w:r>
      <w:r w:rsidR="005C17EC" w:rsidRPr="005C17EC">
        <w:rPr>
          <w:sz w:val="24"/>
          <w:lang w:val="fi-FI"/>
        </w:rPr>
        <w:t xml:space="preserve"> </w:t>
      </w:r>
      <w:r w:rsidR="005C17EC" w:rsidRPr="005C17EC">
        <w:rPr>
          <w:sz w:val="24"/>
          <w:lang w:val="fi-FI"/>
        </w:rPr>
        <w:tab/>
      </w:r>
      <w:r w:rsidRPr="005C17EC">
        <w:rPr>
          <w:sz w:val="24"/>
          <w:lang w:val="fi-FI"/>
        </w:rPr>
        <w:t>EUVL C, C/2023/2, 12.10.2023.</w:t>
      </w:r>
    </w:p>
  </w:footnote>
  <w:footnote w:id="3">
    <w:p w:rsidR="00E54062" w:rsidRPr="005C17EC" w:rsidRDefault="00E54062" w:rsidP="005C17EC">
      <w:pPr>
        <w:pStyle w:val="FootnoteText"/>
        <w:ind w:left="567" w:hanging="567"/>
        <w:rPr>
          <w:sz w:val="24"/>
          <w:lang w:val="fi-FI"/>
        </w:rPr>
      </w:pPr>
      <w:r w:rsidRPr="005C17EC">
        <w:rPr>
          <w:rStyle w:val="FootnoteReference"/>
          <w:sz w:val="24"/>
          <w:lang w:val="fi-FI"/>
        </w:rPr>
        <w:footnoteRef/>
      </w:r>
      <w:r w:rsidR="005C17EC" w:rsidRPr="005C17EC">
        <w:rPr>
          <w:sz w:val="24"/>
          <w:lang w:val="fi-FI"/>
        </w:rPr>
        <w:t xml:space="preserve"> </w:t>
      </w:r>
      <w:r w:rsidR="005C17EC" w:rsidRPr="005C17EC">
        <w:rPr>
          <w:sz w:val="24"/>
          <w:lang w:val="fi-FI"/>
        </w:rPr>
        <w:tab/>
      </w:r>
      <w:r w:rsidRPr="005C17EC">
        <w:rPr>
          <w:sz w:val="24"/>
          <w:lang w:val="fi-FI"/>
        </w:rPr>
        <w:t>EUVL C, C/2023/103, 4.10.2023.</w:t>
      </w:r>
    </w:p>
  </w:footnote>
  <w:footnote w:id="4">
    <w:p w:rsidR="00E54062" w:rsidRPr="005C17EC" w:rsidRDefault="00E54062" w:rsidP="005C17EC">
      <w:pPr>
        <w:pStyle w:val="FootnoteText"/>
        <w:ind w:left="567" w:hanging="567"/>
        <w:rPr>
          <w:sz w:val="24"/>
          <w:lang w:val="fi-FI"/>
        </w:rPr>
      </w:pPr>
      <w:r w:rsidRPr="005C17EC">
        <w:rPr>
          <w:rStyle w:val="FootnoteReference"/>
          <w:sz w:val="24"/>
          <w:lang w:val="fi-FI"/>
        </w:rPr>
        <w:footnoteRef/>
      </w:r>
      <w:r w:rsidR="005C17EC" w:rsidRPr="005C17EC">
        <w:rPr>
          <w:sz w:val="24"/>
          <w:lang w:val="fi-FI"/>
        </w:rPr>
        <w:t xml:space="preserve"> </w:t>
      </w:r>
      <w:r w:rsidR="005C17EC" w:rsidRPr="005C17EC">
        <w:rPr>
          <w:sz w:val="24"/>
          <w:lang w:val="fi-FI"/>
        </w:rPr>
        <w:tab/>
      </w:r>
      <w:r w:rsidRPr="005C17EC">
        <w:rPr>
          <w:sz w:val="24"/>
          <w:lang w:val="fi-FI"/>
        </w:rPr>
        <w:t>EUVL C, C/2023/112, 12.10.2023.</w:t>
      </w:r>
    </w:p>
  </w:footnote>
  <w:footnote w:id="5">
    <w:p w:rsidR="00E54062" w:rsidRPr="005C17EC" w:rsidRDefault="00E54062" w:rsidP="005C17EC">
      <w:pPr>
        <w:pStyle w:val="FootnoteText"/>
        <w:ind w:left="567" w:hanging="567"/>
        <w:rPr>
          <w:sz w:val="24"/>
          <w:szCs w:val="24"/>
          <w:lang w:val="fi-FI"/>
        </w:rPr>
      </w:pPr>
      <w:r w:rsidRPr="005C17EC">
        <w:rPr>
          <w:rStyle w:val="FootnoteReference"/>
          <w:sz w:val="24"/>
          <w:lang w:val="fi-FI"/>
        </w:rPr>
        <w:footnoteRef/>
      </w:r>
      <w:r w:rsidR="005C17EC" w:rsidRPr="005C17EC">
        <w:rPr>
          <w:sz w:val="24"/>
          <w:lang w:val="fi-FI"/>
        </w:rPr>
        <w:t xml:space="preserve"> </w:t>
      </w:r>
      <w:r w:rsidR="005C17EC" w:rsidRPr="005C17EC">
        <w:rPr>
          <w:sz w:val="24"/>
          <w:lang w:val="fi-FI"/>
        </w:rPr>
        <w:tab/>
      </w:r>
      <w:r w:rsidRPr="005C17EC">
        <w:rPr>
          <w:sz w:val="24"/>
          <w:lang w:val="fi-FI"/>
        </w:rPr>
        <w:t>EUVL L 193, 30.7.2018, s. 1.</w:t>
      </w:r>
    </w:p>
  </w:footnote>
  <w:footnote w:id="6">
    <w:p w:rsidR="00E54062" w:rsidRPr="005C17EC" w:rsidRDefault="00E54062" w:rsidP="005C17EC">
      <w:pPr>
        <w:pStyle w:val="FootnoteText"/>
        <w:ind w:left="567" w:hanging="567"/>
        <w:rPr>
          <w:sz w:val="24"/>
          <w:lang w:val="fi-FI"/>
        </w:rPr>
      </w:pPr>
      <w:r w:rsidRPr="005C17EC">
        <w:rPr>
          <w:rStyle w:val="FootnoteReference"/>
          <w:sz w:val="24"/>
          <w:lang w:val="fi-FI"/>
        </w:rPr>
        <w:footnoteRef/>
      </w:r>
      <w:r w:rsidR="005C17EC" w:rsidRPr="005C17EC">
        <w:rPr>
          <w:sz w:val="24"/>
          <w:lang w:val="fi-FI"/>
        </w:rPr>
        <w:t xml:space="preserve"> </w:t>
      </w:r>
      <w:r w:rsidR="005C17EC" w:rsidRPr="005C17EC">
        <w:rPr>
          <w:sz w:val="24"/>
          <w:lang w:val="fi-FI"/>
        </w:rPr>
        <w:tab/>
      </w:r>
      <w:r w:rsidRPr="005C17EC">
        <w:rPr>
          <w:sz w:val="24"/>
          <w:lang w:val="fi-FI"/>
        </w:rPr>
        <w:t>Euroopan parlamentin ja neuvoston asetus (EU) 2022/991, annettu 8. kesäkuuta 2022, asetuksen (EU) 2016/794 muuttamisesta siltä osin kuin on kyse Europolin yhteistyöstä yksityisten osapuolten kanssa, Europolin suorittamasta henkilötietojen käsittelystä rikostutkintojen tukemiseksi sekä Europolin roolista tutkimuksessa ja innovoinnissa (EUVL L 169, 27.6.2022, s. 1).</w:t>
      </w:r>
    </w:p>
  </w:footnote>
  <w:footnote w:id="7">
    <w:p w:rsidR="00E54062" w:rsidRPr="005C17EC" w:rsidRDefault="00E54062" w:rsidP="005C17EC">
      <w:pPr>
        <w:pStyle w:val="FootnoteText"/>
        <w:ind w:left="567" w:hanging="567"/>
        <w:rPr>
          <w:sz w:val="24"/>
          <w:lang w:val="fi-FI"/>
        </w:rPr>
      </w:pPr>
      <w:r w:rsidRPr="005C17EC">
        <w:rPr>
          <w:rStyle w:val="FootnoteReference"/>
          <w:sz w:val="24"/>
          <w:lang w:val="fi-FI"/>
        </w:rPr>
        <w:footnoteRef/>
      </w:r>
      <w:r w:rsidR="005C17EC" w:rsidRPr="005C17EC">
        <w:rPr>
          <w:sz w:val="24"/>
          <w:lang w:val="fi-FI"/>
        </w:rPr>
        <w:t xml:space="preserve"> </w:t>
      </w:r>
      <w:r w:rsidR="005C17EC" w:rsidRPr="005C17EC">
        <w:rPr>
          <w:sz w:val="24"/>
          <w:lang w:val="fi-FI"/>
        </w:rPr>
        <w:tab/>
      </w:r>
      <w:r w:rsidRPr="005C17EC">
        <w:rPr>
          <w:sz w:val="24"/>
          <w:lang w:val="fi-FI"/>
        </w:rPr>
        <w:t>Euroopan parlamentin ja neuvoston asetus (EU) 2016/794, annettu 11. toukokuuta 2016, Euroopan unionin lainvalvontayhteistyövirastosta (</w:t>
      </w:r>
      <w:proofErr w:type="spellStart"/>
      <w:r w:rsidRPr="005C17EC">
        <w:rPr>
          <w:sz w:val="24"/>
          <w:lang w:val="fi-FI"/>
        </w:rPr>
        <w:t>Europol</w:t>
      </w:r>
      <w:proofErr w:type="spellEnd"/>
      <w:r w:rsidRPr="005C17EC">
        <w:rPr>
          <w:sz w:val="24"/>
          <w:lang w:val="fi-FI"/>
        </w:rPr>
        <w:t>) sekä neuvoston päätösten 2009/371/YOS, 2009/934/YOS, 2009/935/YOS, 2009/936/YOS ja 2009/968/YOS korvaamisesta ja kumoamisesta (EUVL L 135, 24.5.2016, s. 53).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17E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17E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17E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6/2024"/>
    <w:docVar w:name="dvlangue" w:val="FI"/>
    <w:docVar w:name="dvnumam" w:val="0"/>
    <w:docVar w:name="dvpe" w:val="753.487"/>
    <w:docVar w:name="dvrapporteur" w:val="Esittelijä: "/>
    <w:docVar w:name="dvtitre" w:val="1. Euroopan parlamentin päätöslauselma 11. huhtikuuta 2024 vastuuvapauden myöntämisestä Euroopan unionin yleisen talousarvion toteuttamisesta varainhoitovuonna 2022, pääluokka IX – Euroopan tietosuojavaltuutettu(2023/2138(DEC))"/>
  </w:docVars>
  <w:rsids>
    <w:rsidRoot w:val="00062159"/>
    <w:rsid w:val="00002272"/>
    <w:rsid w:val="00062159"/>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3E65"/>
    <w:rsid w:val="00514517"/>
    <w:rsid w:val="00545827"/>
    <w:rsid w:val="00560270"/>
    <w:rsid w:val="005B67C6"/>
    <w:rsid w:val="005C17EC"/>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1329"/>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4062"/>
    <w:rsid w:val="00E820A4"/>
    <w:rsid w:val="00E86703"/>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99C6CE"/>
  <w15:chartTrackingRefBased/>
  <w15:docId w15:val="{21C3AFA3-BC7E-4284-94D2-F64D5833B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5406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54062"/>
    <w:pPr>
      <w:spacing w:before="480" w:after="240"/>
    </w:pPr>
  </w:style>
  <w:style w:type="paragraph" w:customStyle="1" w:styleId="PageHeading">
    <w:name w:val="PageHeading"/>
    <w:basedOn w:val="Normal"/>
    <w:rsid w:val="00E54062"/>
    <w:pPr>
      <w:keepNext/>
      <w:spacing w:after="480"/>
      <w:jc w:val="center"/>
    </w:pPr>
    <w:rPr>
      <w:rFonts w:ascii="Arial" w:hAnsi="Arial" w:cs="Arial"/>
      <w:b/>
    </w:rPr>
  </w:style>
  <w:style w:type="paragraph" w:customStyle="1" w:styleId="NormalBold">
    <w:name w:val="NormalBold"/>
    <w:basedOn w:val="Normal"/>
    <w:rsid w:val="00E54062"/>
    <w:rPr>
      <w:b/>
    </w:rPr>
  </w:style>
  <w:style w:type="paragraph" w:customStyle="1" w:styleId="NormalHanging12a">
    <w:name w:val="NormalHanging12a"/>
    <w:basedOn w:val="Normal"/>
    <w:link w:val="NormalHanging12aChar"/>
    <w:qFormat/>
    <w:rsid w:val="00E54062"/>
    <w:pPr>
      <w:spacing w:after="240"/>
      <w:ind w:left="567" w:hanging="567"/>
    </w:pPr>
  </w:style>
  <w:style w:type="paragraph" w:styleId="Header">
    <w:name w:val="header"/>
    <w:basedOn w:val="Normal"/>
    <w:link w:val="HeaderChar"/>
    <w:rsid w:val="00E54062"/>
    <w:pPr>
      <w:tabs>
        <w:tab w:val="center" w:pos="4513"/>
        <w:tab w:val="right" w:pos="9026"/>
      </w:tabs>
    </w:pPr>
  </w:style>
  <w:style w:type="character" w:customStyle="1" w:styleId="HeaderChar">
    <w:name w:val="Header Char"/>
    <w:basedOn w:val="DefaultParagraphFont"/>
    <w:link w:val="Header"/>
    <w:rsid w:val="00E54062"/>
    <w:rPr>
      <w:sz w:val="24"/>
      <w:lang w:val="fi-FI"/>
    </w:rPr>
  </w:style>
  <w:style w:type="paragraph" w:customStyle="1" w:styleId="EPFooter">
    <w:name w:val="EPFooter"/>
    <w:basedOn w:val="Normal"/>
    <w:rsid w:val="00E5406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E54062"/>
    <w:rPr>
      <w:sz w:val="24"/>
      <w:lang w:val="fi-FI"/>
    </w:rPr>
  </w:style>
  <w:style w:type="paragraph" w:styleId="Footer">
    <w:name w:val="footer"/>
    <w:basedOn w:val="Normal"/>
    <w:link w:val="FooterChar"/>
    <w:rsid w:val="00513E65"/>
    <w:pPr>
      <w:tabs>
        <w:tab w:val="center" w:pos="4513"/>
        <w:tab w:val="right" w:pos="9026"/>
      </w:tabs>
    </w:pPr>
  </w:style>
  <w:style w:type="character" w:customStyle="1" w:styleId="FooterChar">
    <w:name w:val="Footer Char"/>
    <w:basedOn w:val="DefaultParagraphFont"/>
    <w:link w:val="Footer"/>
    <w:rsid w:val="00513E65"/>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A7B991-919B-43B0-A59E-F34BBF54E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3324</Words>
  <Characters>29334</Characters>
  <Application>Microsoft Office Word</Application>
  <DocSecurity>0</DocSecurity>
  <Lines>244</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2024-04-11T11:46:00Z</dcterms:created>
  <dcterms:modified xsi:type="dcterms:W3CDTF">2024-04-11T11:46:00Z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A9-0086/2024</vt:lpwstr>
  </property>
  <property fmtid="{D5CDD505-2E9C-101B-9397-08002B2CF9AE}" pid="4" name="&lt;Type&gt;">
    <vt:lpwstr>RR</vt:lpwstr>
  </property>
</Properties>
</file>