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5F7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5F7E" w:rsidRDefault="00DE0640" w:rsidP="0010095E">
            <w:pPr>
              <w:pStyle w:val="EPName"/>
            </w:pPr>
            <w:r w:rsidRPr="00C85F7E">
              <w:t>Europski parlament</w:t>
            </w:r>
          </w:p>
          <w:p w:rsidR="00751A4A" w:rsidRPr="00C85F7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5F7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85F7E" w:rsidRDefault="00187494" w:rsidP="0010095E">
            <w:pPr>
              <w:pStyle w:val="EPLogo"/>
            </w:pPr>
            <w:r w:rsidRPr="00C85F7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5F7E" w:rsidRDefault="00D058B8" w:rsidP="004C5D52">
      <w:pPr>
        <w:pStyle w:val="LineTop"/>
      </w:pPr>
    </w:p>
    <w:p w:rsidR="00680577" w:rsidRPr="00C85F7E" w:rsidRDefault="00DE0640" w:rsidP="00680577">
      <w:pPr>
        <w:pStyle w:val="EPBodyTA1"/>
      </w:pPr>
      <w:r w:rsidRPr="00C85F7E">
        <w:t>USVOJENI TEKSTOVI</w:t>
      </w:r>
    </w:p>
    <w:p w:rsidR="00D058B8" w:rsidRPr="00C85F7E" w:rsidRDefault="00D058B8" w:rsidP="00D058B8">
      <w:pPr>
        <w:pStyle w:val="LineBottom"/>
      </w:pPr>
    </w:p>
    <w:p w:rsidR="00DE0640" w:rsidRPr="00C85F7E" w:rsidRDefault="00DE0640" w:rsidP="00DE0640">
      <w:pPr>
        <w:pStyle w:val="ATHeading1"/>
      </w:pPr>
      <w:bookmarkStart w:id="0" w:name="TANumber"/>
      <w:r w:rsidRPr="00C85F7E">
        <w:t>P9_TA(2024)0</w:t>
      </w:r>
      <w:r w:rsidR="00F51787">
        <w:t>235</w:t>
      </w:r>
      <w:bookmarkEnd w:id="0"/>
    </w:p>
    <w:p w:rsidR="00DE0640" w:rsidRPr="00C85F7E" w:rsidRDefault="00DE0640" w:rsidP="00DE0640">
      <w:pPr>
        <w:pStyle w:val="ATHeading2"/>
      </w:pPr>
      <w:bookmarkStart w:id="1" w:name="title"/>
      <w:r w:rsidRPr="00C85F7E">
        <w:t>Razrješnica za 2022.: Opći proračun EU-a – Europski nadzornik za zaštitu podataka</w:t>
      </w:r>
      <w:bookmarkEnd w:id="1"/>
    </w:p>
    <w:p w:rsidR="00DE0640" w:rsidRPr="00C85F7E" w:rsidRDefault="00DE0640" w:rsidP="00DE0640">
      <w:pPr>
        <w:rPr>
          <w:i/>
          <w:vanish/>
        </w:rPr>
      </w:pPr>
      <w:r w:rsidRPr="00C85F7E">
        <w:rPr>
          <w:i/>
        </w:rPr>
        <w:fldChar w:fldCharType="begin"/>
      </w:r>
      <w:r w:rsidRPr="00C85F7E">
        <w:rPr>
          <w:i/>
        </w:rPr>
        <w:instrText xml:space="preserve"> TC"(</w:instrText>
      </w:r>
      <w:bookmarkStart w:id="2" w:name="DocNumber"/>
      <w:r w:rsidRPr="00C85F7E">
        <w:rPr>
          <w:i/>
        </w:rPr>
        <w:instrText>A9-0086/2024</w:instrText>
      </w:r>
      <w:bookmarkEnd w:id="2"/>
      <w:r w:rsidRPr="00C85F7E">
        <w:rPr>
          <w:i/>
        </w:rPr>
        <w:instrText xml:space="preserve"> - Izvjestitelj: Luke Ming Flanagan)"\l3 \n&gt; \* MERGEFORMAT </w:instrText>
      </w:r>
      <w:r w:rsidRPr="00C85F7E">
        <w:rPr>
          <w:i/>
        </w:rPr>
        <w:fldChar w:fldCharType="end"/>
      </w:r>
    </w:p>
    <w:p w:rsidR="00DE0640" w:rsidRPr="00C85F7E" w:rsidRDefault="00DE0640" w:rsidP="00DE0640">
      <w:pPr>
        <w:rPr>
          <w:vanish/>
        </w:rPr>
      </w:pPr>
      <w:bookmarkStart w:id="3" w:name="Commission"/>
      <w:r w:rsidRPr="00C85F7E">
        <w:rPr>
          <w:vanish/>
        </w:rPr>
        <w:t>Odbor za proračunski nadzor</w:t>
      </w:r>
      <w:bookmarkEnd w:id="3"/>
    </w:p>
    <w:p w:rsidR="00DE0640" w:rsidRPr="00C85F7E" w:rsidRDefault="00DE0640" w:rsidP="00DE0640">
      <w:pPr>
        <w:rPr>
          <w:vanish/>
        </w:rPr>
      </w:pPr>
      <w:bookmarkStart w:id="4" w:name="PE"/>
      <w:r w:rsidRPr="00C85F7E">
        <w:rPr>
          <w:vanish/>
        </w:rPr>
        <w:t>PE753.487</w:t>
      </w:r>
      <w:bookmarkEnd w:id="4"/>
    </w:p>
    <w:p w:rsidR="00DE0640" w:rsidRPr="00C85F7E" w:rsidRDefault="00C85F7E" w:rsidP="00DE0640">
      <w:pPr>
        <w:pStyle w:val="ATHeading3"/>
      </w:pPr>
      <w:bookmarkStart w:id="5" w:name="Sujet"/>
      <w:r>
        <w:t xml:space="preserve">1. </w:t>
      </w:r>
      <w:r w:rsidR="00DE0640" w:rsidRPr="00C85F7E">
        <w:t>Odl</w:t>
      </w:r>
      <w:r>
        <w:t>uka Europskog parlamenta od 11.</w:t>
      </w:r>
      <w:r w:rsidR="00DE0640" w:rsidRPr="00C85F7E">
        <w:t xml:space="preserve"> </w:t>
      </w:r>
      <w:r>
        <w:t xml:space="preserve">travnja </w:t>
      </w:r>
      <w:r w:rsidR="00DE0640" w:rsidRPr="00C85F7E">
        <w:t>2024. o razrješnici za izvršenje općeg proračuna Europske unije za financijsku godinu 2022., dio IX. – Europski nadzornik za zaštitu podataka</w:t>
      </w:r>
      <w:bookmarkEnd w:id="5"/>
      <w:r w:rsidR="00DE0640" w:rsidRPr="00C85F7E">
        <w:t xml:space="preserve"> </w:t>
      </w:r>
      <w:bookmarkStart w:id="6" w:name="References"/>
      <w:r w:rsidR="00DE0640" w:rsidRPr="00C85F7E">
        <w:t>(2023/2138(DEC))</w:t>
      </w:r>
      <w:bookmarkEnd w:id="6"/>
    </w:p>
    <w:p w:rsidR="00F50797" w:rsidRPr="00C85F7E" w:rsidRDefault="00F50797" w:rsidP="00F50797">
      <w:pPr>
        <w:pStyle w:val="EPComma"/>
      </w:pPr>
      <w:bookmarkStart w:id="7" w:name="TextBodyBegin"/>
      <w:bookmarkEnd w:id="7"/>
      <w:r w:rsidRPr="00C85F7E">
        <w:rPr>
          <w:i/>
        </w:rPr>
        <w:t>Europski parlament</w:t>
      </w:r>
      <w:r w:rsidRPr="00C85F7E">
        <w:t>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opći proračun Europske unije za financijsku godinu 2022.</w:t>
      </w:r>
      <w:r w:rsidRPr="00C85F7E">
        <w:rPr>
          <w:rStyle w:val="FootnoteReference"/>
        </w:rPr>
        <w:footnoteReference w:id="1"/>
      </w:r>
      <w:r w:rsidRPr="00C85F7E">
        <w:t>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konsolidiranu godišnju računovodstvenu dokumentaciju Europske unije za financijsku godinu 2022. (COM(2023)0391 – C9</w:t>
      </w:r>
      <w:r w:rsidRPr="00C85F7E">
        <w:noBreakHyphen/>
        <w:t>0257/2023)</w:t>
      </w:r>
      <w:r w:rsidRPr="00C85F7E">
        <w:rPr>
          <w:rStyle w:val="FootnoteReference"/>
        </w:rPr>
        <w:footnoteReference w:id="2"/>
      </w:r>
      <w:r w:rsidRPr="00C85F7E">
        <w:t>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godišnje izvješće Europskog nadzornika za zaštitu podataka za 2022.,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godišnje izvješće Revizorskog suda o izvršenju proračuna za financijsku godinu 2022., s odgovorima institucija</w:t>
      </w:r>
      <w:r w:rsidRPr="00C85F7E">
        <w:rPr>
          <w:rStyle w:val="FootnoteReference"/>
        </w:rPr>
        <w:footnoteReference w:id="3"/>
      </w:r>
      <w:r w:rsidRPr="00C85F7E">
        <w:t>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izjavu o jamstvu</w:t>
      </w:r>
      <w:r w:rsidRPr="00C85F7E">
        <w:rPr>
          <w:rStyle w:val="FootnoteReference"/>
        </w:rPr>
        <w:footnoteReference w:id="4"/>
      </w:r>
      <w:r w:rsidRPr="00C85F7E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članak 314. stavak 10. te članke 317., 318. i 319. Ugovora o funkcioniranju Europske unije,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 1304/2013, (EU) br. 1309/2013, (EU) br. 1316/2013, (EU) br. 223/2014, (EU) br. 283/2014 i Odluke br. 541/2014/EU te o stavljanju izvan snage Uredbe (EU, Euratom) br. 966/2012</w:t>
      </w:r>
      <w:r w:rsidRPr="00C85F7E">
        <w:rPr>
          <w:rStyle w:val="FootnoteReference"/>
        </w:rPr>
        <w:footnoteReference w:id="5"/>
      </w:r>
      <w:r w:rsidRPr="00C85F7E">
        <w:t>, a posebno njezine članke 59., 118., 260., 261. i 262.,</w:t>
      </w:r>
    </w:p>
    <w:p w:rsidR="00F50797" w:rsidRPr="00C85F7E" w:rsidRDefault="008D658C" w:rsidP="00F50797">
      <w:pPr>
        <w:pStyle w:val="NormalHanging12a"/>
      </w:pPr>
      <w:r>
        <w:t>–</w:t>
      </w:r>
      <w:r>
        <w:tab/>
      </w:r>
      <w:r w:rsidR="00F50797" w:rsidRPr="00C85F7E">
        <w:rPr>
          <w:snapToGrid w:val="0"/>
        </w:rPr>
        <w:t xml:space="preserve">uzimajući u obzir Uredbu (EU) 2018/1725 Europskog parlamenta i Vijeća od </w:t>
      </w:r>
      <w:r w:rsidR="00F50797" w:rsidRPr="00C85F7E">
        <w:rPr>
          <w:snapToGrid w:val="0"/>
        </w:rPr>
        <w:lastRenderedPageBreak/>
        <w:t>23. listopada 2018. o zaštiti pojedinaca u vezi s obradom osobnih podataka u institucijama, tijelima, uredima i agencijama Unije i o slobodnom kretanju takvih podataka te o stavljanju izvan snage Uredbe (EZ) br. 45/2001 i Odluke br. 1247/2002/EZ, a posebno njezin članak 54.,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članak 100. Poslovnika i Prilog V. Poslovniku,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mišljenje Odbora za građanske slobode, pravosuđe i unutarnje poslove,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izvješće Odbora za proračunski nadzor (A9</w:t>
      </w:r>
      <w:r w:rsidRPr="00C85F7E">
        <w:noBreakHyphen/>
        <w:t>0086/2024),</w:t>
      </w:r>
    </w:p>
    <w:p w:rsidR="00F50797" w:rsidRPr="00C85F7E" w:rsidRDefault="00F50797" w:rsidP="00F50797">
      <w:pPr>
        <w:pStyle w:val="NormalHanging12a"/>
      </w:pPr>
      <w:r w:rsidRPr="00C85F7E">
        <w:t>1.</w:t>
      </w:r>
      <w:r w:rsidRPr="00C85F7E">
        <w:tab/>
        <w:t>daje razrješnicu Europskom nadzorniku za zaštitu podataka za izvršenje proračuna za financijsku godinu 2022.;</w:t>
      </w:r>
    </w:p>
    <w:p w:rsidR="00F50797" w:rsidRPr="00C85F7E" w:rsidRDefault="00F50797" w:rsidP="00F50797">
      <w:pPr>
        <w:pStyle w:val="NormalHanging12a"/>
      </w:pPr>
      <w:r w:rsidRPr="00C85F7E">
        <w:t>2.</w:t>
      </w:r>
      <w:r w:rsidRPr="00C85F7E">
        <w:tab/>
        <w:t>iznosi svoje primjedbe u Rezoluciji u nastavku;</w:t>
      </w:r>
    </w:p>
    <w:p w:rsidR="00F50797" w:rsidRPr="00C85F7E" w:rsidRDefault="00F50797" w:rsidP="00F50797">
      <w:pPr>
        <w:pStyle w:val="NormalHanging12a"/>
      </w:pPr>
      <w:r w:rsidRPr="00C85F7E">
        <w:t>3.</w:t>
      </w:r>
      <w:r w:rsidRPr="00C85F7E">
        <w:tab/>
        <w:t xml:space="preserve">nalaže svojoj predsjednici da ovu Odluku i Rezoluciju, koja je njezin sastavni dio, proslijedi Europskom nadzorniku za zaštitu podataka, Europskom vijeću, Vijeću, Komisiji, Revizorskom sudu, Sudu Europske unije, Europskom </w:t>
      </w:r>
      <w:proofErr w:type="spellStart"/>
      <w:r w:rsidRPr="00C85F7E">
        <w:t>ombudsmanu</w:t>
      </w:r>
      <w:proofErr w:type="spellEnd"/>
      <w:r w:rsidRPr="00C85F7E">
        <w:t xml:space="preserve"> i Europskoj službi za vanjsko djelovanje te da ih da na objavu u </w:t>
      </w:r>
      <w:r w:rsidRPr="00C85F7E">
        <w:rPr>
          <w:i/>
          <w:iCs/>
        </w:rPr>
        <w:t>Službenom listu Europske unije</w:t>
      </w:r>
      <w:r w:rsidRPr="00C85F7E">
        <w:t xml:space="preserve"> (serija L).</w:t>
      </w:r>
    </w:p>
    <w:p w:rsidR="00F50797" w:rsidRPr="00C85F7E" w:rsidRDefault="00F50797" w:rsidP="00F50797"/>
    <w:p w:rsidR="00F50797" w:rsidRPr="00C85F7E" w:rsidRDefault="00F50797" w:rsidP="00F50797">
      <w:pPr>
        <w:pStyle w:val="PageHeading"/>
        <w:sectPr w:rsidR="00F50797" w:rsidRPr="00C85F7E" w:rsidSect="00EE2562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50797" w:rsidRPr="00C85F7E" w:rsidRDefault="00C85F7E" w:rsidP="001730BD">
      <w:pPr>
        <w:pStyle w:val="ATHeading3"/>
      </w:pPr>
      <w:bookmarkStart w:id="9" w:name="_Toc161842268"/>
      <w:r w:rsidRPr="00C85F7E">
        <w:lastRenderedPageBreak/>
        <w:t>2. Rezolucija Europskog parlamenta</w:t>
      </w:r>
      <w:bookmarkEnd w:id="9"/>
      <w:r w:rsidRPr="00C85F7E">
        <w:t xml:space="preserve"> od 11. travnja 2024. </w:t>
      </w:r>
      <w:r w:rsidR="00F50797" w:rsidRPr="00C85F7E">
        <w:t>s primjedbama koje su sastavni dio Odluke o razrješnici za izvršenje općeg proračuna Europske unije za financijsku godinu 2022., dio IX. – Europski nadzornik za zaštitu podataka</w:t>
      </w:r>
      <w:r w:rsidRPr="00C85F7E">
        <w:t xml:space="preserve"> (2023/2138(DEC))</w:t>
      </w:r>
    </w:p>
    <w:p w:rsidR="00F50797" w:rsidRPr="00C85F7E" w:rsidRDefault="00F50797" w:rsidP="00F50797">
      <w:pPr>
        <w:pStyle w:val="EPComma"/>
      </w:pPr>
      <w:r w:rsidRPr="00C85F7E">
        <w:rPr>
          <w:i/>
        </w:rPr>
        <w:t>Europski parlament</w:t>
      </w:r>
      <w:r w:rsidRPr="00C85F7E">
        <w:t>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svoju Odluku o razrješnici za izvršenje općeg proračuna Europske unije za financijsku godinu 2022., dio IX. – Europski nadzornik za zaštitu podataka,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članak 100. Poslovnika i Prilog V. Poslovniku,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mišljenje Odbora za građanske slobode, pravosuđe i unutarnje poslove,</w:t>
      </w:r>
    </w:p>
    <w:p w:rsidR="00F50797" w:rsidRPr="00C85F7E" w:rsidRDefault="00F50797" w:rsidP="00F50797">
      <w:pPr>
        <w:pStyle w:val="NormalHanging12a"/>
      </w:pPr>
      <w:r w:rsidRPr="00C85F7E">
        <w:t>–</w:t>
      </w:r>
      <w:r w:rsidRPr="00C85F7E">
        <w:tab/>
        <w:t>uzimajući u obzir izvješće Odbora za proračunski nadzor (A9</w:t>
      </w:r>
      <w:r w:rsidRPr="00C85F7E">
        <w:noBreakHyphen/>
        <w:t>0086/2024),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A.</w:t>
      </w:r>
      <w:r w:rsidRPr="00C85F7E">
        <w:tab/>
        <w:t>budući da u kontekstu postupka davanja razrješnice tijelo nadležno za davanje razrješnice želi istaknuti da je posebno važno nastaviti jačati demokratski legitimitet institucija Unije s pomoću veće transparentnosti i odgovornosti te uvođenjem koncepta izrade proračuna utemeljenog na uspješnosti i dobrog upravljanja ljudskim resursima;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B.</w:t>
      </w:r>
      <w:r w:rsidRPr="00C85F7E">
        <w:tab/>
        <w:t>budući da je zaštita podataka jedno od temeljnih prava zaštićeno europskim pravom i utvrđeno člankom 8. Povelje Europske unije o temeljnim pravima;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C.</w:t>
      </w:r>
      <w:r w:rsidRPr="00C85F7E">
        <w:tab/>
        <w:t>budući da je člankom 16. Ugovora o funkcioniranju Europske unije predviđeno da usklađenost s pravilima koja se odnose na zaštitu pojedinaca, u pogledu obrade njihovih osobnih podataka, podliježe kontroli neovisnog tijela;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D.</w:t>
      </w:r>
      <w:r w:rsidRPr="00C85F7E">
        <w:tab/>
        <w:t>budući da je Uredbom (EU) 2018/1725 predviđena uspostava neovisnog tijela, Europskog nadzornika za zaštitu podataka („EDPS”), odgovornog za zaštitu i jamčenje prava na zaštitu podataka i privatnost te zaduženog za osiguravanje da institucije, tijela, uredi i agencije Unije prihvaćaju snažnu kulturu zaštite podataka;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E.</w:t>
      </w:r>
      <w:r w:rsidRPr="00C85F7E">
        <w:tab/>
        <w:t>budući da EDPS izvršava svoje funkcije u bliskoj suradnji s drugim tijelima za zaštitu podataka kao dio Europskog odbora za zaštitu podataka (EDPB) i služi javnom interesu vodeći se načelima nepristranosti, integriteta, transparentnosti i pragmatizma;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F.</w:t>
      </w:r>
      <w:r w:rsidRPr="00C85F7E">
        <w:tab/>
        <w:t>budući da je EDPS do 13. studenoga 2022. delegirao ovlasti dužnosnika za ovjeravanje direktoru, a kasnije i voditelju uprave u skladu s dokumentom u kojem se opisuju zadaće i odgovornosti u pogledu proračuna i uprave EDPS-a predviđenim u skladu s člankom 72. stavkom 2. Uredbe (EU, Euratom) 2018/1046 Europskog parlamenta i Vijeća, dok funkciju računovodstvenog službenika EDPS-a izvršava računovodstveni službenik Komisije u skladu s Odlukom Europskog nadzornika za zaštitu podataka od 1. ožujka 2017.;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1.</w:t>
      </w:r>
      <w:r w:rsidRPr="00C85F7E">
        <w:tab/>
        <w:t>konstatira da je proračun EDPS-a obuhvaćen naslovom 7. VFO-a „Europska javna uprava”, koji je 2022. iznosio ukupno 11,6 milijardi EUR, tj. 5,9 % potrošnje proračuna Unije; primjećuje da je proračun EDPS-a činio 0,17 % odobrenih sredstava iz naslova 7. VFO-a;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lastRenderedPageBreak/>
        <w:t>2.</w:t>
      </w:r>
      <w:r w:rsidRPr="00C85F7E">
        <w:tab/>
        <w:t xml:space="preserve">konstatira da je Revizorski sud u godišnjem izvješću za financijsku godinu 2022. ispitao uzorak od 60 transakcija u području „Uprava”, isto koliko i za 2021.; nadalje konstatira da Revizorski sud navodi da administrativni rashodi obuhvaćaju rashode za ljudske resurse, uključujući mirovine, koji su 2022. činili oko 70 % ukupnih administrativnih rashoda, te rashode za zgrade, opremu, energiju, komunikacije i informacijsku tehnologiju te da njegov rad tijekom mnogo godina upućuje na to da je ta potrošnja općenito </w:t>
      </w:r>
      <w:proofErr w:type="spellStart"/>
      <w:r w:rsidRPr="00C85F7E">
        <w:t>niskorizična</w:t>
      </w:r>
      <w:proofErr w:type="spellEnd"/>
      <w:r w:rsidRPr="00C85F7E">
        <w:t>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3.</w:t>
      </w:r>
      <w:r w:rsidRPr="00C85F7E">
        <w:tab/>
        <w:t xml:space="preserve">konstatira da je Revizorski sud, u okviru revizije za 2022., ispitao nadzorne i kontrolne sustave EDPS-a, osobito provedbu standarda unutarnje kontrole, upravljanja rizicima te funkcioniranje glavnih kontrola definiranih u Financijskoj uredbi, uključujući </w:t>
      </w:r>
      <w:r w:rsidRPr="00C85F7E">
        <w:rPr>
          <w:i/>
          <w:iCs/>
        </w:rPr>
        <w:t>ex </w:t>
      </w:r>
      <w:proofErr w:type="spellStart"/>
      <w:r w:rsidRPr="00C85F7E">
        <w:rPr>
          <w:i/>
          <w:iCs/>
        </w:rPr>
        <w:t>ante</w:t>
      </w:r>
      <w:proofErr w:type="spellEnd"/>
      <w:r w:rsidRPr="00C85F7E">
        <w:t xml:space="preserve"> i </w:t>
      </w:r>
      <w:r w:rsidRPr="00C85F7E">
        <w:rPr>
          <w:i/>
          <w:iCs/>
        </w:rPr>
        <w:t>ex post</w:t>
      </w:r>
      <w:r w:rsidRPr="00C85F7E">
        <w:t xml:space="preserve"> kontrole plaćanja;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4.</w:t>
      </w:r>
      <w:r w:rsidRPr="00C85F7E">
        <w:tab/>
        <w:t>konstatira da je 14 (23 %) od 60 transakcija sadržavalo pogreške, ali da Revizorski sud, na temelju pet kvantificiranih pogrešaka, procjenjuje da je stopa pogreške ispod praga značajnosti;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5.</w:t>
      </w:r>
      <w:r w:rsidRPr="00C85F7E">
        <w:tab/>
        <w:t>sa zadovoljstvom konstatira da Revizorski sud u svojem godišnjem izvješću za financijsku godinu 2022. navodi da nije utvrdio nijedno sporno pitanje u vezi s EDPS-om;</w:t>
      </w:r>
    </w:p>
    <w:p w:rsidR="00F50797" w:rsidRPr="00C85F7E" w:rsidRDefault="00F50797" w:rsidP="00F50797">
      <w:pPr>
        <w:pStyle w:val="NormalHanging12a"/>
        <w:rPr>
          <w:b/>
          <w:i/>
          <w:szCs w:val="24"/>
        </w:rPr>
      </w:pPr>
      <w:r w:rsidRPr="00C85F7E">
        <w:rPr>
          <w:b/>
          <w:i/>
        </w:rPr>
        <w:t>Upravljanje proračunom i financijama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6.</w:t>
      </w:r>
      <w:r w:rsidRPr="00C85F7E">
        <w:tab/>
        <w:t>konstatira da je konačni usvojeni proračun EDPS-a za 2022. iznosio 20 266 000 EUR, što je povećanje od 4,12 % u odnosu na 2021.; primjećuje da je EDPS primio 50 000 EUR namjenskih prihoda povezanih s uslugama koje se pružaju nadzornom tijelu Europskog udruženja slobodne trgovine na temelju sporazuma o razini usluga; konstatira da proračun EDPS-a obuhvaća i rad neovisnog tajništva Europskog odbora za zaštitu podataka („Odbor”);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7.</w:t>
      </w:r>
      <w:r w:rsidRPr="00C85F7E">
        <w:tab/>
        <w:t>sa zadovoljstvom primjećuje da je stopa izvršenja proračuna 2022. iznosila 98 %, što je više nego prethodne godine, kad je stopa izvršenja proračuna iznosila 86 %;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8.</w:t>
      </w:r>
      <w:r w:rsidRPr="00C85F7E">
        <w:tab/>
        <w:t>konstatira da je agresivni rat Rusije protiv Ukrajine stvorio proračunske pritiske za EDPS, među ostalim povećanjem inflacije i prilagodbama plaća, znatnim povećanjem troškova energije te troškova robe i usluga putem javne nabave i sporazuma o razini usluga s drugim institucijama; pozdravlja unutarnje preraspodjele u okviru proračunskih poglavlja provedene tijekom 2022. kako bi se optimiziralo izvršenje proračuna;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9.</w:t>
      </w:r>
      <w:r w:rsidRPr="00C85F7E">
        <w:tab/>
        <w:t>konstatira da je prosječan rok za plaćanje 2022. bio 21,54 dana, što je povećanje u odnosu na 2021., kad je prosječan rok iznosio 19,98 dana; pozdravlja uvođenje novog sustava elektroničkog plaćanja za obradu računa povezanih s troškovima službenih putovanja koje je putnička agencija unaprijed platila, za koji se očekuje da će pridonijeti skraćivanju vremena potrebnog za izvršenje plaćanja nakon što postane u potpunosti operativan; poziva EDPS da razmotri mogućnost proširenja tog sustava na druge vrste plaćanja;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10.</w:t>
      </w:r>
      <w:r w:rsidRPr="00C85F7E">
        <w:tab/>
        <w:t xml:space="preserve">konstatira da se proračun EDPS-a za službena putovanja osoblja povećao s 41 000 EUR na 251 000 EUR od 2021. do 2022., što je povećanje od 512 %, nakon što se ponovno otvorila mogućnost putovanja nakon </w:t>
      </w:r>
      <w:proofErr w:type="spellStart"/>
      <w:r w:rsidRPr="00C85F7E">
        <w:t>pandemije</w:t>
      </w:r>
      <w:proofErr w:type="spellEnd"/>
      <w:r w:rsidRPr="00C85F7E">
        <w:t xml:space="preserve"> bolesti COVID-19; nadalje konstatira da je u okviru tog ukupnog proračuna EDPS imao namjenski proračun za službena </w:t>
      </w:r>
      <w:r w:rsidRPr="00C85F7E">
        <w:lastRenderedPageBreak/>
        <w:t>putovanja Nadzornika u iznosu od 33 000 EUR u 2022. u usporedbi s 5 000 EUR 2021., što je povećanje od 560 %; primjećuje da su povećanje inflacije i znatno povećanje cijena energije 2022. zbog agresivnog rata Rusije protiv Ukrajine negativno utjecali na cijene zrakoplovnih karata i hotela, što je dovelo do povećanja troškova službenih putovanja;</w:t>
      </w:r>
    </w:p>
    <w:p w:rsidR="00F50797" w:rsidRPr="00C85F7E" w:rsidRDefault="00F50797" w:rsidP="00F50797">
      <w:pPr>
        <w:pStyle w:val="NormalHanging12a"/>
        <w:rPr>
          <w:b/>
          <w:i/>
          <w:szCs w:val="24"/>
        </w:rPr>
      </w:pPr>
      <w:r w:rsidRPr="00C85F7E">
        <w:rPr>
          <w:b/>
          <w:i/>
        </w:rPr>
        <w:t>Unutarnje upravljanje, uspješnost i unutarnja kontrola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11.</w:t>
      </w:r>
      <w:r w:rsidRPr="00C85F7E">
        <w:tab/>
        <w:t>primjećuje da je EDPS 2022. proveo reviziju u sredini programskog razdoblja svoje strategije za razdoblje 2020. – 2024. usmjerenu na tri stupa: „predviđanje, djelovanje i solidarnost”, pri čemu je iznio preusmjerenu viziju i prioritete za razdoblje 2022. – 2024. u cilju „oblikovanja sigurnije digitalne budućnosti”;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12.</w:t>
      </w:r>
      <w:r w:rsidRPr="00C85F7E">
        <w:tab/>
        <w:t xml:space="preserve">uzima u obzir velike organizacijske promjene i odgovarajuću reviziju svojeg poslovnika koju je EDPS proveo 2022. kako bi podržao razvoj svojih zadaća i poboljšao učinkovitost svojih procesa s obzirom na međunarodno okruženje koje se brzo mijenja; posebno primjećuje da je zbog tih promjena EDPS uspostavio novu funkciju voditelja tajništva EDPS-a na razini glavnog tajnika, posebnu funkciju pravne službe, Sektor za upravljanje i unutarnju usklađenost, dva nova operativna sektora u Odjelu za nadzor i provedbu, novi financijski sektor u Odjelu za ljudske resurse, Odjel za proračun i administraciju te lokalni ured u </w:t>
      </w:r>
      <w:proofErr w:type="spellStart"/>
      <w:r w:rsidRPr="00C85F7E">
        <w:t>Strasbourgu</w:t>
      </w:r>
      <w:proofErr w:type="spellEnd"/>
      <w:r w:rsidRPr="00C85F7E">
        <w:t>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13.</w:t>
      </w:r>
      <w:r w:rsidRPr="00C85F7E">
        <w:tab/>
        <w:t>konstatira da su stupanjem na snagu Uredbe (EU) 2022/991 Europskog parlamenta i Vijeća</w:t>
      </w:r>
      <w:r w:rsidRPr="00C85F7E">
        <w:rPr>
          <w:szCs w:val="24"/>
          <w:vertAlign w:val="superscript"/>
        </w:rPr>
        <w:footnoteReference w:id="6"/>
      </w:r>
      <w:r w:rsidRPr="00C85F7E">
        <w:t xml:space="preserve"> o izmjeni Uredbe (EU) 2016/794 Europskog parlamenta i Vijeća o osnivanju </w:t>
      </w:r>
      <w:proofErr w:type="spellStart"/>
      <w:r w:rsidRPr="00C85F7E">
        <w:t>Europola</w:t>
      </w:r>
      <w:proofErr w:type="spellEnd"/>
      <w:r w:rsidRPr="00C85F7E">
        <w:t xml:space="preserve"> 28. lipnja 2022.</w:t>
      </w:r>
      <w:r w:rsidRPr="00C85F7E">
        <w:rPr>
          <w:szCs w:val="24"/>
          <w:vertAlign w:val="superscript"/>
        </w:rPr>
        <w:footnoteReference w:id="7"/>
      </w:r>
      <w:r w:rsidRPr="00C85F7E">
        <w:t xml:space="preserve"> uistinu ojačane nadzorne funkcije EDPS-a u vezi s operativnim osobnim podacima koje obrađuje </w:t>
      </w:r>
      <w:proofErr w:type="spellStart"/>
      <w:r w:rsidRPr="00C85F7E">
        <w:t>Europol</w:t>
      </w:r>
      <w:proofErr w:type="spellEnd"/>
      <w:r w:rsidRPr="00C85F7E">
        <w:t xml:space="preserve"> u okviru svojeg mandata; primjećuje da se organizacijskim promjenama uvedenima 2022., posebno stvaranjem novog </w:t>
      </w:r>
      <w:proofErr w:type="spellStart"/>
      <w:r w:rsidRPr="00C85F7E">
        <w:t>podsektora</w:t>
      </w:r>
      <w:proofErr w:type="spellEnd"/>
      <w:r w:rsidRPr="00C85F7E">
        <w:t xml:space="preserve"> u Odjelu za nadzor i provedbu sa specijaliziranim osobljem, posebno nastojalo razmotriti posebne ovlasti EDPS-a u vezi s nadzorom agencija u području slobode, sigurnosti i pravde, uzimajući u obzir i nove nadzorne ovlasti EDPS-a u odnosu na </w:t>
      </w:r>
      <w:proofErr w:type="spellStart"/>
      <w:r w:rsidRPr="00C85F7E">
        <w:t>Europol</w:t>
      </w:r>
      <w:proofErr w:type="spellEnd"/>
      <w:r w:rsidRPr="00C85F7E">
        <w:t>; poziva EDPS da obavješćuje tijelo nadležno za davanje razrješnice o svakom daljnjem produljenju njegova mandata i učinku na resurse;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14.</w:t>
      </w:r>
      <w:r w:rsidRPr="00C85F7E">
        <w:tab/>
        <w:t xml:space="preserve">konstatira da je u okviru promjena provedenih 2022. EDPS pokušao pojednostavniti svoje unutarnje postupke kako bi se strože bavio istragama i preraspodijelio specijalizirano osoblje; primjećuje da ispitivanje pritužbi u kontekstu kaznenog progona, npr. pritužbi na odgovore </w:t>
      </w:r>
      <w:proofErr w:type="spellStart"/>
      <w:r w:rsidRPr="00C85F7E">
        <w:t>Europola</w:t>
      </w:r>
      <w:proofErr w:type="spellEnd"/>
      <w:r w:rsidRPr="00C85F7E">
        <w:t xml:space="preserve"> na zahtjeve građana za pristup njihovim podacima često podrazumijeva visok stupanj složenosti i u prosjeku traje dulje od ispitivanja drugih pritužbi s obzirom na to da je u postupak uključeno više dionika;</w:t>
      </w:r>
    </w:p>
    <w:p w:rsidR="00F50797" w:rsidRPr="00C85F7E" w:rsidRDefault="00F50797" w:rsidP="00F50797">
      <w:pPr>
        <w:pStyle w:val="NormalHanging12a"/>
      </w:pPr>
      <w:r w:rsidRPr="00C85F7E">
        <w:t>15.</w:t>
      </w:r>
      <w:r w:rsidRPr="00C85F7E">
        <w:tab/>
        <w:t xml:space="preserve">konstatira da je EDPS 2022. zaprimio 367 pritužbi, što je 47 više nego 2021., od kojih je 65 bilo dopuštenih, a 302 nedopuštenih, uz 129 dopuštenih pritužbi koje su u tijeku 2022.; pozdravlja napore koje je EDPS uložio u smanjenje velikog broja nedopuštenih </w:t>
      </w:r>
      <w:r w:rsidRPr="00C85F7E">
        <w:lastRenderedPageBreak/>
        <w:t xml:space="preserve">pritužbi, koji se udvostručio od 2019. te se stoga povećala potreba za sredstvima za njihovo rješavanje; konstatira da je EDPS izdao konačnu odluku, mišljenje ili odgovor u 23 od 65 pritužbi zaprimljenih 2022. u prosjeku u roku od 42 dana; nadalje konstatira da su pritužbe u vezi s odgovorima </w:t>
      </w:r>
      <w:proofErr w:type="spellStart"/>
      <w:r w:rsidRPr="00C85F7E">
        <w:t>Europola</w:t>
      </w:r>
      <w:proofErr w:type="spellEnd"/>
      <w:r w:rsidRPr="00C85F7E">
        <w:t xml:space="preserve"> na zahtjeve građana za pristup njihovim podacima riješene u prosjeku između 5 i 12 mjeseci; konstatira da EDPS kontinuirano ponovno ocjenjuje svoje postupke i prema potrebi provodi poboljšanja na temelju dosadašnjih iskustava kako bi dodatno pojednostavnio rješavanje pritužbi unatoč ograničenjima u pogledu resursa;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16.</w:t>
      </w:r>
      <w:r w:rsidRPr="00C85F7E">
        <w:tab/>
        <w:t xml:space="preserve">primjećuje da je 2022. EDPS proveo dvije </w:t>
      </w:r>
      <w:proofErr w:type="spellStart"/>
      <w:r w:rsidRPr="00C85F7E">
        <w:t>predistrage</w:t>
      </w:r>
      <w:proofErr w:type="spellEnd"/>
      <w:r w:rsidRPr="00C85F7E">
        <w:t xml:space="preserve"> zbog mogućnosti da je institucija Unije prekršila pravila o zaštiti podataka te da je proveo tri službene istrage koje su u tijeku u obliku revizija zaštite podataka, od kojih je jedna zaključena u travnju 2022.; nadalje primjećuje da je EDPS također pokrenuo četiri istrage u obliku revizija zaštite podataka na temelju pritužbi koje se odnose na internetske stranice određenih institucija, tijela, ureda i agencija Unije i jednu istragu u području slobode, sigurnosti i pravde te je nastavio istrage u tijeku koje su pokrenute prethodnih godina; konstatira da se revizija EDPS-a o </w:t>
      </w:r>
      <w:proofErr w:type="spellStart"/>
      <w:r w:rsidRPr="00C85F7E">
        <w:t>Europolovoj</w:t>
      </w:r>
      <w:proofErr w:type="spellEnd"/>
      <w:r w:rsidRPr="00C85F7E">
        <w:t xml:space="preserve"> obradi osobnih podataka maloljetnika mlađih od 15 godina koju su Agenciji dostavile treće zemlje i međunarodne organizacije zaključena u rujnu 2023. nakon istrage koja je trajala gotovo deset mjeseci i nakon što je u prosincu 2018. EDPS već uputio preporuke </w:t>
      </w:r>
      <w:proofErr w:type="spellStart"/>
      <w:r w:rsidRPr="00C85F7E">
        <w:t>Europolu</w:t>
      </w:r>
      <w:proofErr w:type="spellEnd"/>
      <w:r w:rsidRPr="00C85F7E">
        <w:t xml:space="preserve"> u vezi s obradom osjetljivih podataka;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17.</w:t>
      </w:r>
      <w:r w:rsidRPr="00C85F7E">
        <w:tab/>
        <w:t>poziva EDPS da poboljša postupak i da prednost obradi osobnih podataka maloljetnika mlađih od 15 godina s obzirom na to da spadaju u ranjivu skupinu kojoj je potrebna veća zaštita, čime se stoga jamči prioritetni status;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18.</w:t>
      </w:r>
      <w:r w:rsidRPr="00C85F7E">
        <w:tab/>
        <w:t xml:space="preserve">konstatira da je EDPS 16. rujna 2022. Sudu Europske unije podnio tužbu za poništenje dviju odredbi izmijenjene Uredbe o </w:t>
      </w:r>
      <w:proofErr w:type="spellStart"/>
      <w:r w:rsidRPr="00C85F7E">
        <w:t>Europolu</w:t>
      </w:r>
      <w:proofErr w:type="spellEnd"/>
      <w:r w:rsidRPr="00C85F7E">
        <w:t>, koju je Sud kasnije odbio; naglašava da se ne bi trebalo smatrati da činjenica da je EDPS Sudu podnio važna pravna pitanja u svojoj nadzornoj ulozi utječe na lojalnu suradnju i dobre odnose između EDPS-a i subjekata koje nadzire;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19.</w:t>
      </w:r>
      <w:r w:rsidRPr="00C85F7E">
        <w:tab/>
        <w:t>sa zadovoljstvom primjećuje da je EDPS krajem 2022. razvio novi okvir za upravljanje rizicima, čime je ojačao svoj okvir unutarnje kontrole i uključio analizu rizika u svoje godišnje planiranje, što bi trebalo utvrditi ulazne parametre za prioritete EDPS-a na godišnjoj osnovi;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20.</w:t>
      </w:r>
      <w:r w:rsidRPr="00C85F7E">
        <w:tab/>
        <w:t xml:space="preserve">cijeni važnu ulogu konzultacija i savjetovanja s EDPS-om u zakonodavnom postupku; konstatira da je EDPS dao savjete u obliku 27 mišljenja (12 u 2021.), 49 službenih primjedbi (76 u 2021.) i 30 neslužbenih primjedbi (29 u 2021.) upućenih Komisiji i </w:t>
      </w:r>
      <w:proofErr w:type="spellStart"/>
      <w:r w:rsidRPr="00C85F7E">
        <w:t>suzakonodavcima</w:t>
      </w:r>
      <w:proofErr w:type="spellEnd"/>
      <w:r w:rsidRPr="00C85F7E">
        <w:t xml:space="preserve"> kao odgovor na zahtjeve za zakonodavno savjetovanje 2022.;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21.</w:t>
      </w:r>
      <w:r w:rsidRPr="00C85F7E">
        <w:tab/>
        <w:t>poziva EDPS da preispita svoj poslovnik u smislu jamčenja i pravodobnog preispitivanja pritužbi građana, uzimajući u obzir sve relevantne informacije, te da obavijesti tijelo nadležno za davanje razrješnice o napretku postignutom u tom području;</w:t>
      </w:r>
    </w:p>
    <w:p w:rsidR="00F50797" w:rsidRPr="00C85F7E" w:rsidRDefault="00F50797" w:rsidP="00F50797">
      <w:pPr>
        <w:pStyle w:val="NormalHanging12a"/>
        <w:rPr>
          <w:b/>
          <w:i/>
          <w:szCs w:val="24"/>
        </w:rPr>
      </w:pPr>
      <w:r w:rsidRPr="00C85F7E">
        <w:rPr>
          <w:b/>
          <w:i/>
        </w:rPr>
        <w:t>Ljudski resursi, ravnopravnost i dobrobit osoblja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22.</w:t>
      </w:r>
      <w:r w:rsidRPr="00C85F7E">
        <w:tab/>
        <w:t xml:space="preserve">primjećuje da je na kraju 2022. EDPS zapošljavao 127 člana osoblja, u usporedbi s 124 na kraju 2021. i 114 na kraju 2020.; konstatira da je EDPS zapošljavao 52 ugovorna </w:t>
      </w:r>
      <w:r w:rsidRPr="00C85F7E">
        <w:lastRenderedPageBreak/>
        <w:t>djelatnika u skladu s člankom 3. točkom (b) Pravilnika o osoblju za dužnosnike i Uvjeta zaposlenja ostalih službenika te šest privremenih djelatnika u skladu s člankom 2. točkama (b) i (c); nadalje konstatira da je EDPS 2022. zaposlio osam vanjskih pružatelja usluga koji su radili na licu mjesta; poziva EDPS da obavijesti tijelo nadležno za davanje razrješnice o mjerama koje su uvedene kako bi se osiguralo da se pristupom informacijama koji imaju vanjski pružatelji usluga upravlja u skladu s razinom povjerljivosti koja se zahtijeva predmetnim pitanjima;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23.</w:t>
      </w:r>
      <w:r w:rsidRPr="00C85F7E">
        <w:tab/>
        <w:t>smatra da bi, s obzirom na povećanje radnog opterećenja zbog novih zadaća i odgovornosti koje su mu dodijeljene, kao i mnogo više zakonodavnih savjetovanja i skupova podataka koje treba pratiti, EDPS-u trebalo razmjerno povećanje broja osoblja kako bi održao učinkoviti tijek rada s razumnim vremenom čekanja na odgovor; potiče EDPS da svojim zaposlenicima osigura ugovore na neodređeno vrijeme kako bi se zajamčio kontinuitet poslovanja i sigurnost rada;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24.</w:t>
      </w:r>
      <w:r w:rsidRPr="00C85F7E">
        <w:tab/>
        <w:t>konstatira da je stopa popunjenosti u planu radnih mjesta krajem 2022. iznosila 86,9 %; žali zbog toga što je stopa popunjenosti u planu radnih mjesta bila niža od cilja za 2022.; uviđa nedostatak kvalificiranih stručnjaka; potiče EDPS da ispita korisne strategije za povećanje vidljivosti svojih slobodnih radnih mjesta; primjećuje da je EDPS 2022. organizirao vanjski postupak odabira za sastavljanje popisa uspješnih kandidata specijaliziranih s obzirom na potrebe za zapošljavanjem od 2022.;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25.</w:t>
      </w:r>
      <w:r w:rsidRPr="00C85F7E">
        <w:tab/>
        <w:t xml:space="preserve">konstatira da je, uzimajući u obzir iskustva stečena tijekom </w:t>
      </w:r>
      <w:proofErr w:type="spellStart"/>
      <w:r w:rsidRPr="00C85F7E">
        <w:t>pandemije</w:t>
      </w:r>
      <w:proofErr w:type="spellEnd"/>
      <w:r w:rsidRPr="00C85F7E">
        <w:t xml:space="preserve"> bolesti COVID-19, EDPS u svibnju 2022. donio novu odluku o radnom vremenu i hibridnom radnom okruženju, u skladu s kojom osoblje može posebno mijenjati svoje radno vrijeme u skladu s režimom fleksibilnog radnog vremena te raditi na daljinu do tri dana tjedno; pozdravlja rezultate ankete provedene među osobljem nakon donošenja te odluke, koji pokazuju da je većina osoblja zadovoljna novim radnim uvjetima;</w:t>
      </w:r>
    </w:p>
    <w:p w:rsidR="00F50797" w:rsidRPr="00C85F7E" w:rsidRDefault="00F50797" w:rsidP="00F50797">
      <w:pPr>
        <w:pStyle w:val="NormalHanging12a"/>
        <w:rPr>
          <w:b/>
          <w:i/>
          <w:szCs w:val="24"/>
        </w:rPr>
      </w:pPr>
      <w:r w:rsidRPr="00C85F7E">
        <w:t>26.</w:t>
      </w:r>
      <w:r w:rsidRPr="00C85F7E">
        <w:tab/>
        <w:t>čestita EDPS-u na tome što su među njegovim osobljem 2022. zastupljene 22 nacionalnosti, što predstavlja napredak u odnosu na 2021. kad je bila zastupljena 21 nacionalnost te je, unatoč prekomjernoj zastupljenosti pet nacionalnosti, to dobar rezultat za tako malu instituciju; poziva EDPS da nastoji postići pravedniju geografsku zastupljenost osoblja iz svih država članica, s posebnim naglaskom na rješavanje problema nedovoljne zastupljenosti osoblja određenih država članica;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27.</w:t>
      </w:r>
      <w:r w:rsidRPr="00C85F7E">
        <w:tab/>
        <w:t>konstatira da je 2022. EDPS zapošljavao ukupno 64 % žena i 36 % muškaraca, u skladu s istim trendom kao i prethodnih godina, kad je raspodjela između žena i muškaraca iznosila 63 % odnosno 37 %; žali zbog toga što 2022. nije bilo žena na višim rukovodećim položajima, dok je omjer spolova četiriju srednjih rukovoditelja postigao ravnotežu tijekom godine; poziva EDPS da nastavi ulagati napore u postizanje rodno uravnotežene zastupljenosti osoblja;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28.</w:t>
      </w:r>
      <w:r w:rsidRPr="00C85F7E">
        <w:tab/>
        <w:t>sa zadovoljstvom primjećuje da među osobljem EDPS-a 2022. nije prijavljen nijedan slučaj sindroma izgaranja na poslu ili uznemiravanja; pozdravlja činjenicu da je EDPS osnovao radnu skupinu za raspravu o pitanjima povezanima s raspodjelom i dodjelom rada na temelju rezultata dvogodišnje ankete o zadovoljstvu osoblja provedene u lipnju 2022., prema kojoj su neki članovi osoblja EDPS-a smatrali da radno opterećenje nije ravnomjerno raspodijeljeno među timovima i kolegama; traži od EDPS-a da tijelo nadležno za davanje razrješnice obavještava o ishodu rasprava radne skupine i pojedinostima akcijskog plana koji je u pripremi;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lastRenderedPageBreak/>
        <w:t>29.</w:t>
      </w:r>
      <w:r w:rsidRPr="00C85F7E">
        <w:tab/>
        <w:t>pozdravlja stalne napore EDPS-a da aktivno poboljša tjelesnu i mentalnu dobrobit svojeg osoblja;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30.</w:t>
      </w:r>
      <w:r w:rsidRPr="00C85F7E">
        <w:tab/>
        <w:t>sa zadovoljstvom primjećuje da je EDPS 2022. zaposlio 18 stažista koji su primali naknadu i uživali jednake radne uvjete kao ostatak osoblja;</w:t>
      </w:r>
    </w:p>
    <w:p w:rsidR="00F50797" w:rsidRPr="00C85F7E" w:rsidRDefault="00F50797" w:rsidP="00F50797">
      <w:pPr>
        <w:pStyle w:val="NormalHanging12a"/>
        <w:rPr>
          <w:b/>
          <w:i/>
          <w:szCs w:val="24"/>
        </w:rPr>
      </w:pPr>
      <w:r w:rsidRPr="00C85F7E">
        <w:rPr>
          <w:b/>
          <w:i/>
        </w:rPr>
        <w:t>Etički okvir i transparentnost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31.</w:t>
      </w:r>
      <w:r w:rsidRPr="00C85F7E">
        <w:tab/>
        <w:t>konstatira da je 2022. EDPS usmjerio svoje napore na veću informiranosti osoblja o etičkom okviru EDPS-a i EDPB-a organiziranjem obveznih namjenskih tečajeva osposobljavanja za cjelokupno osoblje i uvodnog osposobljavanja za nove zaposlenike EDPS-a i EDPB-a; potiče EDPS da nastavi jačati svijest i organizirati istraživanja kako bi se procijenila razina informiranosti osoblja o etičkom okviru EDPS-a/EDPB-a;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32.</w:t>
      </w:r>
      <w:r w:rsidRPr="00C85F7E">
        <w:tab/>
        <w:t>pozdravlja općenito visoku razinu transparentnosti koju je EDPS postigao u pogledu svojih aktivnosti, posebno u pogledu objavljivanja dnevnog reda i izjave o financijskim interesima Nadzornika i voditelja administracije EDPS-a, u skladu s Kodeksom ponašanja Nadzornika iz 2019.; žali zbog toga što je EDPS odlučio primijeniti Kodeks ponašanja Nadzornika na voditelja uprave EDPS-a umjesto usvajanja posebnog kodeksa ponašanja za više rukovodeće položaje;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33.</w:t>
      </w:r>
      <w:r w:rsidRPr="00C85F7E">
        <w:tab/>
        <w:t>sa zadovoljstvom primjećuje da EDPS od svojeg osnutka nikad nije bio uključen u istrage Europskog ureda za borbu protiv prijevara (OLAF);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34.</w:t>
      </w:r>
      <w:r w:rsidRPr="00C85F7E">
        <w:tab/>
        <w:t xml:space="preserve">sa zadovoljstvom primjećuje da su dvije istrage koje je </w:t>
      </w:r>
      <w:proofErr w:type="spellStart"/>
      <w:r w:rsidRPr="00C85F7E">
        <w:t>Ombudsman</w:t>
      </w:r>
      <w:proofErr w:type="spellEnd"/>
      <w:r w:rsidRPr="00C85F7E">
        <w:t xml:space="preserve"> pokrenuo 2022. u vezi s EDPS-om zaključene bez nalaza o nepravilnostima u postupanju;</w:t>
      </w:r>
    </w:p>
    <w:p w:rsidR="00F50797" w:rsidRPr="00C85F7E" w:rsidRDefault="00F50797" w:rsidP="00F50797">
      <w:pPr>
        <w:pStyle w:val="NormalHanging12a"/>
        <w:rPr>
          <w:b/>
          <w:i/>
          <w:szCs w:val="24"/>
        </w:rPr>
      </w:pPr>
      <w:r w:rsidRPr="00C85F7E">
        <w:t>35.</w:t>
      </w:r>
      <w:r w:rsidRPr="00C85F7E">
        <w:tab/>
        <w:t>žali zbog toga što se EDPS još uvijek nije službeno pridružio registru transparentnosti; ipak pozdravlja usklađivanje pravila o transparentnosti EDPS-a s načelima registra transparentnosti u pogledu obveznih prethodnih provjera u registru transparentnosti za sastanke trećih strana s Nadzornikom i voditeljem uprave EDPS-a; ističe da bi se transparentnost mogla bolje poštovati aktivnim upisom u registar transparentnosti; ponovno poziva EDPS da se pridruži registru transparentnosti EU-a;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36.</w:t>
      </w:r>
      <w:r w:rsidRPr="00C85F7E">
        <w:tab/>
        <w:t>primjećuje da je EDPS uspostavio okvir za sprečavanje sukoba interesa na razini višeg rukovodstva i osoblja s pomoću kodeksa ponašanja, informiranja i izjava; sa zadovoljstvom primjećuje da tijekom 2022. nije prijavljen nijedan sukob interesa;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37.</w:t>
      </w:r>
      <w:r w:rsidRPr="00C85F7E">
        <w:tab/>
        <w:t>konstatira da EDPS ima interna pravila o zviždačima kojima se definiraju sigurni putovi i kanali putem kojih osoblje može izraziti zabrinutost zbog prijevare, korupcije ili bilo kojih drugih ozbiljnih prijestupa, ne dovodeći u pitanje povjerljivost identiteta zviždača i prijavljenih informacija; primjećuje da 2022. nije zabilježen nijedan slučaj aktivnosti zviždača;</w:t>
      </w:r>
    </w:p>
    <w:p w:rsidR="00F50797" w:rsidRPr="00C85F7E" w:rsidRDefault="00F50797" w:rsidP="00F50797">
      <w:pPr>
        <w:pStyle w:val="NormalHanging12a"/>
        <w:rPr>
          <w:b/>
          <w:i/>
          <w:szCs w:val="24"/>
        </w:rPr>
      </w:pPr>
      <w:r w:rsidRPr="00C85F7E">
        <w:rPr>
          <w:b/>
          <w:i/>
        </w:rPr>
        <w:t xml:space="preserve">Digitalizacija, </w:t>
      </w:r>
      <w:proofErr w:type="spellStart"/>
      <w:r w:rsidRPr="00C85F7E">
        <w:rPr>
          <w:b/>
          <w:i/>
        </w:rPr>
        <w:t>kibersigurnost</w:t>
      </w:r>
      <w:proofErr w:type="spellEnd"/>
      <w:r w:rsidRPr="00C85F7E">
        <w:rPr>
          <w:b/>
          <w:i/>
        </w:rPr>
        <w:t xml:space="preserve"> i zaštita podataka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38.</w:t>
      </w:r>
      <w:r w:rsidRPr="00C85F7E">
        <w:tab/>
        <w:t>primjećuje da je proračun za informatičku opremu i projekte za 2022. bio 21 % veći u odnosu na 2021.; konstatira da se te informacije moraju procijeniti s obzirom na to da je sam proračun za informatičku opremu za 2021. bio 20 % veći u odnosu na proračun za 2020.;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39.</w:t>
      </w:r>
      <w:r w:rsidRPr="00C85F7E">
        <w:tab/>
        <w:t xml:space="preserve">primjećuje da je 2022. EDPS proveo anketu o informatičkim strategijama nekoliko </w:t>
      </w:r>
      <w:r w:rsidRPr="00C85F7E">
        <w:lastRenderedPageBreak/>
        <w:t>institucija EU-a u okviru velike studije izvedivosti u području IT-a, koja je poslužila kao osnova za definiranje informatičke strategije EDPS-a za naredne godine; poziva EDPS da obavješćuje tijelo nadležno za davanje razrješnice o ishodu te studije i njezinu učinku na resurse;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40.</w:t>
      </w:r>
      <w:r w:rsidRPr="00C85F7E">
        <w:tab/>
        <w:t>konstatira da Parlament pruža informatičku opremu i usluge EDPS-u, kao pružatelj korporativnih usluga; pozdravlja napore EDPS-a da stalno poboljšava svoj digitalni radni prostor u pogledu učinkovitosti i sigurnosti izvan okvira onoga što pruža Parlament; konstatira da je to uključivalo poboljšanje kvalitete i učinkovitosti računala koja se pružaju osoblju EDPS-a u suradnji s Parlamentom u cilju generalizacije hibridnog načina rada;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41.</w:t>
      </w:r>
      <w:r w:rsidRPr="00C85F7E">
        <w:tab/>
        <w:t xml:space="preserve">prepoznaje vodeću ulogu EDPS-a u poboljšanju pripravnosti institucija EU-a u području </w:t>
      </w:r>
      <w:proofErr w:type="spellStart"/>
      <w:r w:rsidRPr="00C85F7E">
        <w:t>kibersigurnosti</w:t>
      </w:r>
      <w:proofErr w:type="spellEnd"/>
      <w:r w:rsidRPr="00C85F7E">
        <w:t xml:space="preserve">; primjećuje da je 2022. EDPS nastavio poboljšavati svoju spremnost za zaštitu osobnih podataka i osjetljivih informacija od </w:t>
      </w:r>
      <w:proofErr w:type="spellStart"/>
      <w:r w:rsidRPr="00C85F7E">
        <w:t>kibernapada</w:t>
      </w:r>
      <w:proofErr w:type="spellEnd"/>
      <w:r w:rsidRPr="00C85F7E">
        <w:t xml:space="preserve"> s obzirom na brze promjene u području </w:t>
      </w:r>
      <w:proofErr w:type="spellStart"/>
      <w:r w:rsidRPr="00C85F7E">
        <w:t>kiberprijetnji</w:t>
      </w:r>
      <w:proofErr w:type="spellEnd"/>
      <w:r w:rsidRPr="00C85F7E">
        <w:t xml:space="preserve">; čestita EDPS-u na preispitivanju svojih sigurnosnih politika i metodologija te prilagodbi ugovornih zahtjeva u području </w:t>
      </w:r>
      <w:proofErr w:type="spellStart"/>
      <w:r w:rsidRPr="00C85F7E">
        <w:t>kibersigurnosti</w:t>
      </w:r>
      <w:proofErr w:type="spellEnd"/>
      <w:r w:rsidRPr="00C85F7E">
        <w:t xml:space="preserve"> u skladu sa smjernicama CERT-EU-a, prije stupanja na snagu akta EU-a o </w:t>
      </w:r>
      <w:proofErr w:type="spellStart"/>
      <w:r w:rsidRPr="00C85F7E">
        <w:t>kibersigurnosti</w:t>
      </w:r>
      <w:proofErr w:type="spellEnd"/>
      <w:r w:rsidRPr="00C85F7E">
        <w:t xml:space="preserve">, u korist svih institucija; primjećuje da EDPS 2022. nije iskusio nijedan </w:t>
      </w:r>
      <w:proofErr w:type="spellStart"/>
      <w:r w:rsidRPr="00C85F7E">
        <w:t>kibernapad</w:t>
      </w:r>
      <w:proofErr w:type="spellEnd"/>
      <w:r w:rsidRPr="00C85F7E">
        <w:t>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42.</w:t>
      </w:r>
      <w:r w:rsidRPr="00C85F7E">
        <w:tab/>
        <w:t>konstatira da EDPS provodi pilot-projekt i razvija inovativna informatička rješenja otvorenog koda koja pogoduju privatnosti; smatra da bi EDPS ta iskustva trebao podijeliti s drugim institucijama EU-a;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43.</w:t>
      </w:r>
      <w:r w:rsidRPr="00C85F7E">
        <w:tab/>
        <w:t xml:space="preserve">pozdravlja daljnje mjere EDPS-a u vezi s presudom u predmetu </w:t>
      </w:r>
      <w:proofErr w:type="spellStart"/>
      <w:r w:rsidRPr="00C85F7E">
        <w:t>Schrems</w:t>
      </w:r>
      <w:proofErr w:type="spellEnd"/>
      <w:r w:rsidRPr="00C85F7E">
        <w:t> II, s posebnim naglaskom na ugovorima institucija, ureda i tijela EU-a s privatnim subjektima 2022., posebno velikim pružateljima IKT-a, te na dogovorima između institucija, ureda i tijela EU-a i javnih tijela ili međunarodnih organizacija izvan EU-a/EGP-a;</w:t>
      </w:r>
    </w:p>
    <w:p w:rsidR="00F50797" w:rsidRPr="00C85F7E" w:rsidRDefault="00F50797" w:rsidP="00F50797">
      <w:pPr>
        <w:pStyle w:val="NormalHanging12a"/>
        <w:ind w:left="0" w:firstLine="0"/>
        <w:rPr>
          <w:b/>
          <w:i/>
          <w:szCs w:val="24"/>
        </w:rPr>
      </w:pPr>
      <w:r w:rsidRPr="00C85F7E">
        <w:rPr>
          <w:b/>
          <w:i/>
        </w:rPr>
        <w:t>Zgrade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44.</w:t>
      </w:r>
      <w:r w:rsidRPr="00C85F7E">
        <w:tab/>
        <w:t xml:space="preserve">konstatira da su 2022. EDPS i EDPB bili jedini najmoprimci zgrade Parlamenta u kojoj su se nalazili nakon preseljenja </w:t>
      </w:r>
      <w:proofErr w:type="spellStart"/>
      <w:r w:rsidRPr="00C85F7E">
        <w:t>Ombudsmana</w:t>
      </w:r>
      <w:proofErr w:type="spellEnd"/>
      <w:r w:rsidRPr="00C85F7E">
        <w:t xml:space="preserve"> krajem 2021.; primjećuje da su nakon tog preseljenja tri kata zgrade u potpunosti preuređena kako bi se smjestilo osoblje EDPS-a i EDPB-a te kako bi se prostorije prilagodile novim radnim uvjetima koji su prevladavali nakon </w:t>
      </w:r>
      <w:proofErr w:type="spellStart"/>
      <w:r w:rsidRPr="00C85F7E">
        <w:t>pandemije</w:t>
      </w:r>
      <w:proofErr w:type="spellEnd"/>
      <w:r w:rsidRPr="00C85F7E">
        <w:t xml:space="preserve"> bolesti COVID-19;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45.</w:t>
      </w:r>
      <w:r w:rsidRPr="00C85F7E">
        <w:tab/>
        <w:t>konstatira da se, kad je riječ o pristupačnosti svojoj zgradi, EDPS oslanja na odluke koje Parlament donosi i provodi u okviru svoje politike upravljanja nekretninama; poziva EDPS da se zalaže za potrebu da se usredotoči na potrebe osoba sa smanjenom pokretljivošću ili invaliditetom te da obavijesti tijelo nadležno za davanje razrješnice o svim novim odlukama donesenima u tom pogledu;</w:t>
      </w:r>
    </w:p>
    <w:p w:rsidR="00F50797" w:rsidRPr="00C85F7E" w:rsidRDefault="00F50797" w:rsidP="00F50797">
      <w:pPr>
        <w:pStyle w:val="NormalHanging12a"/>
        <w:ind w:left="0" w:firstLine="0"/>
        <w:rPr>
          <w:b/>
          <w:i/>
          <w:szCs w:val="24"/>
        </w:rPr>
      </w:pPr>
      <w:r w:rsidRPr="00C85F7E">
        <w:rPr>
          <w:b/>
          <w:i/>
        </w:rPr>
        <w:t>Okoliš i održivost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46.</w:t>
      </w:r>
      <w:r w:rsidRPr="00C85F7E">
        <w:tab/>
        <w:t xml:space="preserve">primjećuje da se EDPS nije pridružio sustavu upravljanja okolišem i neovisnog ocjenjivanja (EMAS), ali je proveo nekoliko mjera za smanjenje svojeg ekološkog otiska, kao što je smanjenje korištenja papira nakon digitalizacije postupaka u području ljudskih resursa ili recikliranja otpada; primjećuje da u pogledu ekološke infrastrukture u zgradi koju je iznajmio Parlament nisu postavljeni solarni paneli; poziva EDPS da </w:t>
      </w:r>
      <w:r w:rsidRPr="00C85F7E">
        <w:lastRenderedPageBreak/>
        <w:t>obavijesti tijelo nadležno za davanje razrješnice o svim novim odlukama o ugradnji solarnih panela u svojoj zgradi;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47.</w:t>
      </w:r>
      <w:r w:rsidRPr="00C85F7E">
        <w:tab/>
        <w:t>pozdravlja činjenicu da EDPS i dalje potiče održivu mobilnost svojeg osoblja tako što nadoknađuje 50 % mjesečnih/godišnjih troškova za javni prijevoz te tako što dodjeljuje dovoljno prostora u svojim garažama kako bi osoblje moglo parkirati bicikle;</w:t>
      </w:r>
    </w:p>
    <w:p w:rsidR="00F50797" w:rsidRPr="00C85F7E" w:rsidRDefault="00F50797" w:rsidP="00F50797">
      <w:pPr>
        <w:pStyle w:val="NormalHanging12a"/>
        <w:rPr>
          <w:b/>
          <w:i/>
          <w:szCs w:val="24"/>
        </w:rPr>
      </w:pPr>
      <w:proofErr w:type="spellStart"/>
      <w:r w:rsidRPr="00C85F7E">
        <w:rPr>
          <w:b/>
          <w:i/>
        </w:rPr>
        <w:t>Međuinstitucijska</w:t>
      </w:r>
      <w:proofErr w:type="spellEnd"/>
      <w:r w:rsidRPr="00C85F7E">
        <w:rPr>
          <w:b/>
          <w:i/>
        </w:rPr>
        <w:t xml:space="preserve"> suradnja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48.</w:t>
      </w:r>
      <w:r w:rsidRPr="00C85F7E">
        <w:tab/>
        <w:t xml:space="preserve">pozdravlja proračunske i administrativne uštede ostvarene </w:t>
      </w:r>
      <w:proofErr w:type="spellStart"/>
      <w:r w:rsidRPr="00C85F7E">
        <w:t>međuinstitucijskom</w:t>
      </w:r>
      <w:proofErr w:type="spellEnd"/>
      <w:r w:rsidRPr="00C85F7E">
        <w:t xml:space="preserve"> suradnjom, posebno sklapanjem sporazuma o razini usluga s Parlamentom o najmu njegovih prostora i upotrebi aplikacija IT sustava, hardverske opreme i održavanja te s Komisijom za usluge IKT-a;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49.</w:t>
      </w:r>
      <w:r w:rsidRPr="00C85F7E">
        <w:tab/>
        <w:t xml:space="preserve">konstatira da EDPS blisko, iako neformalno, surađuje s OLAF-om, EPPO-om i Revizorskim sudom, kojima pruža savjete o određenim projektima i pitanjima, čime se nadopunjuje njegova nadzorna uloga; posebno pozdravlja redoviti dijalog s EPPO-om, kao novoosnovanom institucijom, tijekom 2022.; pozdravlja činjenicu da EDPS ima </w:t>
      </w:r>
      <w:proofErr w:type="spellStart"/>
      <w:r w:rsidRPr="00C85F7E">
        <w:t>strukturiraniju</w:t>
      </w:r>
      <w:proofErr w:type="spellEnd"/>
      <w:r w:rsidRPr="00C85F7E">
        <w:t xml:space="preserve"> suradnju s </w:t>
      </w:r>
      <w:proofErr w:type="spellStart"/>
      <w:r w:rsidRPr="00C85F7E">
        <w:t>Ombudsmanom</w:t>
      </w:r>
      <w:proofErr w:type="spellEnd"/>
      <w:r w:rsidRPr="00C85F7E">
        <w:t xml:space="preserve"> putem memoranduma o razumijevanju čiji je cilj definirati aranžmane za njihovu suradnju na razini rješavanja pritužbi;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50.</w:t>
      </w:r>
      <w:r w:rsidRPr="00C85F7E">
        <w:tab/>
        <w:t xml:space="preserve">konstatira da je </w:t>
      </w:r>
      <w:proofErr w:type="spellStart"/>
      <w:r w:rsidRPr="00C85F7E">
        <w:t>međuinstitucijska</w:t>
      </w:r>
      <w:proofErr w:type="spellEnd"/>
      <w:r w:rsidRPr="00C85F7E">
        <w:t xml:space="preserve"> suradnja s EDPS-om, u njegovoj nadzornoj ulozi, ključna kako bi druge institucije EU-a poboljšale svoju razinu usklađenosti s pravnim okvirom za zaštitu podataka; čestita EDPS-u na preuzimanju vodeće uloge u dodjeli </w:t>
      </w:r>
      <w:proofErr w:type="spellStart"/>
      <w:r w:rsidRPr="00C85F7E">
        <w:t>međuinstitucijskog</w:t>
      </w:r>
      <w:proofErr w:type="spellEnd"/>
      <w:r w:rsidRPr="00C85F7E">
        <w:t xml:space="preserve"> ugovora za pružanje usluga </w:t>
      </w:r>
      <w:proofErr w:type="spellStart"/>
      <w:r w:rsidRPr="00C85F7E">
        <w:t>Nextcloud</w:t>
      </w:r>
      <w:proofErr w:type="spellEnd"/>
      <w:r w:rsidRPr="00C85F7E">
        <w:t xml:space="preserve"> institucijama EU-a koje su ga potpisale;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51.</w:t>
      </w:r>
      <w:r w:rsidRPr="00C85F7E">
        <w:tab/>
        <w:t>pozdravlja ključnu ulogu EDPS-a 2022. u koordinaciji tijela za zaštitu podataka država članica zastupljenih u EDPB-u u promicanju dosljedne zaštite podataka u cijeloj Uniji; konstatira da je EDPS sudjelovao u koordiniranim provedbenim mjerama EDPB-a za 2022. u pogledu upotrebe usluga računalstva u oblaku u Uniji, čija je svrha bila razmjena znanja i dobrih praksi između EDPS-a, institucija EU-a i tijela za zaštitu podataka;</w:t>
      </w:r>
    </w:p>
    <w:p w:rsidR="00F50797" w:rsidRPr="00C85F7E" w:rsidRDefault="00F50797" w:rsidP="00F50797">
      <w:pPr>
        <w:pStyle w:val="NormalHanging12a"/>
        <w:rPr>
          <w:b/>
          <w:i/>
          <w:szCs w:val="24"/>
        </w:rPr>
      </w:pPr>
      <w:r w:rsidRPr="00C85F7E">
        <w:rPr>
          <w:b/>
          <w:i/>
        </w:rPr>
        <w:t>Komunikacija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52.</w:t>
      </w:r>
      <w:r w:rsidRPr="00C85F7E">
        <w:tab/>
        <w:t>konstatira da je proračun za javne komunikacijske i promotivne aktivnosti 2022. iznosio 304 665 EUR, što je povećanje od 19 % u odnosu na 2021.; pozdravlja sveobuhvatnu komunikacijsku strategiju čiji je cilj informiranje o njezinoj ulozi i važnosti poštovanja pravila Unije o zaštiti podataka, usmjerenih na institucije EU-a, stručnjake EU-a za zaštitu podataka i širu javnost;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53.</w:t>
      </w:r>
      <w:r w:rsidRPr="00C85F7E">
        <w:tab/>
        <w:t>sa zadovoljstvom primjećuje da je EDPS 2022. organizirao nekoliko komunikacijskih događanja u hibridnom obliku, posebno veliku međunarodnu konferenciju „Budućnost zaštite podataka: učinkovita provedba u digitalnom svijetu” uz sudjelovanje više od 2 000 sudionika, uživo i na daljinu;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54.</w:t>
      </w:r>
      <w:r w:rsidRPr="00C85F7E">
        <w:tab/>
        <w:t>primjećuje da EDPS na internetu putem svojih internetskih stranica i računa na društvenim mrežama komunicira na X-u (bivši Twitter) (29 100 pratitelja), LinkedInu (63 000 pratitelja), YouTubeu (275 000 pratitelja), EU-</w:t>
      </w:r>
      <w:proofErr w:type="spellStart"/>
      <w:r w:rsidRPr="00C85F7E">
        <w:t>Voiceu</w:t>
      </w:r>
      <w:proofErr w:type="spellEnd"/>
      <w:r w:rsidRPr="00C85F7E">
        <w:t xml:space="preserve"> (5 100 pratitelja) i EU-Videu (690 pratitelja); konstatira da je EDPS 2022. pokrenuo nekoliko kampanja na društvenim mrežama usmjerenih na promicanje određenih inicijativa ili provedenih u </w:t>
      </w:r>
      <w:r w:rsidRPr="00C85F7E">
        <w:lastRenderedPageBreak/>
        <w:t>partnerstvu s drugim institucijama EU-a kako bi se povećao doseg i informirala publika o svojim aktivnostima;</w:t>
      </w:r>
    </w:p>
    <w:p w:rsidR="00F50797" w:rsidRPr="00C85F7E" w:rsidRDefault="00F50797" w:rsidP="00F50797">
      <w:pPr>
        <w:pStyle w:val="NormalHanging12a"/>
        <w:rPr>
          <w:szCs w:val="24"/>
        </w:rPr>
      </w:pPr>
      <w:r w:rsidRPr="00C85F7E">
        <w:t>55.</w:t>
      </w:r>
      <w:r w:rsidRPr="00C85F7E">
        <w:tab/>
        <w:t>primjećuje vodeću ulogu EDPS-a u pilot-projektiranju i promicanju kanala društvenih medija koji doprinose strategiji Unije za podatke i digitalnu suverenost u skladu s pravnim okvirom za zaštitu podataka;</w:t>
      </w:r>
    </w:p>
    <w:p w:rsidR="00F50797" w:rsidRPr="00C85F7E" w:rsidRDefault="00F50797" w:rsidP="00C85F7E">
      <w:pPr>
        <w:ind w:left="567" w:hanging="567"/>
      </w:pPr>
      <w:r w:rsidRPr="00C85F7E">
        <w:t>56.</w:t>
      </w:r>
      <w:r w:rsidRPr="00C85F7E">
        <w:tab/>
        <w:t xml:space="preserve">ponovno izražava svoju potporu naporima EDPS-a da kroz, primjerice, izvješća </w:t>
      </w:r>
      <w:proofErr w:type="spellStart"/>
      <w:r w:rsidRPr="00C85F7E">
        <w:t>TechDispatch</w:t>
      </w:r>
      <w:proofErr w:type="spellEnd"/>
      <w:r w:rsidRPr="00C85F7E">
        <w:t xml:space="preserve"> i </w:t>
      </w:r>
      <w:proofErr w:type="spellStart"/>
      <w:r w:rsidRPr="00C85F7E">
        <w:t>TechSonar</w:t>
      </w:r>
      <w:proofErr w:type="spellEnd"/>
      <w:r w:rsidRPr="00C85F7E">
        <w:t xml:space="preserve"> prati i objasni široj javnosti nova tehnološka kretanja i njihov mogući utjecaj na zaštitu podataka i privatnost; dodatno potiče EDPS da poveća svoje kapacitete u području praćenja tehnologije i da pokrene informativne kampanje </w:t>
      </w:r>
      <w:r w:rsidR="00C85F7E">
        <w:t>o svojim nalazima i preporukama.</w:t>
      </w:r>
    </w:p>
    <w:sectPr w:rsidR="00F50797" w:rsidRPr="00C85F7E" w:rsidSect="00EE25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640" w:rsidRPr="00EE2562" w:rsidRDefault="00DE0640">
      <w:r w:rsidRPr="00EE2562">
        <w:separator/>
      </w:r>
    </w:p>
  </w:endnote>
  <w:endnote w:type="continuationSeparator" w:id="0">
    <w:p w:rsidR="00DE0640" w:rsidRPr="00EE2562" w:rsidRDefault="00DE0640">
      <w:r w:rsidRPr="00EE25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797" w:rsidRPr="00EE2562" w:rsidRDefault="00F50797" w:rsidP="000E6E01">
    <w:pPr>
      <w:pStyle w:val="EPFooter"/>
    </w:pPr>
    <w:r w:rsidRPr="00EE2562">
      <w:t>PE</w:t>
    </w:r>
    <w:r w:rsidRPr="00EE2562">
      <w:rPr>
        <w:rStyle w:val="HideTWBExt"/>
      </w:rPr>
      <w:t>&lt;NoPE&gt;</w:t>
    </w:r>
    <w:r w:rsidRPr="00EE2562">
      <w:t>753.487</w:t>
    </w:r>
    <w:r w:rsidRPr="00EE2562">
      <w:rPr>
        <w:rStyle w:val="HideTWBExt"/>
      </w:rPr>
      <w:t>&lt;/NoPE&gt;&lt;Version&gt;</w:t>
    </w:r>
    <w:r w:rsidRPr="00EE2562">
      <w:t>v02-00</w:t>
    </w:r>
    <w:r w:rsidRPr="00EE2562">
      <w:rPr>
        <w:rStyle w:val="HideTWBExt"/>
      </w:rPr>
      <w:t>&lt;/Version&gt;</w:t>
    </w:r>
    <w:r w:rsidRPr="00EE2562">
      <w:tab/>
    </w:r>
    <w:r w:rsidRPr="00EE2562">
      <w:fldChar w:fldCharType="begin"/>
    </w:r>
    <w:r w:rsidRPr="00EE2562">
      <w:instrText xml:space="preserve"> PAGE  \* MERGEFORMAT </w:instrText>
    </w:r>
    <w:r w:rsidRPr="00EE2562">
      <w:fldChar w:fldCharType="separate"/>
    </w:r>
    <w:r w:rsidR="00EE2562" w:rsidRPr="00EE2562">
      <w:rPr>
        <w:noProof/>
      </w:rPr>
      <w:t>2</w:t>
    </w:r>
    <w:r w:rsidRPr="00EE2562">
      <w:fldChar w:fldCharType="end"/>
    </w:r>
    <w:r w:rsidRPr="00EE2562">
      <w:t>/</w:t>
    </w:r>
    <w:fldSimple w:instr=" NUMPAGES  \* MERGEFORMAT ">
      <w:r w:rsidR="00EE2562" w:rsidRPr="00EE2562">
        <w:rPr>
          <w:noProof/>
        </w:rPr>
        <w:t>4</w:t>
      </w:r>
    </w:fldSimple>
    <w:r w:rsidRPr="00EE2562">
      <w:tab/>
    </w:r>
    <w:r w:rsidRPr="00EE2562">
      <w:rPr>
        <w:rStyle w:val="HideTWBExt"/>
      </w:rPr>
      <w:t>&lt;PathFdR&gt;</w:t>
    </w:r>
    <w:r w:rsidRPr="00EE2562">
      <w:t>RR\1298695HR.docx</w:t>
    </w:r>
    <w:r w:rsidRPr="00EE2562">
      <w:rPr>
        <w:rStyle w:val="HideTWBExt"/>
      </w:rPr>
      <w:t>&lt;/PathFdR&gt;</w:t>
    </w:r>
  </w:p>
  <w:p w:rsidR="00F50797" w:rsidRPr="00EE2562" w:rsidRDefault="00F50797" w:rsidP="000E6E01">
    <w:pPr>
      <w:pStyle w:val="EPFooter2"/>
    </w:pPr>
    <w:r w:rsidRPr="00EE2562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797" w:rsidRPr="00EE2562" w:rsidRDefault="00F50797" w:rsidP="000E6E01">
    <w:pPr>
      <w:pStyle w:val="EPFooter"/>
    </w:pPr>
    <w:r w:rsidRPr="00EE2562">
      <w:rPr>
        <w:rStyle w:val="HideTWBExt"/>
      </w:rPr>
      <w:t>&lt;PathFdR&gt;</w:t>
    </w:r>
    <w:r w:rsidRPr="00EE2562">
      <w:t>RR\1298695HR.docx</w:t>
    </w:r>
    <w:r w:rsidRPr="00EE2562">
      <w:rPr>
        <w:rStyle w:val="HideTWBExt"/>
      </w:rPr>
      <w:t>&lt;/PathFdR&gt;</w:t>
    </w:r>
    <w:r w:rsidRPr="00EE2562">
      <w:tab/>
    </w:r>
    <w:r w:rsidRPr="00EE2562">
      <w:tab/>
      <w:t>PE</w:t>
    </w:r>
    <w:r w:rsidRPr="00EE2562">
      <w:rPr>
        <w:rStyle w:val="HideTWBExt"/>
      </w:rPr>
      <w:t>&lt;NoPE&gt;</w:t>
    </w:r>
    <w:r w:rsidRPr="00EE2562">
      <w:t>753.487</w:t>
    </w:r>
    <w:r w:rsidRPr="00EE2562">
      <w:rPr>
        <w:rStyle w:val="HideTWBExt"/>
      </w:rPr>
      <w:t>&lt;/NoPE&gt;&lt;Version&gt;</w:t>
    </w:r>
    <w:r w:rsidRPr="00EE2562">
      <w:t>v02-00</w:t>
    </w:r>
    <w:r w:rsidRPr="00EE2562">
      <w:rPr>
        <w:rStyle w:val="HideTWBExt"/>
      </w:rPr>
      <w:t>&lt;/Version&gt;</w:t>
    </w:r>
  </w:p>
  <w:p w:rsidR="00F50797" w:rsidRPr="00EE2562" w:rsidRDefault="00F50797" w:rsidP="000E6E01">
    <w:pPr>
      <w:pStyle w:val="EPFooter2"/>
    </w:pPr>
    <w:r w:rsidRPr="00EE2562">
      <w:t>HR</w:t>
    </w:r>
    <w:r w:rsidRPr="00EE2562">
      <w:tab/>
    </w:r>
    <w:r w:rsidRPr="00EE2562">
      <w:rPr>
        <w:b w:val="0"/>
        <w:i/>
        <w:color w:val="C0C0C0"/>
        <w:sz w:val="22"/>
      </w:rPr>
      <w:t>Ujedinjena u raznolikosti</w:t>
    </w:r>
    <w:r w:rsidRPr="00EE2562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56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56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5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640" w:rsidRPr="00EE2562" w:rsidRDefault="00DE0640">
      <w:r w:rsidRPr="00EE2562">
        <w:separator/>
      </w:r>
    </w:p>
  </w:footnote>
  <w:footnote w:type="continuationSeparator" w:id="0">
    <w:p w:rsidR="00DE0640" w:rsidRPr="00EE2562" w:rsidRDefault="00DE0640">
      <w:r w:rsidRPr="00EE2562">
        <w:continuationSeparator/>
      </w:r>
    </w:p>
  </w:footnote>
  <w:footnote w:id="1">
    <w:p w:rsidR="00F50797" w:rsidRPr="00C85F7E" w:rsidRDefault="00F50797" w:rsidP="00EE2562">
      <w:pPr>
        <w:pStyle w:val="FootnoteText"/>
        <w:ind w:left="567" w:hanging="567"/>
        <w:rPr>
          <w:sz w:val="24"/>
          <w:lang w:val="hr-HR"/>
        </w:rPr>
      </w:pPr>
      <w:r w:rsidRPr="00C85F7E">
        <w:rPr>
          <w:rStyle w:val="FootnoteReference"/>
          <w:sz w:val="24"/>
          <w:lang w:val="hr-HR"/>
        </w:rPr>
        <w:footnoteRef/>
      </w:r>
      <w:r w:rsidR="00EE2562" w:rsidRPr="00C85F7E">
        <w:rPr>
          <w:sz w:val="24"/>
          <w:lang w:val="hr-HR"/>
        </w:rPr>
        <w:t xml:space="preserve"> </w:t>
      </w:r>
      <w:r w:rsidR="00EE2562" w:rsidRPr="00C85F7E">
        <w:rPr>
          <w:sz w:val="24"/>
          <w:lang w:val="hr-HR"/>
        </w:rPr>
        <w:tab/>
      </w:r>
      <w:r w:rsidRPr="00C85F7E">
        <w:rPr>
          <w:sz w:val="24"/>
          <w:lang w:val="hr-HR"/>
        </w:rPr>
        <w:t>SL L 45, 24.2.2022.</w:t>
      </w:r>
    </w:p>
  </w:footnote>
  <w:footnote w:id="2">
    <w:p w:rsidR="00F50797" w:rsidRPr="00C85F7E" w:rsidRDefault="00F50797" w:rsidP="00EE2562">
      <w:pPr>
        <w:pStyle w:val="FootnoteText"/>
        <w:ind w:left="567" w:hanging="567"/>
        <w:rPr>
          <w:sz w:val="24"/>
          <w:lang w:val="hr-HR"/>
        </w:rPr>
      </w:pPr>
      <w:r w:rsidRPr="00C85F7E">
        <w:rPr>
          <w:rStyle w:val="FootnoteReference"/>
          <w:sz w:val="24"/>
          <w:lang w:val="hr-HR"/>
        </w:rPr>
        <w:footnoteRef/>
      </w:r>
      <w:r w:rsidR="00EE2562" w:rsidRPr="00C85F7E">
        <w:rPr>
          <w:sz w:val="24"/>
          <w:lang w:val="hr-HR"/>
        </w:rPr>
        <w:t xml:space="preserve"> </w:t>
      </w:r>
      <w:r w:rsidR="00EE2562" w:rsidRPr="00C85F7E">
        <w:rPr>
          <w:sz w:val="24"/>
          <w:lang w:val="hr-HR"/>
        </w:rPr>
        <w:tab/>
      </w:r>
      <w:r w:rsidRPr="00C85F7E">
        <w:rPr>
          <w:sz w:val="24"/>
          <w:lang w:val="hr-HR"/>
        </w:rPr>
        <w:t>SL C</w:t>
      </w:r>
      <w:r w:rsidR="00A71E59">
        <w:rPr>
          <w:sz w:val="24"/>
          <w:lang w:val="hr-HR"/>
        </w:rPr>
        <w:t>,</w:t>
      </w:r>
      <w:r w:rsidRPr="00C85F7E">
        <w:rPr>
          <w:sz w:val="24"/>
          <w:lang w:val="hr-HR"/>
        </w:rPr>
        <w:t xml:space="preserve"> C/2023/2, 12.10.2023.</w:t>
      </w:r>
    </w:p>
  </w:footnote>
  <w:footnote w:id="3">
    <w:p w:rsidR="00F50797" w:rsidRPr="00C85F7E" w:rsidRDefault="00F50797" w:rsidP="00EE2562">
      <w:pPr>
        <w:pStyle w:val="FootnoteText"/>
        <w:ind w:left="567" w:hanging="567"/>
        <w:rPr>
          <w:sz w:val="24"/>
          <w:lang w:val="hr-HR"/>
        </w:rPr>
      </w:pPr>
      <w:r w:rsidRPr="00C85F7E">
        <w:rPr>
          <w:rStyle w:val="FootnoteReference"/>
          <w:sz w:val="24"/>
          <w:lang w:val="hr-HR"/>
        </w:rPr>
        <w:footnoteRef/>
      </w:r>
      <w:r w:rsidR="00EE2562" w:rsidRPr="00C85F7E">
        <w:rPr>
          <w:sz w:val="24"/>
          <w:lang w:val="hr-HR"/>
        </w:rPr>
        <w:t xml:space="preserve"> </w:t>
      </w:r>
      <w:r w:rsidR="00EE2562" w:rsidRPr="00C85F7E">
        <w:rPr>
          <w:sz w:val="24"/>
          <w:lang w:val="hr-HR"/>
        </w:rPr>
        <w:tab/>
      </w:r>
      <w:r w:rsidRPr="00C85F7E">
        <w:rPr>
          <w:sz w:val="24"/>
          <w:lang w:val="hr-HR"/>
        </w:rPr>
        <w:t>SL C</w:t>
      </w:r>
      <w:r w:rsidR="00A71E59">
        <w:rPr>
          <w:sz w:val="24"/>
          <w:lang w:val="hr-HR"/>
        </w:rPr>
        <w:t>,</w:t>
      </w:r>
      <w:r w:rsidRPr="00C85F7E">
        <w:rPr>
          <w:sz w:val="24"/>
          <w:lang w:val="hr-HR"/>
        </w:rPr>
        <w:t xml:space="preserve"> C/2023/103, 4.10.2023.</w:t>
      </w:r>
    </w:p>
  </w:footnote>
  <w:footnote w:id="4">
    <w:p w:rsidR="00F50797" w:rsidRPr="00C85F7E" w:rsidRDefault="00F50797" w:rsidP="00EE2562">
      <w:pPr>
        <w:pStyle w:val="FootnoteText"/>
        <w:ind w:left="567" w:hanging="567"/>
        <w:rPr>
          <w:sz w:val="24"/>
          <w:lang w:val="hr-HR"/>
        </w:rPr>
      </w:pPr>
      <w:r w:rsidRPr="00C85F7E">
        <w:rPr>
          <w:rStyle w:val="FootnoteReference"/>
          <w:sz w:val="24"/>
          <w:lang w:val="hr-HR"/>
        </w:rPr>
        <w:footnoteRef/>
      </w:r>
      <w:r w:rsidR="00EE2562" w:rsidRPr="00C85F7E">
        <w:rPr>
          <w:sz w:val="24"/>
          <w:lang w:val="hr-HR"/>
        </w:rPr>
        <w:t xml:space="preserve"> </w:t>
      </w:r>
      <w:r w:rsidR="00EE2562" w:rsidRPr="00C85F7E">
        <w:rPr>
          <w:sz w:val="24"/>
          <w:lang w:val="hr-HR"/>
        </w:rPr>
        <w:tab/>
      </w:r>
      <w:r w:rsidR="007A567B">
        <w:rPr>
          <w:sz w:val="24"/>
          <w:lang w:val="hr-HR"/>
        </w:rPr>
        <w:t xml:space="preserve">SL </w:t>
      </w:r>
      <w:r w:rsidR="007A567B">
        <w:rPr>
          <w:sz w:val="24"/>
          <w:lang w:val="hr-HR"/>
        </w:rPr>
        <w:t>C</w:t>
      </w:r>
      <w:r w:rsidR="00A71E59">
        <w:rPr>
          <w:sz w:val="24"/>
          <w:lang w:val="hr-HR"/>
        </w:rPr>
        <w:t>,</w:t>
      </w:r>
      <w:bookmarkStart w:id="8" w:name="_GoBack"/>
      <w:bookmarkEnd w:id="8"/>
      <w:r w:rsidR="007A567B">
        <w:rPr>
          <w:sz w:val="24"/>
          <w:lang w:val="hr-HR"/>
        </w:rPr>
        <w:t xml:space="preserve"> C/2023/112, 12</w:t>
      </w:r>
      <w:r w:rsidR="00C85F7E" w:rsidRPr="00C85F7E">
        <w:rPr>
          <w:sz w:val="24"/>
          <w:lang w:val="hr-HR"/>
        </w:rPr>
        <w:t>.10.2023.</w:t>
      </w:r>
    </w:p>
  </w:footnote>
  <w:footnote w:id="5">
    <w:p w:rsidR="00F50797" w:rsidRPr="00C85F7E" w:rsidRDefault="00F50797" w:rsidP="00EE2562">
      <w:pPr>
        <w:pStyle w:val="FootnoteText"/>
        <w:ind w:left="567" w:hanging="567"/>
        <w:rPr>
          <w:sz w:val="24"/>
          <w:lang w:val="hr-HR"/>
        </w:rPr>
      </w:pPr>
      <w:r w:rsidRPr="00C85F7E">
        <w:rPr>
          <w:rStyle w:val="FootnoteReference"/>
          <w:sz w:val="24"/>
          <w:lang w:val="hr-HR"/>
        </w:rPr>
        <w:footnoteRef/>
      </w:r>
      <w:r w:rsidR="00EE2562" w:rsidRPr="00C85F7E">
        <w:rPr>
          <w:sz w:val="24"/>
          <w:lang w:val="hr-HR"/>
        </w:rPr>
        <w:t xml:space="preserve"> </w:t>
      </w:r>
      <w:r w:rsidR="00EE2562" w:rsidRPr="00C85F7E">
        <w:rPr>
          <w:sz w:val="24"/>
          <w:lang w:val="hr-HR"/>
        </w:rPr>
        <w:tab/>
      </w:r>
      <w:r w:rsidRPr="00C85F7E">
        <w:rPr>
          <w:sz w:val="24"/>
          <w:lang w:val="hr-HR"/>
        </w:rPr>
        <w:t>SL L 193, 30.7.2018., str. 1.</w:t>
      </w:r>
    </w:p>
  </w:footnote>
  <w:footnote w:id="6">
    <w:p w:rsidR="00F50797" w:rsidRPr="00C85F7E" w:rsidRDefault="00F50797" w:rsidP="00EE2562">
      <w:pPr>
        <w:pStyle w:val="FootnoteText"/>
        <w:ind w:left="567" w:hanging="567"/>
        <w:rPr>
          <w:sz w:val="24"/>
          <w:lang w:val="hr-HR"/>
        </w:rPr>
      </w:pPr>
      <w:r w:rsidRPr="00C85F7E">
        <w:rPr>
          <w:rStyle w:val="FootnoteReference"/>
          <w:sz w:val="24"/>
          <w:lang w:val="hr-HR"/>
        </w:rPr>
        <w:footnoteRef/>
      </w:r>
      <w:r w:rsidR="00EE2562" w:rsidRPr="00C85F7E">
        <w:rPr>
          <w:sz w:val="24"/>
          <w:lang w:val="hr-HR"/>
        </w:rPr>
        <w:t xml:space="preserve"> </w:t>
      </w:r>
      <w:r w:rsidR="00EE2562" w:rsidRPr="00C85F7E">
        <w:rPr>
          <w:sz w:val="24"/>
          <w:lang w:val="hr-HR"/>
        </w:rPr>
        <w:tab/>
      </w:r>
      <w:r w:rsidRPr="00C85F7E">
        <w:rPr>
          <w:sz w:val="24"/>
          <w:lang w:val="hr-HR"/>
        </w:rPr>
        <w:t xml:space="preserve">Uredba (EU) 2022/991 Europskog parlamenta i Vijeća od 8. lipnja 2022. o izmjeni Uredbe (EU) 2016/794 u pogledu suradnje </w:t>
      </w:r>
      <w:proofErr w:type="spellStart"/>
      <w:r w:rsidRPr="00C85F7E">
        <w:rPr>
          <w:sz w:val="24"/>
          <w:lang w:val="hr-HR"/>
        </w:rPr>
        <w:t>Europola</w:t>
      </w:r>
      <w:proofErr w:type="spellEnd"/>
      <w:r w:rsidRPr="00C85F7E">
        <w:rPr>
          <w:sz w:val="24"/>
          <w:lang w:val="hr-HR"/>
        </w:rPr>
        <w:t xml:space="preserve"> s privatnim stranama, obrade osobnih podataka koju provodi </w:t>
      </w:r>
      <w:proofErr w:type="spellStart"/>
      <w:r w:rsidRPr="00C85F7E">
        <w:rPr>
          <w:sz w:val="24"/>
          <w:lang w:val="hr-HR"/>
        </w:rPr>
        <w:t>Europol</w:t>
      </w:r>
      <w:proofErr w:type="spellEnd"/>
      <w:r w:rsidRPr="00C85F7E">
        <w:rPr>
          <w:sz w:val="24"/>
          <w:lang w:val="hr-HR"/>
        </w:rPr>
        <w:t xml:space="preserve"> radi potpore kaznenim istragama i uloge </w:t>
      </w:r>
      <w:proofErr w:type="spellStart"/>
      <w:r w:rsidRPr="00C85F7E">
        <w:rPr>
          <w:sz w:val="24"/>
          <w:lang w:val="hr-HR"/>
        </w:rPr>
        <w:t>Europola</w:t>
      </w:r>
      <w:proofErr w:type="spellEnd"/>
      <w:r w:rsidRPr="00C85F7E">
        <w:rPr>
          <w:sz w:val="24"/>
          <w:lang w:val="hr-HR"/>
        </w:rPr>
        <w:t xml:space="preserve"> u području istraživanja i inovacija (SL L 169, 27.6.2022., str. 1.).</w:t>
      </w:r>
    </w:p>
  </w:footnote>
  <w:footnote w:id="7">
    <w:p w:rsidR="00F50797" w:rsidRPr="00C85F7E" w:rsidRDefault="00F50797" w:rsidP="00EE2562">
      <w:pPr>
        <w:pStyle w:val="FootnoteText"/>
        <w:ind w:left="567" w:hanging="567"/>
        <w:rPr>
          <w:sz w:val="24"/>
          <w:lang w:val="hr-HR"/>
        </w:rPr>
      </w:pPr>
      <w:r w:rsidRPr="00C85F7E">
        <w:rPr>
          <w:rStyle w:val="FootnoteReference"/>
          <w:sz w:val="24"/>
          <w:lang w:val="hr-HR"/>
        </w:rPr>
        <w:footnoteRef/>
      </w:r>
      <w:r w:rsidR="00EE2562" w:rsidRPr="00C85F7E">
        <w:rPr>
          <w:sz w:val="24"/>
          <w:lang w:val="hr-HR"/>
        </w:rPr>
        <w:t xml:space="preserve"> </w:t>
      </w:r>
      <w:r w:rsidR="00EE2562" w:rsidRPr="00C85F7E">
        <w:rPr>
          <w:sz w:val="24"/>
          <w:lang w:val="hr-HR"/>
        </w:rPr>
        <w:tab/>
      </w:r>
      <w:r w:rsidRPr="00C85F7E">
        <w:rPr>
          <w:sz w:val="24"/>
          <w:lang w:val="hr-HR"/>
        </w:rPr>
        <w:t>Uredba (EU) 2016/794 Europskog parlamenta i Vijeća od 11. svibnja 2016. o Agenciji Europske unije za suradnju tijela za izvršavanje zakonodavstva (</w:t>
      </w:r>
      <w:proofErr w:type="spellStart"/>
      <w:r w:rsidRPr="00C85F7E">
        <w:rPr>
          <w:sz w:val="24"/>
          <w:lang w:val="hr-HR"/>
        </w:rPr>
        <w:t>Europol</w:t>
      </w:r>
      <w:proofErr w:type="spellEnd"/>
      <w:r w:rsidRPr="00C85F7E">
        <w:rPr>
          <w:sz w:val="24"/>
          <w:lang w:val="hr-HR"/>
        </w:rPr>
        <w:t>) te zamjeni i stavljanju izvan snage odluka Vijeća 2009/371/PUP, 2009/934/PUP, 2009/935/PUP, 2009/936/PUP i 2009/968/PUP (SL L 135, 24.5.2016., str. 53.).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5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5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5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6/2024"/>
    <w:docVar w:name="dvlangue" w:val="HR"/>
    <w:docVar w:name="dvnumam" w:val="0"/>
    <w:docVar w:name="dvpe" w:val="753.487"/>
    <w:docVar w:name="dvrapporteur" w:val="Izvjestitelj: "/>
    <w:docVar w:name="dvtitre" w:val="Odluka Europskog parlamenta od .... 2024. o razrješnici za izvršenje općeg proračuna Europske unije za financijsku godinu 2022., dio IX. – Europski nadzornik za zaštitu podataka(2023/2138(DEC))"/>
  </w:docVars>
  <w:rsids>
    <w:rsidRoot w:val="00DE0640"/>
    <w:rsid w:val="00002272"/>
    <w:rsid w:val="00064002"/>
    <w:rsid w:val="000677B9"/>
    <w:rsid w:val="000831BA"/>
    <w:rsid w:val="000A42CC"/>
    <w:rsid w:val="000E7DD9"/>
    <w:rsid w:val="0010095E"/>
    <w:rsid w:val="00125B37"/>
    <w:rsid w:val="001730B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67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58C"/>
    <w:rsid w:val="00930C23"/>
    <w:rsid w:val="0093193B"/>
    <w:rsid w:val="009509D8"/>
    <w:rsid w:val="00950B64"/>
    <w:rsid w:val="00981893"/>
    <w:rsid w:val="00A1687D"/>
    <w:rsid w:val="00A43E52"/>
    <w:rsid w:val="00A4678D"/>
    <w:rsid w:val="00A71E5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F7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640"/>
    <w:rsid w:val="00E365E1"/>
    <w:rsid w:val="00E820A4"/>
    <w:rsid w:val="00EB006A"/>
    <w:rsid w:val="00EB4772"/>
    <w:rsid w:val="00ED169E"/>
    <w:rsid w:val="00ED4235"/>
    <w:rsid w:val="00EE2562"/>
    <w:rsid w:val="00F04346"/>
    <w:rsid w:val="00F075DC"/>
    <w:rsid w:val="00F149E9"/>
    <w:rsid w:val="00F50797"/>
    <w:rsid w:val="00F5134D"/>
    <w:rsid w:val="00F51787"/>
    <w:rsid w:val="00F7241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D53117"/>
  <w15:chartTrackingRefBased/>
  <w15:docId w15:val="{4B1EEFCA-4EA2-40BE-AE0C-5E54D55E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5079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50797"/>
    <w:pPr>
      <w:spacing w:before="480" w:after="240"/>
    </w:pPr>
  </w:style>
  <w:style w:type="paragraph" w:customStyle="1" w:styleId="PageHeading">
    <w:name w:val="PageHeading"/>
    <w:basedOn w:val="Normal"/>
    <w:rsid w:val="00F5079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50797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F5079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507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50797"/>
    <w:rPr>
      <w:sz w:val="24"/>
      <w:lang w:val="hr-HR"/>
    </w:rPr>
  </w:style>
  <w:style w:type="paragraph" w:customStyle="1" w:styleId="EPFooter">
    <w:name w:val="EPFooter"/>
    <w:basedOn w:val="Normal"/>
    <w:rsid w:val="00F5079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F50797"/>
    <w:rPr>
      <w:sz w:val="24"/>
      <w:lang w:val="hr-HR"/>
    </w:rPr>
  </w:style>
  <w:style w:type="paragraph" w:styleId="Footer">
    <w:name w:val="footer"/>
    <w:basedOn w:val="Normal"/>
    <w:link w:val="FooterChar"/>
    <w:rsid w:val="00C85F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85F7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7A6C0-5435-45AB-83F1-382111B39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4079</Words>
  <Characters>24172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Karina Pesa</cp:lastModifiedBy>
  <cp:revision>3</cp:revision>
  <cp:lastPrinted>2004-11-19T15:42:00Z</cp:lastPrinted>
  <dcterms:created xsi:type="dcterms:W3CDTF">2024-05-22T15:11:00Z</dcterms:created>
  <dcterms:modified xsi:type="dcterms:W3CDTF">2024-10-30T19:08:00Z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P9_TA(2024)0235_</vt:lpwstr>
  </property>
  <property fmtid="{D5CDD505-2E9C-101B-9397-08002B2CF9AE}" pid="4" name="&lt;Type&gt;">
    <vt:lpwstr>RR</vt:lpwstr>
  </property>
</Properties>
</file>