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37C" w:rsidTr="0010095E">
        <w:trPr>
          <w:trHeight w:hRule="exact" w:val="1418"/>
        </w:trPr>
        <w:tc>
          <w:tcPr>
            <w:tcW w:w="6804" w:type="dxa"/>
            <w:shd w:val="clear" w:color="auto" w:fill="auto"/>
            <w:vAlign w:val="center"/>
          </w:tcPr>
          <w:p w:rsidR="00751A4A" w:rsidRPr="00A5437C" w:rsidRDefault="003867AB" w:rsidP="0010095E">
            <w:pPr>
              <w:pStyle w:val="EPName"/>
            </w:pPr>
            <w:r w:rsidRPr="00A5437C">
              <w:t>Europos Parlamentas</w:t>
            </w:r>
          </w:p>
          <w:p w:rsidR="00751A4A" w:rsidRPr="00A5437C" w:rsidRDefault="00817416" w:rsidP="00756632">
            <w:pPr>
              <w:pStyle w:val="EPTerm"/>
              <w:rPr>
                <w:rStyle w:val="HideTWBExt"/>
                <w:noProof w:val="0"/>
                <w:vanish w:val="0"/>
                <w:color w:val="auto"/>
              </w:rPr>
            </w:pPr>
            <w:r w:rsidRPr="00A5437C">
              <w:t>2019-2024</w:t>
            </w:r>
          </w:p>
        </w:tc>
        <w:tc>
          <w:tcPr>
            <w:tcW w:w="2268" w:type="dxa"/>
            <w:shd w:val="clear" w:color="auto" w:fill="auto"/>
          </w:tcPr>
          <w:p w:rsidR="00751A4A" w:rsidRPr="00A5437C" w:rsidRDefault="00187494" w:rsidP="0010095E">
            <w:pPr>
              <w:pStyle w:val="EPLogo"/>
            </w:pPr>
            <w:r w:rsidRPr="00A5437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37C" w:rsidRDefault="00D058B8" w:rsidP="004C5D52">
      <w:pPr>
        <w:pStyle w:val="LineTop"/>
      </w:pPr>
    </w:p>
    <w:p w:rsidR="00680577" w:rsidRPr="00A5437C" w:rsidRDefault="003867AB" w:rsidP="00680577">
      <w:pPr>
        <w:pStyle w:val="EPBodyTA1"/>
      </w:pPr>
      <w:r w:rsidRPr="00A5437C">
        <w:t>PRIIMTI TEKSTAI</w:t>
      </w:r>
    </w:p>
    <w:p w:rsidR="00D058B8" w:rsidRPr="00A5437C" w:rsidRDefault="00D058B8" w:rsidP="00D058B8">
      <w:pPr>
        <w:pStyle w:val="LineBottom"/>
      </w:pPr>
    </w:p>
    <w:p w:rsidR="003867AB" w:rsidRPr="00A5437C" w:rsidRDefault="003867AB" w:rsidP="003867AB">
      <w:pPr>
        <w:pStyle w:val="ATHeading1"/>
      </w:pPr>
      <w:bookmarkStart w:id="0" w:name="TANumber"/>
      <w:r w:rsidRPr="00A5437C">
        <w:t>P9_TA(2024)0</w:t>
      </w:r>
      <w:r w:rsidR="005E0E24">
        <w:t>235</w:t>
      </w:r>
      <w:bookmarkEnd w:id="0"/>
    </w:p>
    <w:p w:rsidR="003867AB" w:rsidRPr="00A5437C" w:rsidRDefault="003867AB" w:rsidP="003867AB">
      <w:pPr>
        <w:pStyle w:val="ATHeading2"/>
      </w:pPr>
      <w:bookmarkStart w:id="1" w:name="title"/>
      <w:r w:rsidRPr="00A5437C">
        <w:t>2022 m. biudžeto įvykdymo patvirtinimas: ES bendrasis biudžetas – Europos duomenų apsaugos priežiūros pareigūnas</w:t>
      </w:r>
      <w:bookmarkEnd w:id="1"/>
    </w:p>
    <w:p w:rsidR="003867AB" w:rsidRPr="00A5437C" w:rsidRDefault="003867AB" w:rsidP="003867AB">
      <w:pPr>
        <w:rPr>
          <w:i/>
          <w:vanish/>
        </w:rPr>
      </w:pPr>
      <w:r w:rsidRPr="00A5437C">
        <w:rPr>
          <w:i/>
        </w:rPr>
        <w:fldChar w:fldCharType="begin"/>
      </w:r>
      <w:r w:rsidRPr="00A5437C">
        <w:rPr>
          <w:i/>
        </w:rPr>
        <w:instrText xml:space="preserve"> TC"(</w:instrText>
      </w:r>
      <w:bookmarkStart w:id="2" w:name="DocNumber"/>
      <w:r w:rsidRPr="00A5437C">
        <w:rPr>
          <w:i/>
        </w:rPr>
        <w:instrText>A9-0086/2024</w:instrText>
      </w:r>
      <w:bookmarkEnd w:id="2"/>
      <w:r w:rsidRPr="00A5437C">
        <w:rPr>
          <w:i/>
        </w:rPr>
        <w:instrText xml:space="preserve"> - Pranešėjas: Luke </w:instrText>
      </w:r>
      <w:proofErr w:type="spellStart"/>
      <w:r w:rsidRPr="00A5437C">
        <w:rPr>
          <w:i/>
        </w:rPr>
        <w:instrText>Ming</w:instrText>
      </w:r>
      <w:proofErr w:type="spellEnd"/>
      <w:r w:rsidRPr="00A5437C">
        <w:rPr>
          <w:i/>
        </w:rPr>
        <w:instrText xml:space="preserve"> </w:instrText>
      </w:r>
      <w:proofErr w:type="spellStart"/>
      <w:r w:rsidRPr="00A5437C">
        <w:rPr>
          <w:i/>
        </w:rPr>
        <w:instrText>Flanagan</w:instrText>
      </w:r>
      <w:proofErr w:type="spellEnd"/>
      <w:r w:rsidRPr="00A5437C">
        <w:rPr>
          <w:i/>
        </w:rPr>
        <w:instrText xml:space="preserve">)"\l3 \n&gt; \* MERGEFORMAT </w:instrText>
      </w:r>
      <w:r w:rsidRPr="00A5437C">
        <w:rPr>
          <w:i/>
        </w:rPr>
        <w:fldChar w:fldCharType="end"/>
      </w:r>
    </w:p>
    <w:p w:rsidR="003867AB" w:rsidRPr="00A5437C" w:rsidRDefault="003867AB" w:rsidP="003867AB">
      <w:pPr>
        <w:rPr>
          <w:vanish/>
        </w:rPr>
      </w:pPr>
      <w:bookmarkStart w:id="3" w:name="Commission"/>
      <w:r w:rsidRPr="00A5437C">
        <w:rPr>
          <w:vanish/>
        </w:rPr>
        <w:t>Biudžeto kontrolės komitetas</w:t>
      </w:r>
      <w:bookmarkEnd w:id="3"/>
    </w:p>
    <w:p w:rsidR="003867AB" w:rsidRPr="00A5437C" w:rsidRDefault="003867AB" w:rsidP="003867AB">
      <w:pPr>
        <w:rPr>
          <w:vanish/>
        </w:rPr>
      </w:pPr>
      <w:bookmarkStart w:id="4" w:name="PE"/>
      <w:r w:rsidRPr="00A5437C">
        <w:rPr>
          <w:vanish/>
        </w:rPr>
        <w:t>PE753.487</w:t>
      </w:r>
      <w:bookmarkEnd w:id="4"/>
    </w:p>
    <w:p w:rsidR="003867AB" w:rsidRPr="00A5437C" w:rsidRDefault="00177320" w:rsidP="00177320">
      <w:pPr>
        <w:pStyle w:val="ATHeading3"/>
      </w:pPr>
      <w:bookmarkStart w:id="5" w:name="Sujet"/>
      <w:r>
        <w:t xml:space="preserve">1. 2024 m. balandžio 11 d. </w:t>
      </w:r>
      <w:r w:rsidR="003867AB" w:rsidRPr="00A5437C">
        <w:t>Europos Parlamento sprendimas dėl 2022 finansinių metų Europos Sąjungos bendrojo biudžeto įvykdymo patvirtinimo, IX skirsnis – Europos duomenų apsaugos priežiūros pareigūnas</w:t>
      </w:r>
      <w:bookmarkEnd w:id="5"/>
      <w:r w:rsidR="003867AB" w:rsidRPr="00A5437C">
        <w:t xml:space="preserve"> </w:t>
      </w:r>
      <w:bookmarkStart w:id="6" w:name="References"/>
      <w:r w:rsidR="003867AB" w:rsidRPr="00A5437C">
        <w:t>(2023/2138(DEC))</w:t>
      </w:r>
      <w:bookmarkEnd w:id="6"/>
    </w:p>
    <w:p w:rsidR="00260855" w:rsidRPr="00A5437C" w:rsidRDefault="00260855" w:rsidP="00260855">
      <w:pPr>
        <w:pStyle w:val="EPComma"/>
      </w:pPr>
      <w:bookmarkStart w:id="7" w:name="TextBodyBegin"/>
      <w:bookmarkEnd w:id="7"/>
      <w:r w:rsidRPr="00A5437C">
        <w:rPr>
          <w:i/>
        </w:rPr>
        <w:t>Europos Parlamentas</w:t>
      </w:r>
      <w:r w:rsidRPr="00A5437C">
        <w:t>,</w:t>
      </w:r>
    </w:p>
    <w:p w:rsidR="00260855" w:rsidRPr="00A5437C" w:rsidRDefault="00260855" w:rsidP="00260855">
      <w:pPr>
        <w:pStyle w:val="NormalHanging12a"/>
      </w:pPr>
      <w:r w:rsidRPr="00A5437C">
        <w:t>–</w:t>
      </w:r>
      <w:r w:rsidRPr="00A5437C">
        <w:tab/>
        <w:t>atsižvelgdamas į 2022 finansinių metų Europos Sąjungos bendrąjį biudžetą</w:t>
      </w:r>
      <w:r w:rsidRPr="00A5437C">
        <w:rPr>
          <w:rStyle w:val="FootnoteReference"/>
        </w:rPr>
        <w:footnoteReference w:id="1"/>
      </w:r>
      <w:r w:rsidRPr="00A5437C">
        <w:t>,</w:t>
      </w:r>
    </w:p>
    <w:p w:rsidR="00260855" w:rsidRPr="00A5437C" w:rsidRDefault="00260855" w:rsidP="00260855">
      <w:pPr>
        <w:pStyle w:val="NormalHanging12a"/>
      </w:pPr>
      <w:r w:rsidRPr="00A5437C">
        <w:t>–</w:t>
      </w:r>
      <w:r w:rsidRPr="00A5437C">
        <w:tab/>
        <w:t>atsižvelgdamas į 2022 finansinių metų Europos Sąjungos konsoliduotąsias metines ataskaitas (COM(2023)0391 – C9</w:t>
      </w:r>
      <w:r w:rsidRPr="00A5437C">
        <w:noBreakHyphen/>
        <w:t>0257/2023)</w:t>
      </w:r>
      <w:r w:rsidRPr="00A5437C">
        <w:rPr>
          <w:rStyle w:val="FootnoteReference"/>
        </w:rPr>
        <w:footnoteReference w:id="2"/>
      </w:r>
      <w:r w:rsidRPr="00A5437C">
        <w:t>,</w:t>
      </w:r>
    </w:p>
    <w:p w:rsidR="00260855" w:rsidRPr="00A5437C" w:rsidRDefault="00260855" w:rsidP="00260855">
      <w:pPr>
        <w:pStyle w:val="NormalHanging12a"/>
      </w:pPr>
      <w:r w:rsidRPr="00A5437C">
        <w:t>–</w:t>
      </w:r>
      <w:r w:rsidRPr="00A5437C">
        <w:tab/>
        <w:t>atsižvelgdamas į Europos duomenų apsaugos priežiūros pareigūno 2022 m. metinę ataskaitą,</w:t>
      </w:r>
    </w:p>
    <w:p w:rsidR="00260855" w:rsidRPr="00A5437C" w:rsidRDefault="00260855" w:rsidP="00260855">
      <w:pPr>
        <w:pStyle w:val="NormalHanging12a"/>
      </w:pPr>
      <w:r w:rsidRPr="00A5437C">
        <w:t>–</w:t>
      </w:r>
      <w:r w:rsidRPr="00A5437C">
        <w:tab/>
        <w:t>atsižvelgdamas į Audito Rūmų 2022 finansinių metų metinę biudžeto vykdymo ataskaitą kartu su institucijų atsakymais</w:t>
      </w:r>
      <w:r w:rsidRPr="00A5437C">
        <w:rPr>
          <w:rStyle w:val="FootnoteReference"/>
        </w:rPr>
        <w:footnoteReference w:id="3"/>
      </w:r>
      <w:r w:rsidRPr="00A5437C">
        <w:t>,</w:t>
      </w:r>
    </w:p>
    <w:p w:rsidR="00260855" w:rsidRPr="00A5437C" w:rsidRDefault="00260855" w:rsidP="00260855">
      <w:pPr>
        <w:pStyle w:val="NormalHanging12a"/>
      </w:pPr>
      <w:r w:rsidRPr="00A5437C">
        <w:t>–</w:t>
      </w:r>
      <w:r w:rsidRPr="00A5437C">
        <w:tab/>
        <w:t>atsižvelgdamas į Audito Rūmų pagal Sutarties dėl Europos Sąjungos veikimo 287 straipsnį pateiktą 2022 finansinių metų sąskaitų patikimumo ir pagal jas atliktų operacijų teisėtumo ir tvarkingumo patikinimo pareiškimą</w:t>
      </w:r>
      <w:r w:rsidRPr="00A5437C">
        <w:rPr>
          <w:rStyle w:val="FootnoteReference"/>
        </w:rPr>
        <w:footnoteReference w:id="4"/>
      </w:r>
      <w:r w:rsidRPr="00A5437C">
        <w:t>,</w:t>
      </w:r>
    </w:p>
    <w:p w:rsidR="00260855" w:rsidRPr="00A5437C" w:rsidRDefault="00260855" w:rsidP="00260855">
      <w:pPr>
        <w:pStyle w:val="NormalHanging12a"/>
      </w:pPr>
      <w:r w:rsidRPr="00A5437C">
        <w:t>–</w:t>
      </w:r>
      <w:r w:rsidRPr="00A5437C">
        <w:tab/>
        <w:t>atsižvelgdamas į Sutarties dėl Europos Sąjungos veikimo 314 straipsnio 10 dalį ir 317, 318 ir 319 straipsnius,</w:t>
      </w:r>
    </w:p>
    <w:p w:rsidR="00260855" w:rsidRPr="00A5437C" w:rsidRDefault="00260855" w:rsidP="00260855">
      <w:pPr>
        <w:pStyle w:val="NormalHanging12a"/>
      </w:pPr>
      <w:r w:rsidRPr="00A5437C">
        <w:t>–</w:t>
      </w:r>
      <w:r w:rsidRPr="00A5437C">
        <w:tab/>
        <w:t xml:space="preserve">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w:t>
      </w:r>
      <w:r w:rsidRPr="00A5437C">
        <w:lastRenderedPageBreak/>
        <w:t>panaikinamas Reglamentas (ES, Euratomas) Nr. 966/2012</w:t>
      </w:r>
      <w:r w:rsidRPr="00A5437C">
        <w:rPr>
          <w:rStyle w:val="FootnoteReference"/>
        </w:rPr>
        <w:footnoteReference w:id="5"/>
      </w:r>
      <w:r w:rsidRPr="00A5437C">
        <w:t>, ypač į jo 59, 118, 260, 261 ir 262 straipsnius,</w:t>
      </w:r>
    </w:p>
    <w:p w:rsidR="00260855" w:rsidRPr="00A5437C" w:rsidRDefault="00260855" w:rsidP="00260855">
      <w:pPr>
        <w:pStyle w:val="NormalHanging12a"/>
      </w:pPr>
      <w:r w:rsidRPr="00A5437C">
        <w:t>–</w:t>
      </w:r>
      <w:r w:rsidRPr="00A5437C">
        <w:tab/>
      </w:r>
      <w:r w:rsidRPr="00A5437C">
        <w:rPr>
          <w:snapToGrid w:val="0"/>
        </w:rPr>
        <w:t>atsižvelgdamas į 2018 m. spalio 23 d. Europos Parlamento ir Tarybos reglamentą (ES) 2018/1725 dėl fizinių asmenų apsaugos Sąjungos institucijoms, organams, tarnyboms ir agentūroms tvarkant asmens duomenis ir dėl laisvo tokių duomenų judėjimo, kuriuo panaikinamas Reglamentas (EB) Nr. 45/2001 ir Sprendimas Nr. 1247/2002/EB, ypač į jo 54 straipsnį,</w:t>
      </w:r>
    </w:p>
    <w:p w:rsidR="00260855" w:rsidRPr="00A5437C" w:rsidRDefault="00260855" w:rsidP="00260855">
      <w:pPr>
        <w:pStyle w:val="NormalHanging12a"/>
      </w:pPr>
      <w:r w:rsidRPr="00A5437C">
        <w:t>–</w:t>
      </w:r>
      <w:r w:rsidRPr="00A5437C">
        <w:tab/>
        <w:t>atsižvelgdamas į Darbo tvarkos taisyklių 100 straipsnį ir V priedą,</w:t>
      </w:r>
    </w:p>
    <w:p w:rsidR="00260855" w:rsidRPr="00A5437C" w:rsidRDefault="00260855" w:rsidP="00260855">
      <w:pPr>
        <w:pStyle w:val="NormalHanging12a"/>
      </w:pPr>
      <w:r w:rsidRPr="00A5437C">
        <w:t>–</w:t>
      </w:r>
      <w:r w:rsidRPr="00A5437C">
        <w:tab/>
        <w:t>atsižvelgdamas į Piliečių laisvių, teisingumo ir vidaus reikalų komiteto nuomonę,</w:t>
      </w:r>
    </w:p>
    <w:p w:rsidR="00260855" w:rsidRPr="00A5437C" w:rsidRDefault="00260855" w:rsidP="00260855">
      <w:pPr>
        <w:pStyle w:val="NormalHanging12a"/>
      </w:pPr>
      <w:r w:rsidRPr="00A5437C">
        <w:t>–</w:t>
      </w:r>
      <w:r w:rsidRPr="00A5437C">
        <w:tab/>
        <w:t>atsižvelgdamas į Biudžeto kontrolės komiteto pranešimą (A9-0086/2024),</w:t>
      </w:r>
    </w:p>
    <w:p w:rsidR="00260855" w:rsidRPr="00A5437C" w:rsidRDefault="00260855" w:rsidP="00260855">
      <w:pPr>
        <w:pStyle w:val="NormalHanging12a"/>
      </w:pPr>
      <w:r w:rsidRPr="00A5437C">
        <w:t>1.</w:t>
      </w:r>
      <w:r w:rsidRPr="00A5437C">
        <w:tab/>
        <w:t>patvirtina Europos duomenų apsaugos priežiūros pareigūnui, kad jo 2022 finansinių metų biudžetas įvykdytas;</w:t>
      </w:r>
    </w:p>
    <w:p w:rsidR="00260855" w:rsidRPr="00A5437C" w:rsidRDefault="00260855" w:rsidP="00260855">
      <w:pPr>
        <w:pStyle w:val="NormalHanging12a"/>
      </w:pPr>
      <w:r w:rsidRPr="00A5437C">
        <w:t>2.</w:t>
      </w:r>
      <w:r w:rsidRPr="00A5437C">
        <w:tab/>
        <w:t>išdėsto savo pastabas toliau pateikiamoje rezoliucijoje;</w:t>
      </w:r>
    </w:p>
    <w:p w:rsidR="00260855" w:rsidRPr="00A5437C" w:rsidRDefault="00260855" w:rsidP="00260855">
      <w:pPr>
        <w:pStyle w:val="NormalHanging12a"/>
      </w:pPr>
      <w:r w:rsidRPr="00A5437C">
        <w:t>3.</w:t>
      </w:r>
      <w:r w:rsidRPr="00A5437C">
        <w:tab/>
        <w:t xml:space="preserve">paveda Pirmininkei perduoti šį sprendimą ir rezoliuciją, kuri yra neatskiriama jo dalis, Europos duomenų apsaugos priežiūros pareigūnui, Europos Vadovų Tarybai, Tarybai, Komisijai, Audito Rūmams, Europos Sąjungos Teisingumo Teismui, Europos </w:t>
      </w:r>
      <w:proofErr w:type="spellStart"/>
      <w:r w:rsidRPr="00A5437C">
        <w:t>ombudsmenei</w:t>
      </w:r>
      <w:proofErr w:type="spellEnd"/>
      <w:r w:rsidRPr="00A5437C">
        <w:t xml:space="preserve"> ir Europos išorės veiksmų tarnybai bei pasirūpinti, kad jie būtų paskelbti </w:t>
      </w:r>
      <w:r w:rsidRPr="00A5437C">
        <w:rPr>
          <w:i/>
          <w:iCs/>
        </w:rPr>
        <w:t>Europos Sąjungos oficialiajame leidinyje</w:t>
      </w:r>
      <w:r w:rsidRPr="00A5437C">
        <w:t xml:space="preserve"> (L serijoje).</w:t>
      </w:r>
    </w:p>
    <w:p w:rsidR="00260855" w:rsidRPr="00A5437C" w:rsidRDefault="00260855" w:rsidP="00260855"/>
    <w:p w:rsidR="00260855" w:rsidRPr="00A5437C" w:rsidRDefault="00260855" w:rsidP="00260855">
      <w:pPr>
        <w:pStyle w:val="PageHeading"/>
        <w:sectPr w:rsidR="00260855" w:rsidRPr="00A5437C" w:rsidSect="00A5437C">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60855" w:rsidRPr="00A5437C" w:rsidRDefault="00177320" w:rsidP="00177320">
      <w:pPr>
        <w:pStyle w:val="ATHeading3"/>
      </w:pPr>
      <w:r>
        <w:lastRenderedPageBreak/>
        <w:t xml:space="preserve">2. 2024 m. balandžio 11 d. </w:t>
      </w:r>
      <w:r w:rsidRPr="00A5437C">
        <w:t xml:space="preserve">Europos Parlamento </w:t>
      </w:r>
      <w:r>
        <w:t xml:space="preserve">rezoliucija </w:t>
      </w:r>
      <w:r w:rsidR="00260855" w:rsidRPr="00A5437C">
        <w:t>su pastabomis, sudarančiomis neatskiriamą sprendimo dėl 2022 finansinių metų Europos Sąjungos bendrojo biudžeto įvykdymo patvirtinimo, IX skirsnis – Europos duomenų apsaugos priežiūros pareigūnas, dalį</w:t>
      </w:r>
      <w:r>
        <w:t xml:space="preserve"> </w:t>
      </w:r>
      <w:r w:rsidR="00260855" w:rsidRPr="00A5437C">
        <w:t>(2023/2138(DEC))</w:t>
      </w:r>
    </w:p>
    <w:p w:rsidR="00260855" w:rsidRPr="00A5437C" w:rsidRDefault="00260855" w:rsidP="00260855">
      <w:pPr>
        <w:pStyle w:val="EPComma"/>
      </w:pPr>
      <w:r w:rsidRPr="00A5437C">
        <w:rPr>
          <w:i/>
        </w:rPr>
        <w:t>Europos Parlamentas</w:t>
      </w:r>
      <w:r w:rsidRPr="00A5437C">
        <w:t>,</w:t>
      </w:r>
    </w:p>
    <w:p w:rsidR="00260855" w:rsidRPr="00A5437C" w:rsidRDefault="00260855" w:rsidP="00260855">
      <w:pPr>
        <w:pStyle w:val="NormalHanging12a"/>
        <w:rPr>
          <w:szCs w:val="24"/>
        </w:rPr>
      </w:pPr>
      <w:r w:rsidRPr="00A5437C">
        <w:t>–</w:t>
      </w:r>
      <w:r w:rsidRPr="00A5437C">
        <w:tab/>
        <w:t>atsižvelgdamas į savo sprendimą dėl 2022 finansinių metų Europos Sąjungos bendrojo biudžeto įvykdymo patvirtinimo, IX skirsnis – Europos duomenų apsaugos priežiūros pareigūnas,</w:t>
      </w:r>
    </w:p>
    <w:p w:rsidR="00260855" w:rsidRPr="00A5437C" w:rsidRDefault="00260855" w:rsidP="00260855">
      <w:pPr>
        <w:pStyle w:val="NormalHanging12a"/>
        <w:rPr>
          <w:szCs w:val="24"/>
        </w:rPr>
      </w:pPr>
      <w:r w:rsidRPr="00A5437C">
        <w:t>–</w:t>
      </w:r>
      <w:r w:rsidRPr="00A5437C">
        <w:tab/>
        <w:t>atsižvelgdamas į Darbo tvarkos taisyklių 100 straipsnį ir V priedą,</w:t>
      </w:r>
    </w:p>
    <w:p w:rsidR="00260855" w:rsidRPr="00A5437C" w:rsidRDefault="00260855" w:rsidP="00260855">
      <w:pPr>
        <w:pStyle w:val="NormalHanging12a"/>
        <w:rPr>
          <w:szCs w:val="24"/>
        </w:rPr>
      </w:pPr>
      <w:r w:rsidRPr="00A5437C">
        <w:t>–</w:t>
      </w:r>
      <w:r w:rsidRPr="00A5437C">
        <w:tab/>
        <w:t>atsižvelgdamas į Piliečių laisvių, teisingumo ir vidaus reikalų komiteto nuomonę,</w:t>
      </w:r>
    </w:p>
    <w:p w:rsidR="00260855" w:rsidRPr="00A5437C" w:rsidRDefault="00260855" w:rsidP="00260855">
      <w:pPr>
        <w:pStyle w:val="NormalHanging12a"/>
        <w:rPr>
          <w:szCs w:val="24"/>
        </w:rPr>
      </w:pPr>
      <w:r w:rsidRPr="00A5437C">
        <w:t>–</w:t>
      </w:r>
      <w:r w:rsidRPr="00A5437C">
        <w:tab/>
        <w:t>atsižvelgdamas į Biudžeto kontrolės komiteto pranešimą (A9-0086/2024),</w:t>
      </w:r>
    </w:p>
    <w:p w:rsidR="00260855" w:rsidRPr="00A5437C" w:rsidRDefault="00260855" w:rsidP="00260855">
      <w:pPr>
        <w:pStyle w:val="NormalHanging12a"/>
        <w:rPr>
          <w:szCs w:val="24"/>
        </w:rPr>
      </w:pPr>
      <w:r w:rsidRPr="00A5437C">
        <w:t>A.</w:t>
      </w:r>
      <w:r w:rsidRPr="00A5437C">
        <w:tab/>
        <w:t>kadangi vykdant biudžeto įvykdymo patvirtinimo procedūrą biudžeto įvykdymą tvirtinanti institucija nori pabrėžti, jog nepaprastai svarbu toliau stiprinti Sąjungos institucijų demokratinį teisėtumą didinant skaidrumą ir atskaitomybę, įgyvendinant rezultatais grindžiamo biudžeto sudarymo koncepciją ir užtikrinant gerą žmogiškųjų išteklių valdymą;</w:t>
      </w:r>
    </w:p>
    <w:p w:rsidR="00260855" w:rsidRPr="00A5437C" w:rsidRDefault="00260855" w:rsidP="00260855">
      <w:pPr>
        <w:pStyle w:val="NormalHanging12a"/>
        <w:rPr>
          <w:szCs w:val="24"/>
        </w:rPr>
      </w:pPr>
      <w:r w:rsidRPr="00A5437C">
        <w:t>B.</w:t>
      </w:r>
      <w:r w:rsidRPr="00A5437C">
        <w:tab/>
        <w:t>kadangi duomenų apsauga yra pagrindinė teisė, saugoma ES teisės aktais ir įtvirtinta Europos Sąjungos pagrindinių teisių chartijos 8 straipsnyje;</w:t>
      </w:r>
    </w:p>
    <w:p w:rsidR="00260855" w:rsidRPr="00A5437C" w:rsidRDefault="00260855" w:rsidP="00260855">
      <w:pPr>
        <w:pStyle w:val="NormalHanging12a"/>
        <w:rPr>
          <w:szCs w:val="24"/>
        </w:rPr>
      </w:pPr>
      <w:r w:rsidRPr="00A5437C">
        <w:t>C.</w:t>
      </w:r>
      <w:r w:rsidRPr="00A5437C">
        <w:tab/>
        <w:t>kadangi Sutarties dėl Europos Sąjungos veikimo 16 straipsnyje nustatyta, kad atitiktį taisyklėms, kurios taikomos asmenų apsaugai tvarkant su jais susijusius asmens duomenis, kontroliuoja nepriklausoma institucija;</w:t>
      </w:r>
    </w:p>
    <w:p w:rsidR="00260855" w:rsidRPr="00A5437C" w:rsidRDefault="00260855" w:rsidP="00260855">
      <w:pPr>
        <w:pStyle w:val="NormalHanging12a"/>
        <w:rPr>
          <w:szCs w:val="24"/>
        </w:rPr>
      </w:pPr>
      <w:r w:rsidRPr="00A5437C">
        <w:t>D.</w:t>
      </w:r>
      <w:r w:rsidRPr="00A5437C">
        <w:tab/>
        <w:t>kadangi pagal Reglamentą (ES) 2018/1725 numatyta įsteigti tokią nepriklausomą instituciją – Europos duomenų apsaugos priežiūros pareigūno (toliau – EDAPP) tarnybą, atsakingą už teisės į duomenų apsaugą ir privatumą apsaugą ir užtikrinimą, kurios užduotis – rūpintis, kad Sąjungos institucijos, įstaigos, organai ir agentūros diegtų tvirtą duomenų apsaugos kultūrą;</w:t>
      </w:r>
    </w:p>
    <w:p w:rsidR="00260855" w:rsidRPr="00A5437C" w:rsidRDefault="00260855" w:rsidP="00260855">
      <w:pPr>
        <w:pStyle w:val="NormalHanging12a"/>
        <w:rPr>
          <w:szCs w:val="24"/>
        </w:rPr>
      </w:pPr>
      <w:r w:rsidRPr="00A5437C">
        <w:t>E.</w:t>
      </w:r>
      <w:r w:rsidRPr="00A5437C">
        <w:tab/>
        <w:t>kadangi EDAPP, kaip Europos duomenų apsaugos valdybos narys, savo funkcijas atlieka glaudžiai bendradarbiaudamas su kitomis duomenų apsaugos institucijomis ir tarnauja viešajam interesui, sykiu vadovaudamasis nešališkumo, sąžiningumo, skaidrumo ir pragmatizmo principais;</w:t>
      </w:r>
    </w:p>
    <w:p w:rsidR="00260855" w:rsidRPr="00A5437C" w:rsidRDefault="00260855" w:rsidP="00260855">
      <w:pPr>
        <w:pStyle w:val="NormalHanging12a"/>
        <w:rPr>
          <w:szCs w:val="24"/>
        </w:rPr>
      </w:pPr>
      <w:r w:rsidRPr="00A5437C">
        <w:t>F.</w:t>
      </w:r>
      <w:r w:rsidRPr="00A5437C">
        <w:tab/>
        <w:t>kadangi iki 2022 m. lapkričio 13 d. EDAPP delegavo leidimus suteikiančio pareigūno įgaliojimus direktoriui, o vėliau – administracijos vadovui, vadovaudamasis veiklos taisyklėmis, kuriomis apibrėžiamos užduotys ir atsakomybė, susijusios su EDAPP biudžetu ir administravimu, kaip nustatyta Europos Parlamento ir Tarybos reglamento (ES, Euratomas) 2018/1046 72 straipsnio 2 dalyje, o EDAPP apskaitos pareigūno funkciją atlieka Komisijos apskaitos pareigūnas, kaip nustatyta 2017 m. kovo 1 d. Europos duomenų apsaugos priežiūros pareigūno sprendime;</w:t>
      </w:r>
    </w:p>
    <w:p w:rsidR="00260855" w:rsidRPr="00A5437C" w:rsidRDefault="00260855" w:rsidP="00260855">
      <w:pPr>
        <w:pStyle w:val="NormalHanging12a"/>
        <w:rPr>
          <w:szCs w:val="24"/>
        </w:rPr>
      </w:pPr>
      <w:r w:rsidRPr="00A5437C">
        <w:t>1.</w:t>
      </w:r>
      <w:r w:rsidRPr="00A5437C">
        <w:tab/>
        <w:t xml:space="preserve">pažymi, kad EDAPP biudžetas patenka į DFP 7 išlaidų kategoriją „Europos viešasis administravimas“, kurią 2022 m. iš viso sudarė 11,6 mlrd. EUR, t. y. 5,9 proc. Sąjungos </w:t>
      </w:r>
      <w:r w:rsidRPr="00A5437C">
        <w:lastRenderedPageBreak/>
        <w:t>biudžeto išlaidų; pažymi, kad EDAPP biudžetas sudarė 0,17 proc. DFP 7 išlaidų kategorijos asignavimų;</w:t>
      </w:r>
    </w:p>
    <w:p w:rsidR="00260855" w:rsidRPr="00A5437C" w:rsidRDefault="00260855" w:rsidP="00260855">
      <w:pPr>
        <w:pStyle w:val="NormalHanging12a"/>
        <w:rPr>
          <w:szCs w:val="24"/>
        </w:rPr>
      </w:pPr>
      <w:r w:rsidRPr="00A5437C">
        <w:t>2.</w:t>
      </w:r>
      <w:r w:rsidRPr="00A5437C">
        <w:tab/>
        <w:t>pažymi, kad Audito Rūmai savo 2022 finansinių metų metinėje ataskaitoje išanalizavo 60 administravimo srities operacijų imtį – tiek pat, kiek 2021 m.; taip pat pažymi, kad Audito Rūmai rašo, jog administracines išlaidas sudaro išlaidos žmogiškiesiems ištekliams, įskaitant pensijas, kurios 2022 m. sudarė apie 70 proc. visų administracinių išlaidų, taip pat pastatams, įrangai, energijai, ryšių ir informacinėms technologijoms, ir kad jų daugelio metų darbo patirtis rodo, jog apskritai šios išlaidos yra nedidelės rizikos;</w:t>
      </w:r>
    </w:p>
    <w:p w:rsidR="00260855" w:rsidRPr="00A5437C" w:rsidRDefault="00260855" w:rsidP="00260855">
      <w:pPr>
        <w:pStyle w:val="NormalHanging12a"/>
        <w:rPr>
          <w:szCs w:val="24"/>
        </w:rPr>
      </w:pPr>
      <w:r w:rsidRPr="00A5437C">
        <w:t>3.</w:t>
      </w:r>
      <w:r w:rsidRPr="00A5437C">
        <w:tab/>
        <w:t xml:space="preserve">pažymi, kad Audito Rūmai, atlikdami 2022 m. auditą, išnagrinėjo EDAPP priežiūros ir kontrolės sistemas, visų pirma vidaus kontrolės standartų įgyvendinimą, rizikos valdymą ir Finansiniame reglamente apibrėžtų pagrindinių kontrolės priemonių, įskaitant mokėjimų </w:t>
      </w:r>
      <w:proofErr w:type="spellStart"/>
      <w:r w:rsidRPr="00A5437C">
        <w:rPr>
          <w:i/>
          <w:iCs/>
        </w:rPr>
        <w:t>ex</w:t>
      </w:r>
      <w:proofErr w:type="spellEnd"/>
      <w:r w:rsidRPr="00A5437C">
        <w:rPr>
          <w:i/>
          <w:iCs/>
        </w:rPr>
        <w:t> ante</w:t>
      </w:r>
      <w:r w:rsidRPr="00A5437C">
        <w:t xml:space="preserve"> ir </w:t>
      </w:r>
      <w:proofErr w:type="spellStart"/>
      <w:r w:rsidRPr="00A5437C">
        <w:rPr>
          <w:i/>
          <w:iCs/>
        </w:rPr>
        <w:t>ex</w:t>
      </w:r>
      <w:proofErr w:type="spellEnd"/>
      <w:r w:rsidRPr="00A5437C">
        <w:rPr>
          <w:i/>
          <w:iCs/>
        </w:rPr>
        <w:t> </w:t>
      </w:r>
      <w:proofErr w:type="spellStart"/>
      <w:r w:rsidRPr="00A5437C">
        <w:rPr>
          <w:i/>
          <w:iCs/>
        </w:rPr>
        <w:t>post</w:t>
      </w:r>
      <w:proofErr w:type="spellEnd"/>
      <w:r w:rsidRPr="00A5437C">
        <w:t xml:space="preserve"> kontrolę, veikimą;</w:t>
      </w:r>
    </w:p>
    <w:p w:rsidR="00260855" w:rsidRPr="00A5437C" w:rsidRDefault="00260855" w:rsidP="00260855">
      <w:pPr>
        <w:pStyle w:val="NormalHanging12a"/>
        <w:rPr>
          <w:szCs w:val="24"/>
        </w:rPr>
      </w:pPr>
      <w:r w:rsidRPr="00A5437C">
        <w:t>4.</w:t>
      </w:r>
      <w:r w:rsidRPr="00A5437C">
        <w:tab/>
        <w:t>pažymi, kad 14 (23 proc.) iš 60 operacijų buvo klaidų, tačiau Audito Rūmai, remdamiesi penkiomis kiekybiškai įvertintomis klaidomis, apskaičiavo, kad klaidų lygis nesiekia reikšmingumo ribos;</w:t>
      </w:r>
    </w:p>
    <w:p w:rsidR="00260855" w:rsidRPr="00A5437C" w:rsidRDefault="00260855" w:rsidP="00260855">
      <w:pPr>
        <w:pStyle w:val="NormalHanging12a"/>
        <w:rPr>
          <w:szCs w:val="24"/>
        </w:rPr>
      </w:pPr>
      <w:r w:rsidRPr="00A5437C">
        <w:t>5.</w:t>
      </w:r>
      <w:r w:rsidRPr="00A5437C">
        <w:tab/>
        <w:t>su pasitenkinimu atkreipia dėmesį į tai, jog savo 2022 finansinių metų metinėje ataskaitoje Audito Rūmai pažymi, kad nenustatė jokių konkrečių su EDAPP susijusių problemų;</w:t>
      </w:r>
    </w:p>
    <w:p w:rsidR="00260855" w:rsidRPr="00A5437C" w:rsidRDefault="00260855" w:rsidP="00260855">
      <w:pPr>
        <w:pStyle w:val="NormalHanging12a"/>
        <w:rPr>
          <w:b/>
          <w:i/>
          <w:szCs w:val="24"/>
        </w:rPr>
      </w:pPr>
      <w:r w:rsidRPr="00A5437C">
        <w:rPr>
          <w:b/>
          <w:i/>
        </w:rPr>
        <w:t>Biudžeto ir finansų valdymas</w:t>
      </w:r>
    </w:p>
    <w:p w:rsidR="00260855" w:rsidRPr="00A5437C" w:rsidRDefault="00260855" w:rsidP="00260855">
      <w:pPr>
        <w:pStyle w:val="NormalHanging12a"/>
        <w:rPr>
          <w:szCs w:val="24"/>
        </w:rPr>
      </w:pPr>
      <w:r w:rsidRPr="00A5437C">
        <w:t>6.</w:t>
      </w:r>
      <w:r w:rsidRPr="00A5437C">
        <w:tab/>
        <w:t>pažymi, kad galutinis priimtas EDAPP biudžetas 2022 m. buvo 20 266 000 EUR, t. y. 4,12 proc. didesnis, palyginti su 2021 m.; pažymi, kad EDAPP gavo 50 000 EUR asignuotųjų pajamų, susijusių su paslaugomis, suteiktomis ELPA priežiūros institucijai pagal susitarimą dėl paslaugų lygio; pažymi, kad EDAPP biudžetas taip pat apima Europos duomenų apsaugos valdybos (toliau – Valdyba) nepriklausomo sekretoriato darbą;</w:t>
      </w:r>
    </w:p>
    <w:p w:rsidR="00260855" w:rsidRPr="00A5437C" w:rsidRDefault="00260855" w:rsidP="00260855">
      <w:pPr>
        <w:pStyle w:val="NormalHanging12a"/>
        <w:rPr>
          <w:szCs w:val="24"/>
        </w:rPr>
      </w:pPr>
      <w:r w:rsidRPr="00A5437C">
        <w:t>7.</w:t>
      </w:r>
      <w:r w:rsidRPr="00A5437C">
        <w:tab/>
        <w:t>su pasitenkinimu pažymi, kad 2022 m. biudžeto įvykdymo lygis buvo 98 proc., t. y. didesnis nei ankstesniais metais, kai biudžeto įvykdymo lygis siekė 86 proc.;</w:t>
      </w:r>
    </w:p>
    <w:p w:rsidR="00260855" w:rsidRPr="00A5437C" w:rsidRDefault="00260855" w:rsidP="00260855">
      <w:pPr>
        <w:pStyle w:val="NormalHanging12a"/>
        <w:rPr>
          <w:szCs w:val="24"/>
        </w:rPr>
      </w:pPr>
      <w:r w:rsidRPr="00A5437C">
        <w:t>8.</w:t>
      </w:r>
      <w:r w:rsidRPr="00A5437C">
        <w:tab/>
        <w:t>pažymi, kad dėl Rusijos agresijos karo prieš Ukrainą EDAPP biudžetas patyrė spaudimą, be kita ko, dėl didėjančios infliacijos ir atlyginimų koregavimo, labai išaugusių energijos sąnaudų ir prekių bei paslaugų kainų vykdant viešuosius pirkimus ir susitarimus dėl paslaugų lygio su kitomis institucijomis; palankiai vertina 2022 m. atliktą vidinį lėšų perskirstymą biudžeto skyriuose, siekiant optimizuoti biudžeto vykdymą;</w:t>
      </w:r>
    </w:p>
    <w:p w:rsidR="00260855" w:rsidRPr="00A5437C" w:rsidRDefault="00260855" w:rsidP="00260855">
      <w:pPr>
        <w:pStyle w:val="NormalHanging12a"/>
        <w:rPr>
          <w:szCs w:val="24"/>
        </w:rPr>
      </w:pPr>
      <w:r w:rsidRPr="00A5437C">
        <w:t>9.</w:t>
      </w:r>
      <w:r w:rsidRPr="00A5437C">
        <w:tab/>
        <w:t xml:space="preserve">pažymi, kad 2022 m. vidutinis apmokėjimo laikas buvo 21,54 dienos, t. y. ilgesnis nei 2021 m., kai vidutinis laikas siekė 19,98 dienos; palankiai vertina tai, kad įdiegta nauja elektroninė mokėjimo sistema, skirta tvarkyti sąskaitoms faktūroms, susijusioms su kelionių agentūros iš anksto apmokėtomis komandiruočių išlaidomis, kuri, tikimasi, padės sutrumpinti laiką, reikalingą </w:t>
      </w:r>
      <w:proofErr w:type="spellStart"/>
      <w:r w:rsidRPr="00A5437C">
        <w:t>mokėjimams</w:t>
      </w:r>
      <w:proofErr w:type="spellEnd"/>
      <w:r w:rsidRPr="00A5437C">
        <w:t xml:space="preserve"> atlikti, kai tik ji pradės veikti visu pajėgumu; ragina EDAPP apsvarstyti galimybę šią sistemą taikyti ir kitų rūšių </w:t>
      </w:r>
      <w:proofErr w:type="spellStart"/>
      <w:r w:rsidRPr="00A5437C">
        <w:t>mokėjimams</w:t>
      </w:r>
      <w:proofErr w:type="spellEnd"/>
      <w:r w:rsidRPr="00A5437C">
        <w:t>;</w:t>
      </w:r>
    </w:p>
    <w:p w:rsidR="00260855" w:rsidRPr="00A5437C" w:rsidRDefault="00260855" w:rsidP="00260855">
      <w:pPr>
        <w:pStyle w:val="NormalHanging12a"/>
        <w:rPr>
          <w:szCs w:val="24"/>
        </w:rPr>
      </w:pPr>
      <w:r w:rsidRPr="00A5437C">
        <w:t>10.</w:t>
      </w:r>
      <w:r w:rsidRPr="00A5437C">
        <w:tab/>
        <w:t xml:space="preserve">pažymi, kad po COVID-19 pandemijos atnaujinus keliones 2021–2022 m. EDAPP </w:t>
      </w:r>
      <w:r w:rsidRPr="00A5437C">
        <w:lastRenderedPageBreak/>
        <w:t>darbuotojų komandiruotėms skirtas biudžetas padidėjo nuo 41 000 EUR iki 251 000 EUR, t. y. padidėjo 512 proc.; taip pat pažymi, kad šiame biudžete 2022 m. EDAPP turėjo specialų Priežiūros pareigūnui skirtą 33 000 EUR komandiruočių biudžetą, palyginti su 5 000 EUR 2021 m., t. y. 560 proc. daugiau; pažymi, kad 2022 m. padidėjusi infliacija ir smarkiai išaugusios energijos kainos, susijusios su Rusijos agresijos karu prieš Ukrainą, neigiamai paveikė skrydžių bilietų ir viešbučių kainas, todėl padidėjo komandiruočių išlaidos;</w:t>
      </w:r>
    </w:p>
    <w:p w:rsidR="00260855" w:rsidRPr="00A5437C" w:rsidRDefault="00260855" w:rsidP="00260855">
      <w:pPr>
        <w:pStyle w:val="NormalHanging12a"/>
        <w:rPr>
          <w:b/>
          <w:i/>
          <w:szCs w:val="24"/>
        </w:rPr>
      </w:pPr>
      <w:r w:rsidRPr="00A5437C">
        <w:rPr>
          <w:b/>
          <w:i/>
        </w:rPr>
        <w:t>Vidaus valdymas, veikla ir vidaus kontrolė</w:t>
      </w:r>
    </w:p>
    <w:p w:rsidR="00260855" w:rsidRPr="00A5437C" w:rsidRDefault="00260855" w:rsidP="00260855">
      <w:pPr>
        <w:pStyle w:val="NormalHanging12a"/>
        <w:rPr>
          <w:szCs w:val="24"/>
        </w:rPr>
      </w:pPr>
      <w:r w:rsidRPr="00A5437C">
        <w:t>11.</w:t>
      </w:r>
      <w:r w:rsidRPr="00A5437C">
        <w:tab/>
        <w:t>pažymi, kad 2022 m. EDAPP atliko savo 2020–2024 m. strategijos laikotarpio vidurio peržiūrą, kurioje daugiausia dėmesio skyrė trims ramsčiams – prognozavimui, veiksmams ir solidarumui – nustatydamas perorientuotą EDAPP viziją ir prioritetus 2022–2024 m. laikotarpiui, siekdamas sukurti saugesnę skaitmeninę ateitį;</w:t>
      </w:r>
    </w:p>
    <w:p w:rsidR="00260855" w:rsidRPr="00A5437C" w:rsidRDefault="00260855" w:rsidP="00260855">
      <w:pPr>
        <w:pStyle w:val="NormalHanging12a"/>
        <w:rPr>
          <w:szCs w:val="24"/>
        </w:rPr>
      </w:pPr>
      <w:r w:rsidRPr="00A5437C">
        <w:t>12.</w:t>
      </w:r>
      <w:r w:rsidRPr="00A5437C">
        <w:tab/>
        <w:t>pripažįsta didelius organizacinius pokyčius ir atitinkamą jo darbo tvarkos taisyklių peržiūrą, kurią EDAPP atliko 2022 m., siekdamas prisidėti prie savo užduočių raidos ir padidinti savo procesų veiksmingumą atsižvelgiant į sparčiai kintančią tarptautinę aplinką; visų pirma pažymi, kad dėl šių pokyčių EDAPP sukūrė naują generalinio sekretoriaus lygmens EDAPP sekretoriato vadovo pareigybę, specialią teisės tarnybos funkciją, valdymo ir vidaus atitikties užtikrinimo sektorių, du naujus veiklos sektorius priežiūros ir vykdymo užtikrinimo skyriuje, naują finansų sektorių Žmogiškųjų išteklių, biudžeto ir administravimo skyriuje ir regioninį biurą Strasbūre;</w:t>
      </w:r>
    </w:p>
    <w:p w:rsidR="00260855" w:rsidRPr="00A5437C" w:rsidRDefault="00260855" w:rsidP="00260855">
      <w:pPr>
        <w:pStyle w:val="NormalHanging12a"/>
        <w:rPr>
          <w:szCs w:val="24"/>
        </w:rPr>
      </w:pPr>
      <w:r w:rsidRPr="00A5437C">
        <w:t>13.</w:t>
      </w:r>
      <w:r w:rsidRPr="00A5437C">
        <w:tab/>
        <w:t>pažymi, kad 2022 m. birželio 28 d. įsigaliojus Europos Parlamento ir Tarybos reglamentui (ES) 2022/991</w:t>
      </w:r>
      <w:r w:rsidRPr="00A5437C">
        <w:rPr>
          <w:szCs w:val="24"/>
          <w:vertAlign w:val="superscript"/>
        </w:rPr>
        <w:footnoteReference w:id="6"/>
      </w:r>
      <w:r w:rsidRPr="00A5437C">
        <w:t>, kuriuo iš dalies keičiamas Europos Parlamento ir Tarybos reglamentas (ES) 2016/794</w:t>
      </w:r>
      <w:r w:rsidRPr="00A5437C">
        <w:rPr>
          <w:szCs w:val="24"/>
          <w:vertAlign w:val="superscript"/>
        </w:rPr>
        <w:footnoteReference w:id="7"/>
      </w:r>
      <w:r w:rsidRPr="00A5437C">
        <w:t xml:space="preserve">, kuriuo įsteigiamas Europolas, buvo iš tikrųjų sustiprintos EDAPP priežiūros funkcijos, susijusios su operatyviniais asmens duomenimis, kuriuos Europolas tvarko vykdydamas savo įgaliojimus; pažymi, kad 2022 m. atliktais organizaciniais pakeitimais, konkrečiai, naujo </w:t>
      </w:r>
      <w:proofErr w:type="spellStart"/>
      <w:r w:rsidRPr="00A5437C">
        <w:t>subsektoriaus</w:t>
      </w:r>
      <w:proofErr w:type="spellEnd"/>
      <w:r w:rsidRPr="00A5437C">
        <w:t xml:space="preserve"> su specializuotais darbuotojais sukūrimu priežiūros ir vykdymo užtikrinimo skyriuje, visų pirma buvo siekiama atsižvelgti į konkrečius EDAPP įgaliojimus, susijusius su laisvės, saugumo ir teisingumo erdvės agentūrų priežiūra, taip pat atsižvelgti į naujus EDAPP priežiūros įgaliojimus, kiek tai susiję su Europolu; ragina EDAPP nuolat informuoti biudžeto įvykdymą tvirtinančią instituciją apie bet kokį tolesnį jo įgaliojimų pratęsimą ir poveikį ištekliams;</w:t>
      </w:r>
    </w:p>
    <w:p w:rsidR="00260855" w:rsidRPr="00A5437C" w:rsidRDefault="00260855" w:rsidP="00260855">
      <w:pPr>
        <w:pStyle w:val="NormalHanging12a"/>
        <w:rPr>
          <w:szCs w:val="24"/>
        </w:rPr>
      </w:pPr>
      <w:r w:rsidRPr="00A5437C">
        <w:t>14.</w:t>
      </w:r>
      <w:r w:rsidRPr="00A5437C">
        <w:tab/>
        <w:t xml:space="preserve">pažymi, kad 2022 m. įgyvendindamas pakeitimus EDAPP siekė supaprastinti savo vidaus procedūras, kad būtų galima griežčiau atlikti tyrimus ir perskirstyti specializuotus darbuotojus; pažymi, kad su teisėsauga susijusių skundų, pvz., skundų dėl Europolo atsakymų į piliečių prašymus dėl duomenų subjekto prieigos, tyrimas </w:t>
      </w:r>
      <w:r w:rsidRPr="00A5437C">
        <w:lastRenderedPageBreak/>
        <w:t>dažnai būna labai sudėtingas ir vidutiniškai trunka ilgiau nei kitų skundų tyrimas, nes procese dalyvauja daug suinteresuotųjų subjektų;</w:t>
      </w:r>
    </w:p>
    <w:p w:rsidR="00260855" w:rsidRPr="00A5437C" w:rsidRDefault="00260855" w:rsidP="00260855">
      <w:pPr>
        <w:pStyle w:val="NormalHanging12a"/>
      </w:pPr>
      <w:r w:rsidRPr="00A5437C">
        <w:t>15.</w:t>
      </w:r>
      <w:r w:rsidRPr="00A5437C">
        <w:tab/>
        <w:t xml:space="preserve">pažymi, kad 2022 m. EDAPP gavo 367 skundus (t. y. 47 skundais daugiau nei 2021 m.), iš kurių 65 buvo priimtini, o 302 – nepriimtini, be 129 priimtinų skundų, kurių nagrinėjimas tęsėsi 2022 m; palankiai vertina EDAPP pastangas sumažinti didelį nepriimtinų skundų skaičių, kuris nuo 2019 m. padvigubėjo, taigi ir išaugusį išteklių, kurių reikia jiems nagrinėti, poreikį; pažymi, kad EDAPP priėmė galutinį sprendimą, pateikė nuomonę arba atsakymą 23 iš 65 skundų, gautų 2022 m., atvejais, vidutiniškai per 42 dienas; taip pat pažymi, kad skundai dėl Europolo atsakymų į piliečių prašymus dėl duomenų subjekto prieigos buvo išnagrinėti per vidutiniškai 5–12 mėnesių; pažymi, kad EDAPP nuolat iš naujo vertina savo procedūras ir prireikus atlieka </w:t>
      </w:r>
      <w:proofErr w:type="spellStart"/>
      <w:r w:rsidRPr="00A5437C">
        <w:t>patobulinimus</w:t>
      </w:r>
      <w:proofErr w:type="spellEnd"/>
      <w:r w:rsidRPr="00A5437C">
        <w:t>, remdamasis įgyta patirtimi, siekdamas dar labiau supaprastinti skundų nagrinėjimą, kad, nepaisant išteklių apribojimų, būtų galima greičiau išnagrinėti skundus;</w:t>
      </w:r>
    </w:p>
    <w:p w:rsidR="00260855" w:rsidRPr="00A5437C" w:rsidRDefault="00260855" w:rsidP="00260855">
      <w:pPr>
        <w:pStyle w:val="NormalHanging12a"/>
        <w:rPr>
          <w:szCs w:val="24"/>
        </w:rPr>
      </w:pPr>
      <w:r w:rsidRPr="00A5437C">
        <w:t>16.</w:t>
      </w:r>
      <w:r w:rsidRPr="00A5437C">
        <w:tab/>
        <w:t>pažymi, kad 2022 m. EDAPP atliko du išankstinius tyrimus, kai kilo abejonių dėl galimų Sąjungos institucijos padarytų duomenų apsaugos taisyklių pažeidimų, ir tęsė tris jau vykdomus oficialius tyrimus duomenų apsaugos auditų forma, iš kurių vienas buvo baigtas 2022 m. balandžio mėn.; be to, pažymi, kad EDAPP taip pat pradėjo keturis tyrimus duomenų apsaugos auditų forma, remdamasis skundais dėl tam tikrų Sąjungos institucijų, įstaigų, organų ir agentūrų interneto svetainių, ir vieną tyrimą laisvės, saugumo ir teisingumo erdvės sektoriuje bei tęsė ankstesniais metais pradėtus tyrimus; pažymi, kad EDAPP auditas dėl to, kaip Europolas tvarko jaunesnių nei 15 metų amžiaus nepilnamečių, kurie nurodomi kaip įtariamieji, asmens duomenis, kuriuos Agentūrai pateikė trečiosios valstybės ir tarptautinės organizacijos, buvo baigtas 2023 m. rugsėjo mėn. po beveik 10 mėnesių trukusio tyrimo ir po to, kai 2018 m. gruodžio mėn. EDAPP iškėlė šį klausimą bei pateikė Europolui rekomendacijas dėl neskelbtinų duomenų tvarkymo;</w:t>
      </w:r>
    </w:p>
    <w:p w:rsidR="00260855" w:rsidRPr="00A5437C" w:rsidRDefault="00260855" w:rsidP="00260855">
      <w:pPr>
        <w:pStyle w:val="NormalHanging12a"/>
        <w:rPr>
          <w:szCs w:val="24"/>
        </w:rPr>
      </w:pPr>
      <w:r w:rsidRPr="00A5437C">
        <w:t>17.</w:t>
      </w:r>
      <w:r w:rsidRPr="00A5437C">
        <w:tab/>
        <w:t>ragina EDAPP sustiprinti procedūrą ir teikti pirmenybę jaunesnių nei 15 metų amžiaus nepilnamečių asmens duomenų tvarkymui, atsižvelgiant į tai, kad jie yra pažeidžiama grupė, kuriai reikia didesnės apsaugos, taigi yra pagrįsta jiems suteikti prioritetinį statusą;</w:t>
      </w:r>
    </w:p>
    <w:p w:rsidR="00260855" w:rsidRPr="00A5437C" w:rsidRDefault="00260855" w:rsidP="00260855">
      <w:pPr>
        <w:pStyle w:val="NormalHanging12a"/>
        <w:rPr>
          <w:szCs w:val="24"/>
        </w:rPr>
      </w:pPr>
      <w:r w:rsidRPr="00A5437C">
        <w:t>18.</w:t>
      </w:r>
      <w:r w:rsidRPr="00A5437C">
        <w:tab/>
        <w:t>pažymi, kad 2022 m. rugsėjo 16 d. EDAPP pateikė Europos Sąjungos Teisingumo Teismui (ESTT) ieškinį dėl dviejų iš dalies pakeisto Europolo reglamento nuostatų panaikinimo, kurį ESTT vėliau atmetė; pabrėžia, kad tai, jog EDAPP, atlikdamas priežiūros funkciją, į ESTT kreipiasi dėl svarbių teisinių klausimų, neturėtų turėti įtakos lojaliam EDAPP ir jo prižiūrimų subjektų bendradarbiavimui ir geriems santykiams;</w:t>
      </w:r>
    </w:p>
    <w:p w:rsidR="00260855" w:rsidRPr="00A5437C" w:rsidRDefault="00260855" w:rsidP="00260855">
      <w:pPr>
        <w:pStyle w:val="NormalHanging12a"/>
        <w:rPr>
          <w:szCs w:val="24"/>
        </w:rPr>
      </w:pPr>
      <w:r w:rsidRPr="00A5437C">
        <w:t>19.</w:t>
      </w:r>
      <w:r w:rsidRPr="00A5437C">
        <w:tab/>
        <w:t>su pasitenkinimu pažymi, kad 2022 m. pabaigoje EDAPP parengė naują rizikos valdymo sistemą, taip sustiprindamas savo vidaus kontrolės sistemą ir įtraukdamas rizikos analizę į savo metinį planavimą, o tuo remiantis kasmet turėtų būti apibrėžiami EDAPP prioritetai;</w:t>
      </w:r>
    </w:p>
    <w:p w:rsidR="00260855" w:rsidRPr="00A5437C" w:rsidRDefault="00260855" w:rsidP="00260855">
      <w:pPr>
        <w:pStyle w:val="NormalHanging12a"/>
        <w:rPr>
          <w:szCs w:val="24"/>
        </w:rPr>
      </w:pPr>
      <w:r w:rsidRPr="00A5437C">
        <w:t>20.</w:t>
      </w:r>
      <w:r w:rsidRPr="00A5437C">
        <w:tab/>
        <w:t>pabrėžia svarbų EDAPP konsultacijų ir patarimų vaidmenį teisėkūros procese; pažymi, kad 2022 m. EDAPP patarimus Komisijai ir teisėkūros institucijoms pateikė 27 nuomonėse (2021 m. – 12), 49 oficialiose pastabose (2021 m. – 76) ir 30 neoficialių pastabų (2021 m. – 29), atsakydamas į prašymus pakonsultuoti dėl teisės aktų;</w:t>
      </w:r>
    </w:p>
    <w:p w:rsidR="00260855" w:rsidRPr="00A5437C" w:rsidRDefault="00260855" w:rsidP="00260855">
      <w:pPr>
        <w:pStyle w:val="NormalHanging12a"/>
        <w:rPr>
          <w:szCs w:val="24"/>
        </w:rPr>
      </w:pPr>
      <w:r w:rsidRPr="00A5437C">
        <w:t>21.</w:t>
      </w:r>
      <w:r w:rsidRPr="00A5437C">
        <w:tab/>
        <w:t xml:space="preserve">ragina EDAPP peržiūrėti savo darbo tvarkos taisykles dėl piliečių skundų užtikrinimo ir </w:t>
      </w:r>
      <w:r w:rsidRPr="00A5437C">
        <w:lastRenderedPageBreak/>
        <w:t>savalaikės peržiūros, atsižvelgiant į visą susijusią informaciją, ir informuoti biudžeto įvykdymą tvirtinančią instituciją apie šioje srityje padarytą pažangą;</w:t>
      </w:r>
    </w:p>
    <w:p w:rsidR="00260855" w:rsidRPr="00A5437C" w:rsidRDefault="00260855" w:rsidP="00260855">
      <w:pPr>
        <w:pStyle w:val="NormalHanging12a"/>
        <w:rPr>
          <w:b/>
          <w:i/>
          <w:szCs w:val="24"/>
        </w:rPr>
      </w:pPr>
      <w:r w:rsidRPr="00A5437C">
        <w:rPr>
          <w:b/>
          <w:i/>
        </w:rPr>
        <w:t>Žmogiškieji ištekliai, lygybė ir darbuotojų gerovė</w:t>
      </w:r>
    </w:p>
    <w:p w:rsidR="00260855" w:rsidRPr="00A5437C" w:rsidRDefault="00260855" w:rsidP="00260855">
      <w:pPr>
        <w:pStyle w:val="NormalHanging12a"/>
        <w:rPr>
          <w:szCs w:val="24"/>
        </w:rPr>
      </w:pPr>
      <w:r w:rsidRPr="00A5437C">
        <w:t>22.</w:t>
      </w:r>
      <w:r w:rsidRPr="00A5437C">
        <w:tab/>
        <w:t>pažymi, kad 2022 m. pabaigoje EDAPP dirbo 127 darbuotojai, palyginti su 124 darbuotojais 2021 m. pabaigoje ir 114 darbuotojų 2020 m. pabaigoje; pažymi, kad EDAPP įdarbino 52 sutartininkus pagal Pareigūnų tarnybos nuostatų ir kitų tarnautojų įdarbinimo sąlygų 3 straipsnio b punktą ir 6 laikinuosius darbuotojus pagal 2 straipsnio b ir c punktus; taip pat pažymi, kad 2022 m. EDAPP įdarbino 8 išorės paslaugų teikėjus, kurie dirbo vietoje; ragina EDAPP informuoti biudžeto įvykdymą tvirtinančią instituciją apie priemones, kurių imtasi siekiant užtikrinti, kad išorės paslaugų teikėjų prieiga prie informacijos būtų valdoma laikantis konfidencialumo lygio, būtino sprendžiant atitinkamus klausimus;</w:t>
      </w:r>
    </w:p>
    <w:p w:rsidR="00260855" w:rsidRPr="00A5437C" w:rsidRDefault="00260855" w:rsidP="00260855">
      <w:pPr>
        <w:pStyle w:val="NormalHanging12a"/>
        <w:rPr>
          <w:szCs w:val="24"/>
        </w:rPr>
      </w:pPr>
      <w:r w:rsidRPr="00A5437C">
        <w:t>23.</w:t>
      </w:r>
      <w:r w:rsidRPr="00A5437C">
        <w:tab/>
        <w:t>mano, kad, atsižvelgiant į padidėjusį darbo krūvį dėl EDAPP skirtų naujų užduočių ir pareigų, taip pat daug daugiau teisėkūros konsultacijų ir duomenų rinkinių, kuriuos reikia stebėti, EDAPP reikėtų proporcingai padidinti darbuotojų skaičių, kad būtų galima išlaikyti veiksmingus darbo srautus ir priimtiną atsakymo laiką; ragina EDAPP sudaryti su darbuotojais neterminuotas darbo sutartis, kad būtų užtikrintas veiklos tęstinumas ir darbo saugumas;</w:t>
      </w:r>
    </w:p>
    <w:p w:rsidR="00260855" w:rsidRPr="00A5437C" w:rsidRDefault="00260855" w:rsidP="00260855">
      <w:pPr>
        <w:pStyle w:val="NormalHanging12a"/>
        <w:rPr>
          <w:szCs w:val="24"/>
        </w:rPr>
      </w:pPr>
      <w:r w:rsidRPr="00A5437C">
        <w:t>24.</w:t>
      </w:r>
      <w:r w:rsidRPr="00A5437C">
        <w:tab/>
        <w:t>pažymi, kad 2022 m. pabaigoje etatų plano užimtumo rodiklis buvo 86,9 proc.; apgailestauja, kad etatų plano užimtumo rodiklis yra žemesnis nei numatyta 2022 m.; pripažįsta, kad trūksta kvalifikuotų specialistų; ragina EDAPP išnagrinėti naudingas strategijas, kuriomis būtų galima plačiau paskleisti informaciją apie laisvas darbo vietas; pažymi, kad 2022 m. EDAPP surengė išorės atrankos procedūrą, kad būtų sudarytas specializuotų kandidatų rezervo sąrašas atsižvelgiant į įdarbinimo poreikius nuo 2022 m.;</w:t>
      </w:r>
    </w:p>
    <w:p w:rsidR="00260855" w:rsidRPr="00A5437C" w:rsidRDefault="00260855" w:rsidP="00260855">
      <w:pPr>
        <w:pStyle w:val="NormalHanging12a"/>
        <w:rPr>
          <w:szCs w:val="24"/>
        </w:rPr>
      </w:pPr>
      <w:r w:rsidRPr="00A5437C">
        <w:t>25.</w:t>
      </w:r>
      <w:r w:rsidRPr="00A5437C">
        <w:tab/>
        <w:t>pažymi, kad, atsižvelgdamas į COVID-19 pandemijos metu įgytą patirtį, 2022 m. gegužės mėn. EDAPP priėmė naują sprendimą dėl darbo laiko ir mišraus darbo, pagal kurį darbuotojai gali gerokai keisti savo darbo laiką pagal lankstaus darbo laiko režimą ir dirbti nuotoliniu būdu iki trijų dienų per savaitę; palankiai vertina darbuotojų apklausos, atliktos po to, kai buvo priimtas šis sprendimas, rezultatus, iš kurių matyti, kad dauguma darbuotojų buvo patenkinti nauja darbo tvarka;</w:t>
      </w:r>
    </w:p>
    <w:p w:rsidR="00260855" w:rsidRPr="00A5437C" w:rsidRDefault="00260855" w:rsidP="00260855">
      <w:pPr>
        <w:pStyle w:val="NormalHanging12a"/>
        <w:rPr>
          <w:b/>
          <w:i/>
          <w:szCs w:val="24"/>
        </w:rPr>
      </w:pPr>
      <w:r w:rsidRPr="00A5437C">
        <w:t>26.</w:t>
      </w:r>
      <w:r w:rsidRPr="00A5437C">
        <w:tab/>
        <w:t>sveikina EDAPP su tuo, kad 2022 m. tarp jo darbuotojų buvo 22 pilietybių atstovai, nes tai yra geresnis rezultatas nei 21 pilietybės atstovai 2021 m., ir, nepaisant to, kad penkių pilietybių atstovų buvo per daug, yra geras rezultatas tokiai mažai institucijai; ragina EDAPP stengtis užtikrinti teisingesnį visų valstybių narių geografinį atstovavimą, ypač daug dėmesio skiriant nepakankamo tam tikrų šalių atstovavimo problemai;</w:t>
      </w:r>
    </w:p>
    <w:p w:rsidR="00260855" w:rsidRPr="00A5437C" w:rsidRDefault="00260855" w:rsidP="00260855">
      <w:pPr>
        <w:pStyle w:val="NormalHanging12a"/>
        <w:rPr>
          <w:szCs w:val="24"/>
        </w:rPr>
      </w:pPr>
      <w:r w:rsidRPr="00A5437C">
        <w:t>27.</w:t>
      </w:r>
      <w:r w:rsidRPr="00A5437C">
        <w:tab/>
        <w:t xml:space="preserve">pažymi, kad 2022 m. EDAPP iš viso dirbo 64 proc. moterų ir 36 proc. vyrų, panašiai kaip ir ankstesniais metais, kai moterų ir vyrų pasiskirstymas buvo atitinkamai 63 proc. ir 37 proc.; apgailestauja, kad 2022 m. vyresniosios vadovybės pareigose nebuvo nė vienos moters, tuo tarpu lyčių santykis tarp keturių </w:t>
      </w:r>
      <w:proofErr w:type="spellStart"/>
      <w:r w:rsidRPr="00A5437C">
        <w:t>viduriniosios</w:t>
      </w:r>
      <w:proofErr w:type="spellEnd"/>
      <w:r w:rsidRPr="00A5437C">
        <w:t xml:space="preserve"> grandies vadovų per metus pasiekė pusiausvyrą; ragina EDAPP toliau dėti pastangas siekiant užtikrinti lyčių pusiausvyrą tarp darbuotojų;</w:t>
      </w:r>
    </w:p>
    <w:p w:rsidR="00260855" w:rsidRPr="00A5437C" w:rsidRDefault="00260855" w:rsidP="00260855">
      <w:pPr>
        <w:pStyle w:val="NormalHanging12a"/>
        <w:rPr>
          <w:szCs w:val="24"/>
        </w:rPr>
      </w:pPr>
      <w:r w:rsidRPr="00A5437C">
        <w:t>28.</w:t>
      </w:r>
      <w:r w:rsidRPr="00A5437C">
        <w:tab/>
        <w:t xml:space="preserve">su pasitenkinimu pažymi, kad 2022 m. tarp EDAPP darbuotojų nebuvo užfiksuota nė </w:t>
      </w:r>
      <w:r w:rsidRPr="00A5437C">
        <w:lastRenderedPageBreak/>
        <w:t>vieno perdegimo ar priekabiavimo atvejo; palankiai vertina tai, kad EDAPP įsteigė darbo grupę klausimams, susijusiems su darbo pasidalijimu ir paskirstymu, aptarti atsižvelgiant į 2022 m. birželio mėn. atliktos kas dvejus metus vykdomos darbuotojų pasitenkinimo apklausos rezultatus, pagal kuriuos kai kurie EDAPP darbuotojai manė, kad darbo krūviu nebuvo vienodai pasidalyta arba jis nebuvo tinkamai paskirstytas komandoms ir kolegoms; prašo EDAPP nuolat informuoti biudžeto įvykdymą tvirtinančią instituciją apie darbo grupės diskusijų rezultatus ir rengiamo veiksmų plano detales;</w:t>
      </w:r>
    </w:p>
    <w:p w:rsidR="00260855" w:rsidRPr="00A5437C" w:rsidRDefault="00260855" w:rsidP="00260855">
      <w:pPr>
        <w:pStyle w:val="NormalHanging12a"/>
        <w:rPr>
          <w:szCs w:val="24"/>
        </w:rPr>
      </w:pPr>
      <w:r w:rsidRPr="00A5437C">
        <w:t>29.</w:t>
      </w:r>
      <w:r w:rsidRPr="00A5437C">
        <w:tab/>
        <w:t>palankiai vertina nuolatines EDAPP pastangas aktyviai gerinti savo darbuotojų fizinę ir psichinę gerovę;</w:t>
      </w:r>
    </w:p>
    <w:p w:rsidR="00260855" w:rsidRPr="00A5437C" w:rsidRDefault="00260855" w:rsidP="00260855">
      <w:pPr>
        <w:pStyle w:val="NormalHanging12a"/>
        <w:rPr>
          <w:szCs w:val="24"/>
        </w:rPr>
      </w:pPr>
      <w:r w:rsidRPr="00A5437C">
        <w:t>30.</w:t>
      </w:r>
      <w:r w:rsidRPr="00A5437C">
        <w:tab/>
        <w:t>su pasitenkinimu pažymi, kad 2022 m. EDAPP įdarbino 18 stažuotojų, kuriems buvo mokamas darbo užmokestis ir taikomos tokios pačios darbo sąlygos kaip ir kitiems darbuotojams;</w:t>
      </w:r>
    </w:p>
    <w:p w:rsidR="00260855" w:rsidRPr="00A5437C" w:rsidRDefault="00260855" w:rsidP="00260855">
      <w:pPr>
        <w:pStyle w:val="NormalHanging12a"/>
        <w:rPr>
          <w:b/>
          <w:i/>
          <w:szCs w:val="24"/>
        </w:rPr>
      </w:pPr>
      <w:r w:rsidRPr="00A5437C">
        <w:rPr>
          <w:b/>
          <w:i/>
        </w:rPr>
        <w:t>Etikos sistema ir skaidrumas</w:t>
      </w:r>
    </w:p>
    <w:p w:rsidR="00260855" w:rsidRPr="00A5437C" w:rsidRDefault="00260855" w:rsidP="00260855">
      <w:pPr>
        <w:pStyle w:val="NormalHanging12a"/>
        <w:rPr>
          <w:szCs w:val="24"/>
        </w:rPr>
      </w:pPr>
      <w:r w:rsidRPr="00A5437C">
        <w:t>31.</w:t>
      </w:r>
      <w:r w:rsidRPr="00A5437C">
        <w:tab/>
        <w:t>pažymi, kad 2022 m. EDAPP daugiausia pastangų skyrė darbuotojų informuotumui apie EDAPP ir (arba) EDAV etikos sistemą didinti, organizuodamas privalomus specialius mokymus visiems darbuotojams ir įvadinius mokymus EDAPP ir (arba) EDAV naujokams; ragina EDAPP toliau didinti informuotumą ir organizuoti apklausas siekiant įvertinti darbuotojų informuotumo apie EDAPP ir (arba) EDAV etikos sistemą lygį;</w:t>
      </w:r>
    </w:p>
    <w:p w:rsidR="00260855" w:rsidRPr="00A5437C" w:rsidRDefault="00260855" w:rsidP="00260855">
      <w:pPr>
        <w:pStyle w:val="NormalHanging12a"/>
        <w:rPr>
          <w:szCs w:val="24"/>
        </w:rPr>
      </w:pPr>
      <w:r w:rsidRPr="00A5437C">
        <w:t>32.</w:t>
      </w:r>
      <w:r w:rsidRPr="00A5437C">
        <w:tab/>
        <w:t>palankiai vertina bendrą aukštą EDAPP pasiektą veiklos skaidrumo lygį, visų pirma susijusį su Priežiūros pareigūno bei EDAPP administracijos vadovo darbotvarkės ir interesų deklaracijos skelbimu, laikantis 2019 m. Priežiūros pareigūno elgesio kodekso; apgailestauja dėl to, kad EDAPP nusprendė EDAPP administracijos vadovui taikyti Priežiūros pareigūno elgesio kodeksą, o ne priimti specialų vyresniosios vadovybės nariams skirtą elgesio kodeksą;</w:t>
      </w:r>
    </w:p>
    <w:p w:rsidR="00260855" w:rsidRPr="00A5437C" w:rsidRDefault="00260855" w:rsidP="00260855">
      <w:pPr>
        <w:pStyle w:val="NormalHanging12a"/>
        <w:rPr>
          <w:szCs w:val="24"/>
        </w:rPr>
      </w:pPr>
      <w:r w:rsidRPr="00A5437C">
        <w:t>33.</w:t>
      </w:r>
      <w:r w:rsidRPr="00A5437C">
        <w:tab/>
        <w:t>su pasitenkinimu pažymi, kad EDAPP nuo pat jo įsteigimo niekada nebuvo susijęs su jokiais Europos kovos su sukčiavimu tarnybos (OLAF) tyrimais;</w:t>
      </w:r>
    </w:p>
    <w:p w:rsidR="00260855" w:rsidRPr="00A5437C" w:rsidRDefault="00260855" w:rsidP="00260855">
      <w:pPr>
        <w:pStyle w:val="NormalHanging12a"/>
        <w:rPr>
          <w:szCs w:val="24"/>
        </w:rPr>
      </w:pPr>
      <w:r w:rsidRPr="00A5437C">
        <w:t>34.</w:t>
      </w:r>
      <w:r w:rsidRPr="00A5437C">
        <w:tab/>
        <w:t>su pasitenkinimu pažymi, kad 2022 m. Ombudsmeno pradėti du tyrimai dėl EDAPP buvo baigti nenustačius netinkamo administravimo atvejų;</w:t>
      </w:r>
    </w:p>
    <w:p w:rsidR="00260855" w:rsidRPr="00A5437C" w:rsidRDefault="00260855" w:rsidP="00260855">
      <w:pPr>
        <w:pStyle w:val="NormalHanging12a"/>
        <w:rPr>
          <w:b/>
          <w:i/>
          <w:szCs w:val="24"/>
        </w:rPr>
      </w:pPr>
      <w:r w:rsidRPr="00A5437C">
        <w:t>35.</w:t>
      </w:r>
      <w:r w:rsidRPr="00A5437C">
        <w:tab/>
        <w:t>apgailestauja, kad EDAPP vis dar oficialiai neprisijungė prie skaidrumo registro; vis dėlto palankiai vertina tai, kad EDAPP skaidrumo taisyklės suderintos su skaidrumo registro principais, kiek tai susiję su privalomais išankstiniais patikrinimais skaidrumo registre dėl trečiųjų šalių susitikimų su Priežiūros pareigūnu ir EDAPP administracijos vadovu; pabrėžia, kad skaidrumą būtų galima geriau užtikrinti aktyviai registruojantis skaidrumo registre; dar kartą ragina EDAPP prisijungti prie ES skaidrumo registro;</w:t>
      </w:r>
    </w:p>
    <w:p w:rsidR="00260855" w:rsidRPr="00A5437C" w:rsidRDefault="00260855" w:rsidP="00260855">
      <w:pPr>
        <w:pStyle w:val="NormalHanging12a"/>
        <w:rPr>
          <w:szCs w:val="24"/>
        </w:rPr>
      </w:pPr>
      <w:r w:rsidRPr="00A5437C">
        <w:t>36.</w:t>
      </w:r>
      <w:r w:rsidRPr="00A5437C">
        <w:tab/>
        <w:t>pažymi, kad EDAPP sukūrė sistemą, kuria siekiama užkirsti kelią interesų konfliktams vyresniosios vadovybės ir darbuotojų lygmeniu, pasitelkiant elgesio kodeksus, informuotumo didinimą ir deklaracijas; su pasitenkinimu pažymi, kad 2022 m. interesų konfliktų nenustatyta;</w:t>
      </w:r>
    </w:p>
    <w:p w:rsidR="00260855" w:rsidRPr="00A5437C" w:rsidRDefault="00260855" w:rsidP="00260855">
      <w:pPr>
        <w:pStyle w:val="NormalHanging12a"/>
        <w:rPr>
          <w:szCs w:val="24"/>
        </w:rPr>
      </w:pPr>
      <w:r w:rsidRPr="00A5437C">
        <w:t>37.</w:t>
      </w:r>
      <w:r w:rsidRPr="00A5437C">
        <w:tab/>
        <w:t xml:space="preserve">pažymi, kad EDAPP turi vidaus taisykles dėl informavimo apie pažeidimus, kuriose apibrėžiami saugūs būdai ir kanalai, per kuriuos darbuotojai gali pareikšti </w:t>
      </w:r>
      <w:proofErr w:type="spellStart"/>
      <w:r w:rsidRPr="00A5437C">
        <w:t>nuogąstavimus</w:t>
      </w:r>
      <w:proofErr w:type="spellEnd"/>
      <w:r w:rsidRPr="00A5437C">
        <w:t xml:space="preserve"> dėl sukčiavimo, korupcijos ar kitų rimtų pažeidimų, nepažeidžiant </w:t>
      </w:r>
      <w:r w:rsidRPr="00A5437C">
        <w:lastRenderedPageBreak/>
        <w:t>informatoriaus tapatybės ir pateiktos informacijos konfidencialumo; pažymi, kad 2022 m. apie jokius informavimo apie pažeidimą atvejus pranešta nebuvo;</w:t>
      </w:r>
    </w:p>
    <w:p w:rsidR="00260855" w:rsidRPr="00A5437C" w:rsidRDefault="00260855" w:rsidP="00260855">
      <w:pPr>
        <w:pStyle w:val="NormalHanging12a"/>
        <w:rPr>
          <w:b/>
          <w:i/>
          <w:szCs w:val="24"/>
        </w:rPr>
      </w:pPr>
      <w:r w:rsidRPr="00A5437C">
        <w:rPr>
          <w:b/>
          <w:i/>
        </w:rPr>
        <w:t>Skaitmeninimas, kibernetinis saugumas ir duomenų apsauga</w:t>
      </w:r>
    </w:p>
    <w:p w:rsidR="00260855" w:rsidRPr="00A5437C" w:rsidRDefault="00260855" w:rsidP="00260855">
      <w:pPr>
        <w:pStyle w:val="NormalHanging12a"/>
        <w:rPr>
          <w:szCs w:val="24"/>
        </w:rPr>
      </w:pPr>
      <w:r w:rsidRPr="00A5437C">
        <w:t>38.</w:t>
      </w:r>
      <w:r w:rsidRPr="00A5437C">
        <w:tab/>
        <w:t>pažymi, kad 2022 m. IT įrangai ir projektams skirtas biudžetas buvo 21 proc. didesnis nei 2021 m.; pažymi, kad šią informaciją reikia vertinti atsižvelgiant į tai, kad pats 2021 m. IT biudžetas buvo 20 proc. didesnis, palyginti su 2020 m. biudžetu;</w:t>
      </w:r>
    </w:p>
    <w:p w:rsidR="00260855" w:rsidRPr="00A5437C" w:rsidRDefault="00260855" w:rsidP="00260855">
      <w:pPr>
        <w:pStyle w:val="NormalHanging12a"/>
        <w:rPr>
          <w:szCs w:val="24"/>
        </w:rPr>
      </w:pPr>
      <w:r w:rsidRPr="00A5437C">
        <w:t>39.</w:t>
      </w:r>
      <w:r w:rsidRPr="00A5437C">
        <w:tab/>
        <w:t>pažymi, kad 2022 m. EDAPP, atlikdamas plataus masto IT galimybių studiją, atliko kelių ES institucijų, įstaigų, organų ir agentūrų IT strategijų tyrimą, kuriuo remiantis buvo parengta artimiausių metų EDAPP IT strategija; ragina EDAPP nuolat informuoti biudžeto įvykdymą tvirtinančią instituciją apie šios analizės rezultatus ir jos poveikį ištekliams;</w:t>
      </w:r>
    </w:p>
    <w:p w:rsidR="00260855" w:rsidRPr="00A5437C" w:rsidRDefault="00260855" w:rsidP="00260855">
      <w:pPr>
        <w:pStyle w:val="NormalHanging12a"/>
        <w:rPr>
          <w:szCs w:val="24"/>
        </w:rPr>
      </w:pPr>
      <w:r w:rsidRPr="00A5437C">
        <w:t>40.</w:t>
      </w:r>
      <w:r w:rsidRPr="00A5437C">
        <w:tab/>
        <w:t>pažymi, kad Parlamentas teikia IT įrangą ir paslaugas EDAPP, kaip jo palaikomųjų paslaugų teikėjui; palankiai vertina EDAPP pastangas nuolat gerinti savo skaitmeninę darbo erdvę veiksmingumo ir saugumo požiūriu, viršijant tai, ką teikia Parlamentas; pažymi, kad tai, atsižvelgiant į mišraus darbo paplitimą, apėmė EDAPP darbuotojams teikiamų kompiuterių kokybės ir našumo gerinimą, bendradarbiaujant su Parlamentu;</w:t>
      </w:r>
    </w:p>
    <w:p w:rsidR="00260855" w:rsidRPr="00A5437C" w:rsidRDefault="00260855" w:rsidP="00260855">
      <w:pPr>
        <w:pStyle w:val="NormalHanging12a"/>
        <w:rPr>
          <w:szCs w:val="24"/>
        </w:rPr>
      </w:pPr>
      <w:r w:rsidRPr="00A5437C">
        <w:t>41.</w:t>
      </w:r>
      <w:r w:rsidRPr="00A5437C">
        <w:tab/>
        <w:t>pripažįsta, kad EDAPP atlieka vadovaujamą vaidmenį didinant ES institucijų, įstaigų, organų ir agentūrų pasirengimą kibernetinio saugumo srityje; pažymi, kad 2022 m. EDAPP toliau gerino savo pasirengimą apsaugoti asmens duomenis ir neskelbtiną informaciją nuo kibernetinių išpuolių, atsižvelgdamas į sparčiai kintančią kibernetinių grėsmių panoramą; sveikina EDAPP su tuo, kad prieš įsigaliojant ES kibernetinio saugumo aktui jis peržiūrėjo savo saugumo politiką ir metodikas ir pritaikė savo kibernetinio saugumo sutartinius reikalavimus pagal CERT-EU gaires, o tai naudinga visoms institucijoms; pažymi, kad 2022 m. EDAPP nesusidūrė su jokiais kibernetiniais išpuoliais;</w:t>
      </w:r>
    </w:p>
    <w:p w:rsidR="00260855" w:rsidRPr="00A5437C" w:rsidRDefault="00260855" w:rsidP="00260855">
      <w:pPr>
        <w:pStyle w:val="NormalHanging12a"/>
        <w:rPr>
          <w:szCs w:val="24"/>
        </w:rPr>
      </w:pPr>
      <w:r w:rsidRPr="00A5437C">
        <w:t>42.</w:t>
      </w:r>
      <w:r w:rsidRPr="00A5437C">
        <w:tab/>
        <w:t>pažymi, kad EDAPP bando ir kuria novatoriškus ir privatumą užtikrinančius atvirojo kodo IT sprendimus; mano, kad EDAPP turėtų dalytis šia patirtimi su kitomis ES institucijomis, įstaigomis, organais ir agentūromis;</w:t>
      </w:r>
    </w:p>
    <w:p w:rsidR="00260855" w:rsidRPr="00A5437C" w:rsidRDefault="00260855" w:rsidP="00260855">
      <w:pPr>
        <w:pStyle w:val="NormalHanging12a"/>
        <w:rPr>
          <w:szCs w:val="24"/>
        </w:rPr>
      </w:pPr>
      <w:r w:rsidRPr="00A5437C">
        <w:t>43.</w:t>
      </w:r>
      <w:r w:rsidRPr="00A5437C">
        <w:tab/>
        <w:t xml:space="preserve">palankiai vertina, kad EDAPP ėmėsi tolesnių veiksmų, susijusių su sprendimu byloje </w:t>
      </w:r>
      <w:proofErr w:type="spellStart"/>
      <w:r w:rsidRPr="00A5437C">
        <w:rPr>
          <w:i/>
          <w:iCs/>
        </w:rPr>
        <w:t>Schrems</w:t>
      </w:r>
      <w:proofErr w:type="spellEnd"/>
      <w:r w:rsidRPr="00A5437C">
        <w:rPr>
          <w:i/>
          <w:iCs/>
        </w:rPr>
        <w:t xml:space="preserve"> II</w:t>
      </w:r>
      <w:r w:rsidRPr="00A5437C">
        <w:t>, visų pirma 2022 m. daugiausia dėmesio skirdamas ES institucijų, įstaigų, organų ir agentūrų sutartims su privačiais subjektais, ypač su stambiais IRT paslaugų teikėjais, ir ES institucijų, įstaigų, organų ir agentūrų susitarimams su ne ES ar ne EEE viešosiomis įstaigomis arba tarptautinėmis organizacijomis;</w:t>
      </w:r>
    </w:p>
    <w:p w:rsidR="00260855" w:rsidRPr="00A5437C" w:rsidRDefault="00260855" w:rsidP="00260855">
      <w:pPr>
        <w:pStyle w:val="NormalHanging12a"/>
        <w:ind w:left="0" w:firstLine="0"/>
        <w:rPr>
          <w:b/>
          <w:i/>
          <w:szCs w:val="24"/>
        </w:rPr>
      </w:pPr>
      <w:r w:rsidRPr="00A5437C">
        <w:rPr>
          <w:b/>
          <w:i/>
        </w:rPr>
        <w:t>Pastatai</w:t>
      </w:r>
    </w:p>
    <w:p w:rsidR="00260855" w:rsidRPr="00A5437C" w:rsidRDefault="00260855" w:rsidP="00260855">
      <w:pPr>
        <w:pStyle w:val="NormalHanging12a"/>
        <w:rPr>
          <w:szCs w:val="24"/>
        </w:rPr>
      </w:pPr>
      <w:r w:rsidRPr="00A5437C">
        <w:t>44.</w:t>
      </w:r>
      <w:r w:rsidRPr="00A5437C">
        <w:tab/>
        <w:t>pažymi, kad 2022 m. EDAPP ir EDAV buvo vieninteliai Parlamento pastato, kuriame jie buvo įsikūrę, nuomininkai po to, kai 2021 m. pabaigoje išsikėlė Ombudsmenas; pažymi, kad po šio persikėlimo buvo visiškai atnaujinti trys pastato aukštai, kad juose galėtų įsikurti EDAPP ir EDAV darbuotojai ir patalpos būtų pritaikytos prie naujų darbo sąlygų, susiklosčiusių po COVID-19 pandemijos;</w:t>
      </w:r>
    </w:p>
    <w:p w:rsidR="00260855" w:rsidRPr="00A5437C" w:rsidRDefault="00260855" w:rsidP="00260855">
      <w:pPr>
        <w:pStyle w:val="NormalHanging12a"/>
        <w:rPr>
          <w:szCs w:val="24"/>
        </w:rPr>
      </w:pPr>
      <w:r w:rsidRPr="00A5437C">
        <w:t>45.</w:t>
      </w:r>
      <w:r w:rsidRPr="00A5437C">
        <w:tab/>
        <w:t xml:space="preserve">pažymi, kad, kalbant apie jo pastato prieinamumą, EDAPP remiasi Parlamento priimtais ir įgyvendinamais sprendimais, kurie yra jo pastatų politikos dalis; ragina EDAPP propaguoti tai, kad reikia skirti daugiau dėmesio riboto </w:t>
      </w:r>
      <w:proofErr w:type="spellStart"/>
      <w:r w:rsidRPr="00A5437C">
        <w:t>judumo</w:t>
      </w:r>
      <w:proofErr w:type="spellEnd"/>
      <w:r w:rsidRPr="00A5437C">
        <w:t xml:space="preserve"> asmenų ar asmenų su </w:t>
      </w:r>
      <w:r w:rsidRPr="00A5437C">
        <w:lastRenderedPageBreak/>
        <w:t>negalia poreikiams, ir informuoti biudžeto įvykdymą tvirtinančią instituciją apie visus šiuo klausimu priimtus naujus sprendimus;</w:t>
      </w:r>
    </w:p>
    <w:p w:rsidR="00260855" w:rsidRPr="00A5437C" w:rsidRDefault="00260855" w:rsidP="00260855">
      <w:pPr>
        <w:pStyle w:val="NormalHanging12a"/>
        <w:ind w:left="0" w:firstLine="0"/>
        <w:rPr>
          <w:b/>
          <w:i/>
          <w:szCs w:val="24"/>
        </w:rPr>
      </w:pPr>
      <w:r w:rsidRPr="00A5437C">
        <w:rPr>
          <w:b/>
          <w:i/>
        </w:rPr>
        <w:t>Aplinka ir tvarumas</w:t>
      </w:r>
    </w:p>
    <w:p w:rsidR="00260855" w:rsidRPr="00A5437C" w:rsidRDefault="00260855" w:rsidP="00260855">
      <w:pPr>
        <w:pStyle w:val="NormalHanging12a"/>
        <w:rPr>
          <w:szCs w:val="24"/>
        </w:rPr>
      </w:pPr>
      <w:r w:rsidRPr="00A5437C">
        <w:t>46.</w:t>
      </w:r>
      <w:r w:rsidRPr="00A5437C">
        <w:tab/>
        <w:t>pažymi, kad EDAPP neprisijungė prie aplinkosaugos vadybos ir audito sistemos (EMAS), tačiau įgyvendino keletą priemonių, kad sumažintų savo aplinkosauginį pėdsaką, pvz., suskaitmeninęs žmogiškųjų išteklių procesus sumažino popieriaus kiekį arba perdirbo atliekas; pažymi, kad, kalbant apie aplinkosaugos infrastruktūrą, Parlamento nuomojamame pastate neįrengtos saulės baterijų plokštės; ragina EDAPP informuoti biudžeto įvykdymą tvirtinančią instituciją apie visus naujus sprendimus įrengti saulės baterijų plokštes jo pastate;</w:t>
      </w:r>
    </w:p>
    <w:p w:rsidR="00260855" w:rsidRPr="00A5437C" w:rsidRDefault="00260855" w:rsidP="00260855">
      <w:pPr>
        <w:pStyle w:val="NormalHanging12a"/>
        <w:rPr>
          <w:szCs w:val="24"/>
        </w:rPr>
      </w:pPr>
      <w:r w:rsidRPr="00A5437C">
        <w:t>47.</w:t>
      </w:r>
      <w:r w:rsidRPr="00A5437C">
        <w:tab/>
        <w:t xml:space="preserve">palankiai vertina tai, kad EDAPP ir toliau skatina tvarų darbuotojų </w:t>
      </w:r>
      <w:proofErr w:type="spellStart"/>
      <w:r w:rsidRPr="00A5437C">
        <w:t>judumą</w:t>
      </w:r>
      <w:proofErr w:type="spellEnd"/>
      <w:r w:rsidRPr="00A5437C">
        <w:t>, kompensuodamas 50 proc. mėnesinių ir (arba) metinių įmokų už viešąjį transportą ir savo garažuose skirdamas pakankamai vietos darbuotojams pasistatyti dviračius;</w:t>
      </w:r>
    </w:p>
    <w:p w:rsidR="00260855" w:rsidRPr="00A5437C" w:rsidRDefault="00260855" w:rsidP="00260855">
      <w:pPr>
        <w:pStyle w:val="NormalHanging12a"/>
        <w:rPr>
          <w:b/>
          <w:i/>
          <w:szCs w:val="24"/>
        </w:rPr>
      </w:pPr>
      <w:proofErr w:type="spellStart"/>
      <w:r w:rsidRPr="00A5437C">
        <w:rPr>
          <w:b/>
          <w:i/>
        </w:rPr>
        <w:t>Tarpinstitucinis</w:t>
      </w:r>
      <w:proofErr w:type="spellEnd"/>
      <w:r w:rsidRPr="00A5437C">
        <w:rPr>
          <w:b/>
          <w:i/>
        </w:rPr>
        <w:t xml:space="preserve"> bendradarbiavimas</w:t>
      </w:r>
    </w:p>
    <w:p w:rsidR="00260855" w:rsidRPr="00A5437C" w:rsidRDefault="00260855" w:rsidP="00260855">
      <w:pPr>
        <w:pStyle w:val="NormalHanging12a"/>
        <w:rPr>
          <w:szCs w:val="24"/>
        </w:rPr>
      </w:pPr>
      <w:r w:rsidRPr="00A5437C">
        <w:t>48.</w:t>
      </w:r>
      <w:r w:rsidRPr="00A5437C">
        <w:tab/>
        <w:t xml:space="preserve">palankiai vertina tai, kad vykdant </w:t>
      </w:r>
      <w:proofErr w:type="spellStart"/>
      <w:r w:rsidRPr="00A5437C">
        <w:t>tarpinstitucinį</w:t>
      </w:r>
      <w:proofErr w:type="spellEnd"/>
      <w:r w:rsidRPr="00A5437C">
        <w:t xml:space="preserve"> bendradarbiavimą sutaupyta biudžeto ir administracinių lėšų, visų pirma tai, kad sudaryti susitarimai dėl paslaugų lygio su Parlamentu dėl jo patalpų nuomos ir naudojimosi jo IT sistemos taikomosiomis programomis, aparatinės įrangos reikmenimis ir technine priežiūra, taip pat su Komisija dėl IRT paslaugų;</w:t>
      </w:r>
    </w:p>
    <w:p w:rsidR="00260855" w:rsidRPr="00A5437C" w:rsidRDefault="00260855" w:rsidP="00260855">
      <w:pPr>
        <w:pStyle w:val="NormalHanging12a"/>
        <w:rPr>
          <w:szCs w:val="24"/>
        </w:rPr>
      </w:pPr>
      <w:r w:rsidRPr="00A5437C">
        <w:t>49.</w:t>
      </w:r>
      <w:r w:rsidRPr="00A5437C">
        <w:tab/>
        <w:t>pažymi, kad EDAPP glaudžiai, nors ir neoficialiai, bendradarbiauja su OLAF, Europos prokuratūra ir Audito Rūmais, kuriems jis teikia konsultacijas dėl konkrečių projektų ir klausimų, taip papildydamas savo priežiūros funkcijas; ypač palankiai vertina 2022 m. vykdytą reguliarų dialogą su Europos prokuratūra, kaip naujai įsteigta institucija; palankiai vertina tai, kad EDAPP struktūriškiau bendradarbiauja su Ombudsmenu pagal susitarimo memorandumą, kuriuo siekiama apibrėžti jų bendradarbiavimo skundų nagrinėjimo lygmeniu tvarką;</w:t>
      </w:r>
    </w:p>
    <w:p w:rsidR="00260855" w:rsidRPr="00A5437C" w:rsidRDefault="00260855" w:rsidP="00260855">
      <w:pPr>
        <w:pStyle w:val="NormalHanging12a"/>
        <w:rPr>
          <w:szCs w:val="24"/>
        </w:rPr>
      </w:pPr>
      <w:r w:rsidRPr="00A5437C">
        <w:t>50.</w:t>
      </w:r>
      <w:r w:rsidRPr="00A5437C">
        <w:tab/>
        <w:t xml:space="preserve">pažymi, kad </w:t>
      </w:r>
      <w:proofErr w:type="spellStart"/>
      <w:r w:rsidRPr="00A5437C">
        <w:t>tarpinstitucinis</w:t>
      </w:r>
      <w:proofErr w:type="spellEnd"/>
      <w:r w:rsidRPr="00A5437C">
        <w:t xml:space="preserve"> bendradarbiavimas su EDAPP, atliekančiu priežiūros funkciją, yra labai svarbus tam, kad kitos ES institucijos, įstaigos, organai ir agentūros pagerintų savo atitikties duomenų apsaugos teisinei sistemai lygį; sveikina EDAPP už tai, kad jis ėmėsi vadovaujamo vaidmens sudarant </w:t>
      </w:r>
      <w:proofErr w:type="spellStart"/>
      <w:r w:rsidRPr="00A5437C">
        <w:t>tarpinstitucinę</w:t>
      </w:r>
      <w:proofErr w:type="spellEnd"/>
      <w:r w:rsidRPr="00A5437C">
        <w:t xml:space="preserve"> sutartį dėl „</w:t>
      </w:r>
      <w:proofErr w:type="spellStart"/>
      <w:r w:rsidRPr="00A5437C">
        <w:t>Nextcloud</w:t>
      </w:r>
      <w:proofErr w:type="spellEnd"/>
      <w:r w:rsidRPr="00A5437C">
        <w:t>“ paslaugų teikimo susitarimą pasirašiusioms ES institucijoms, įstaigoms, organams ir agentūroms;</w:t>
      </w:r>
    </w:p>
    <w:p w:rsidR="00260855" w:rsidRPr="00A5437C" w:rsidRDefault="00260855" w:rsidP="00260855">
      <w:pPr>
        <w:pStyle w:val="NormalHanging12a"/>
        <w:rPr>
          <w:szCs w:val="24"/>
        </w:rPr>
      </w:pPr>
      <w:r w:rsidRPr="00A5437C">
        <w:t>51.</w:t>
      </w:r>
      <w:r w:rsidRPr="00A5437C">
        <w:tab/>
        <w:t xml:space="preserve">palankiai vertina esminį EDAPP vaidmenį 2022 m. koordinuojant valstybių narių, kurioms atstovaujama EDAV, duomenų apsaugos institucijas, siekiant skatinti nuoseklią duomenų apsaugą visoje Sąjungoje; pažymi, kad EDAPP dalyvavo 2022 m. EDAV koordinuotuose vykdymo užtikrinimo veiksmuose, susijusiuose su </w:t>
      </w:r>
      <w:proofErr w:type="spellStart"/>
      <w:r w:rsidRPr="00A5437C">
        <w:t>debesijos</w:t>
      </w:r>
      <w:proofErr w:type="spellEnd"/>
      <w:r w:rsidRPr="00A5437C">
        <w:t xml:space="preserve"> paslaugų naudojimu Sąjungoje, kurių tikslas buvo EDAPP, ES institucijoms, įstaigoms, organams bei agentūroms ir duomenų apsaugos institucijoms pasidalyti žiniomis ir gerąja patirtimi;</w:t>
      </w:r>
    </w:p>
    <w:p w:rsidR="00260855" w:rsidRPr="00A5437C" w:rsidRDefault="00260855" w:rsidP="00260855">
      <w:pPr>
        <w:pStyle w:val="NormalHanging12a"/>
        <w:rPr>
          <w:b/>
          <w:i/>
          <w:szCs w:val="24"/>
        </w:rPr>
      </w:pPr>
      <w:r w:rsidRPr="00A5437C">
        <w:rPr>
          <w:b/>
          <w:i/>
        </w:rPr>
        <w:t>Komunikacija</w:t>
      </w:r>
    </w:p>
    <w:p w:rsidR="00260855" w:rsidRPr="00A5437C" w:rsidRDefault="00260855" w:rsidP="00260855">
      <w:pPr>
        <w:pStyle w:val="NormalHanging12a"/>
        <w:rPr>
          <w:szCs w:val="24"/>
        </w:rPr>
      </w:pPr>
      <w:r w:rsidRPr="00A5437C">
        <w:t>52.</w:t>
      </w:r>
      <w:r w:rsidRPr="00A5437C">
        <w:tab/>
        <w:t xml:space="preserve">pažymi, kad 2022 m. viešosios komunikacijos ir reklaminės veiklos biudžetas siekė 304 665 EUR, t. y. 19 proc. daugiau nei 2021 m.; palankiai vertina į ES institucijas, </w:t>
      </w:r>
      <w:r w:rsidRPr="00A5437C">
        <w:lastRenderedPageBreak/>
        <w:t>įstaigas, organus ir agentūras, ES duomenų apsaugos ekspertus ir plačiąją visuomenę nukreiptą išsamią komunikacijos strategiją, kuria siekiama didinti informuotumą apie jo vaidmenį ir tai, kad svarbu laikytis Sąjungos duomenų apsaugos taisyklių;</w:t>
      </w:r>
    </w:p>
    <w:p w:rsidR="00260855" w:rsidRPr="00A5437C" w:rsidRDefault="00260855" w:rsidP="00260855">
      <w:pPr>
        <w:pStyle w:val="NormalHanging12a"/>
        <w:rPr>
          <w:szCs w:val="24"/>
        </w:rPr>
      </w:pPr>
      <w:r w:rsidRPr="00A5437C">
        <w:t>53.</w:t>
      </w:r>
      <w:r w:rsidRPr="00A5437C">
        <w:tab/>
        <w:t>su pasitenkinimu pažymi, kad 2022 m. EDAPP mišriu būdu surengė keletą komunikacijos renginių, visų pirma didelę tarptautinę konferenciją „Duomenų apsaugos ateitis. Veiksmingas vykdymo užtikrinimas skaitmeniniame pasaulyje“, kurioje fiziškai ir nuotoliniu būdu dalyvavo daugiau kaip 2000 dalyvių;</w:t>
      </w:r>
    </w:p>
    <w:p w:rsidR="00260855" w:rsidRPr="00A5437C" w:rsidRDefault="00260855" w:rsidP="00260855">
      <w:pPr>
        <w:pStyle w:val="NormalHanging12a"/>
        <w:rPr>
          <w:szCs w:val="24"/>
        </w:rPr>
      </w:pPr>
      <w:r w:rsidRPr="00A5437C">
        <w:t>54.</w:t>
      </w:r>
      <w:r w:rsidRPr="00A5437C">
        <w:tab/>
        <w:t>pažymi, kad EDAPP skelbia informaciją internetu per savo interneto svetainę ir savo socialinių tinklų paskyras „X“ (buvęs „</w:t>
      </w:r>
      <w:proofErr w:type="spellStart"/>
      <w:r w:rsidRPr="00A5437C">
        <w:t>Twitter</w:t>
      </w:r>
      <w:proofErr w:type="spellEnd"/>
      <w:r w:rsidRPr="00A5437C">
        <w:t>“) (29 100 sekėjų), „</w:t>
      </w:r>
      <w:proofErr w:type="spellStart"/>
      <w:r w:rsidRPr="00A5437C">
        <w:t>LinkedIn</w:t>
      </w:r>
      <w:proofErr w:type="spellEnd"/>
      <w:r w:rsidRPr="00A5437C">
        <w:t>“ (63 000 sekėjų), „</w:t>
      </w:r>
      <w:proofErr w:type="spellStart"/>
      <w:r w:rsidRPr="00A5437C">
        <w:t>YouTube</w:t>
      </w:r>
      <w:proofErr w:type="spellEnd"/>
      <w:r w:rsidRPr="00A5437C">
        <w:t>“ (275 000 sekėjų), „EU-</w:t>
      </w:r>
      <w:proofErr w:type="spellStart"/>
      <w:r w:rsidRPr="00A5437C">
        <w:t>Voice</w:t>
      </w:r>
      <w:proofErr w:type="spellEnd"/>
      <w:r w:rsidRPr="00A5437C">
        <w:t>“ (5 100 sekėjų) ir „EU-</w:t>
      </w:r>
      <w:proofErr w:type="spellStart"/>
      <w:r w:rsidRPr="00A5437C">
        <w:t>Video</w:t>
      </w:r>
      <w:proofErr w:type="spellEnd"/>
      <w:r w:rsidRPr="00A5437C">
        <w:t>“ (690 sekėjų); pažymi, kad 2022 m. EDAPP pradėjo kelias socialinių tinklų kampanijas, kuriomis siekiama skatinti konkrečias iniciatyvas arba kurios vykdomos bendradarbiaujant su kitomis ES institucijomis, įstaigomis, organais ir agentūromis siekiant didinti informavimo veiklą ir užtikrinti, kad jo auditorija būtų gerai informuota apie jo veiklą;</w:t>
      </w:r>
    </w:p>
    <w:p w:rsidR="00260855" w:rsidRPr="00A5437C" w:rsidRDefault="00260855" w:rsidP="00260855">
      <w:pPr>
        <w:pStyle w:val="NormalHanging12a"/>
        <w:rPr>
          <w:szCs w:val="24"/>
        </w:rPr>
      </w:pPr>
      <w:r w:rsidRPr="00A5437C">
        <w:t>55.</w:t>
      </w:r>
      <w:r w:rsidRPr="00A5437C">
        <w:tab/>
        <w:t>atkreipia dėmesį į vadovaujamą EDAPP vaidmenį išbandant ir skatinant socialinių tinklų kanalus, kuriais prisidedama prie Sąjungos duomenų ir skaitmeninio suverenumo strategijos, laikantis duomenų apsaugos teisinės sistemos;</w:t>
      </w:r>
    </w:p>
    <w:p w:rsidR="00E365E1" w:rsidRPr="00A5437C" w:rsidRDefault="00260855" w:rsidP="00177320">
      <w:pPr>
        <w:pStyle w:val="NormalHanging12a"/>
      </w:pPr>
      <w:r w:rsidRPr="00A5437C">
        <w:t>56.</w:t>
      </w:r>
      <w:r w:rsidRPr="00A5437C">
        <w:tab/>
        <w:t>pakartoja, kad pritaria EDAPP pastangoms stebėti ir plačiajai visuomenei aiškinti naujus technologijų pokyčius ir galimą jų poveikį duomenų apsaugai bei privatumui, pasitelkiant, pavyzdžiui, „</w:t>
      </w:r>
      <w:proofErr w:type="spellStart"/>
      <w:r w:rsidRPr="00A5437C">
        <w:t>TechDispatch</w:t>
      </w:r>
      <w:proofErr w:type="spellEnd"/>
      <w:r w:rsidRPr="00A5437C">
        <w:t>“ ir „</w:t>
      </w:r>
      <w:proofErr w:type="spellStart"/>
      <w:r w:rsidRPr="00A5437C">
        <w:t>TechSonar</w:t>
      </w:r>
      <w:proofErr w:type="spellEnd"/>
      <w:r w:rsidRPr="00A5437C">
        <w:t xml:space="preserve">“ ataskaitas; be to, ragina EDAPP didinti savo </w:t>
      </w:r>
      <w:proofErr w:type="spellStart"/>
      <w:r w:rsidRPr="00A5437C">
        <w:t>pajėgumus</w:t>
      </w:r>
      <w:proofErr w:type="spellEnd"/>
      <w:r w:rsidRPr="00A5437C">
        <w:t xml:space="preserve"> technologijų stebėsenos srityje ir rengti informacines kampanijas apie savo išvadas ir rekomendacijas.</w:t>
      </w:r>
      <w:bookmarkStart w:id="8" w:name="TextBodyEnd"/>
      <w:bookmarkStart w:id="9" w:name="_GoBack"/>
      <w:bookmarkEnd w:id="8"/>
      <w:bookmarkEnd w:id="9"/>
    </w:p>
    <w:sectPr w:rsidR="00E365E1" w:rsidRPr="00A5437C" w:rsidSect="00A543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67AB" w:rsidRPr="00A5437C" w:rsidRDefault="003867AB">
      <w:r w:rsidRPr="00A5437C">
        <w:separator/>
      </w:r>
    </w:p>
  </w:endnote>
  <w:endnote w:type="continuationSeparator" w:id="0">
    <w:p w:rsidR="003867AB" w:rsidRPr="00A5437C" w:rsidRDefault="003867AB">
      <w:r w:rsidRPr="00A5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855" w:rsidRPr="00A5437C" w:rsidRDefault="00260855" w:rsidP="00CC5FD5">
    <w:pPr>
      <w:pStyle w:val="EPFooter"/>
    </w:pPr>
    <w:r w:rsidRPr="00A5437C">
      <w:t>PE</w:t>
    </w:r>
    <w:r w:rsidRPr="00A5437C">
      <w:rPr>
        <w:rStyle w:val="HideTWBExt"/>
      </w:rPr>
      <w:t>&lt;</w:t>
    </w:r>
    <w:proofErr w:type="spellStart"/>
    <w:r w:rsidRPr="00A5437C">
      <w:rPr>
        <w:rStyle w:val="HideTWBExt"/>
      </w:rPr>
      <w:t>NoPE</w:t>
    </w:r>
    <w:proofErr w:type="spellEnd"/>
    <w:r w:rsidRPr="00A5437C">
      <w:rPr>
        <w:rStyle w:val="HideTWBExt"/>
      </w:rPr>
      <w:t>&gt;</w:t>
    </w:r>
    <w:r w:rsidRPr="00A5437C">
      <w:t>753.487</w:t>
    </w:r>
    <w:r w:rsidRPr="00A5437C">
      <w:rPr>
        <w:rStyle w:val="HideTWBExt"/>
      </w:rPr>
      <w:t>&lt;/</w:t>
    </w:r>
    <w:proofErr w:type="spellStart"/>
    <w:r w:rsidRPr="00A5437C">
      <w:rPr>
        <w:rStyle w:val="HideTWBExt"/>
      </w:rPr>
      <w:t>NoPE</w:t>
    </w:r>
    <w:proofErr w:type="spellEnd"/>
    <w:r w:rsidRPr="00A5437C">
      <w:rPr>
        <w:rStyle w:val="HideTWBExt"/>
      </w:rPr>
      <w:t>&gt;&lt;Version&gt;</w:t>
    </w:r>
    <w:r w:rsidRPr="00A5437C">
      <w:t>v02-00</w:t>
    </w:r>
    <w:r w:rsidRPr="00A5437C">
      <w:rPr>
        <w:rStyle w:val="HideTWBExt"/>
      </w:rPr>
      <w:t>&lt;/</w:t>
    </w:r>
    <w:proofErr w:type="spellStart"/>
    <w:r w:rsidRPr="00A5437C">
      <w:rPr>
        <w:rStyle w:val="HideTWBExt"/>
      </w:rPr>
      <w:t>Version</w:t>
    </w:r>
    <w:proofErr w:type="spellEnd"/>
    <w:r w:rsidRPr="00A5437C">
      <w:rPr>
        <w:rStyle w:val="HideTWBExt"/>
      </w:rPr>
      <w:t>&gt;</w:t>
    </w:r>
    <w:r w:rsidRPr="00A5437C">
      <w:tab/>
    </w:r>
    <w:r w:rsidRPr="00A5437C">
      <w:fldChar w:fldCharType="begin"/>
    </w:r>
    <w:r w:rsidRPr="00A5437C">
      <w:instrText xml:space="preserve"> PAGE  \* MERGEFORMAT </w:instrText>
    </w:r>
    <w:r w:rsidRPr="00A5437C">
      <w:fldChar w:fldCharType="separate"/>
    </w:r>
    <w:r w:rsidRPr="00A5437C">
      <w:rPr>
        <w:noProof/>
      </w:rPr>
      <w:t>12</w:t>
    </w:r>
    <w:r w:rsidRPr="00A5437C">
      <w:fldChar w:fldCharType="end"/>
    </w:r>
    <w:r w:rsidRPr="00A5437C">
      <w:t>/</w:t>
    </w:r>
    <w:r w:rsidR="005E0E24">
      <w:fldChar w:fldCharType="begin"/>
    </w:r>
    <w:r w:rsidR="005E0E24">
      <w:instrText xml:space="preserve"> NUMPAGES  \* MERGEFORMAT </w:instrText>
    </w:r>
    <w:r w:rsidR="005E0E24">
      <w:fldChar w:fldCharType="separate"/>
    </w:r>
    <w:r w:rsidRPr="00A5437C">
      <w:rPr>
        <w:noProof/>
      </w:rPr>
      <w:t>12</w:t>
    </w:r>
    <w:r w:rsidR="005E0E24">
      <w:rPr>
        <w:noProof/>
      </w:rPr>
      <w:fldChar w:fldCharType="end"/>
    </w:r>
    <w:r w:rsidRPr="00A5437C">
      <w:tab/>
    </w:r>
    <w:r w:rsidRPr="00A5437C">
      <w:rPr>
        <w:rStyle w:val="HideTWBExt"/>
      </w:rPr>
      <w:t>&lt;PathFdR&gt;</w:t>
    </w:r>
    <w:r w:rsidRPr="00A5437C">
      <w:t>RR\1298695LT.docx</w:t>
    </w:r>
    <w:r w:rsidRPr="00A5437C">
      <w:rPr>
        <w:rStyle w:val="HideTWBExt"/>
      </w:rPr>
      <w:t>&lt;/</w:t>
    </w:r>
    <w:proofErr w:type="spellStart"/>
    <w:r w:rsidRPr="00A5437C">
      <w:rPr>
        <w:rStyle w:val="HideTWBExt"/>
      </w:rPr>
      <w:t>PathFdR</w:t>
    </w:r>
    <w:proofErr w:type="spellEnd"/>
    <w:r w:rsidRPr="00A5437C">
      <w:rPr>
        <w:rStyle w:val="HideTWBExt"/>
      </w:rPr>
      <w:t>&gt;</w:t>
    </w:r>
  </w:p>
  <w:p w:rsidR="00260855" w:rsidRPr="00A5437C" w:rsidRDefault="00260855" w:rsidP="00CC5FD5">
    <w:pPr>
      <w:pStyle w:val="EPFooter2"/>
    </w:pPr>
    <w:r w:rsidRPr="00A5437C">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855" w:rsidRPr="00A5437C" w:rsidRDefault="00260855" w:rsidP="00CC5FD5">
    <w:pPr>
      <w:pStyle w:val="EPFooter"/>
    </w:pPr>
    <w:r w:rsidRPr="00A5437C">
      <w:rPr>
        <w:rStyle w:val="HideTWBExt"/>
      </w:rPr>
      <w:t>&lt;PathFdR&gt;</w:t>
    </w:r>
    <w:r w:rsidRPr="00A5437C">
      <w:t>RR\1298695LT.docx</w:t>
    </w:r>
    <w:r w:rsidRPr="00A5437C">
      <w:rPr>
        <w:rStyle w:val="HideTWBExt"/>
      </w:rPr>
      <w:t>&lt;/</w:t>
    </w:r>
    <w:proofErr w:type="spellStart"/>
    <w:r w:rsidRPr="00A5437C">
      <w:rPr>
        <w:rStyle w:val="HideTWBExt"/>
      </w:rPr>
      <w:t>PathFdR</w:t>
    </w:r>
    <w:proofErr w:type="spellEnd"/>
    <w:r w:rsidRPr="00A5437C">
      <w:rPr>
        <w:rStyle w:val="HideTWBExt"/>
      </w:rPr>
      <w:t>&gt;</w:t>
    </w:r>
    <w:r w:rsidRPr="00A5437C">
      <w:tab/>
    </w:r>
    <w:r w:rsidRPr="00A5437C">
      <w:tab/>
      <w:t>PE</w:t>
    </w:r>
    <w:r w:rsidRPr="00A5437C">
      <w:rPr>
        <w:rStyle w:val="HideTWBExt"/>
      </w:rPr>
      <w:t>&lt;</w:t>
    </w:r>
    <w:proofErr w:type="spellStart"/>
    <w:r w:rsidRPr="00A5437C">
      <w:rPr>
        <w:rStyle w:val="HideTWBExt"/>
      </w:rPr>
      <w:t>NoPE</w:t>
    </w:r>
    <w:proofErr w:type="spellEnd"/>
    <w:r w:rsidRPr="00A5437C">
      <w:rPr>
        <w:rStyle w:val="HideTWBExt"/>
      </w:rPr>
      <w:t>&gt;</w:t>
    </w:r>
    <w:r w:rsidRPr="00A5437C">
      <w:t>753.487</w:t>
    </w:r>
    <w:r w:rsidRPr="00A5437C">
      <w:rPr>
        <w:rStyle w:val="HideTWBExt"/>
      </w:rPr>
      <w:t>&lt;/</w:t>
    </w:r>
    <w:proofErr w:type="spellStart"/>
    <w:r w:rsidRPr="00A5437C">
      <w:rPr>
        <w:rStyle w:val="HideTWBExt"/>
      </w:rPr>
      <w:t>NoPE</w:t>
    </w:r>
    <w:proofErr w:type="spellEnd"/>
    <w:r w:rsidRPr="00A5437C">
      <w:rPr>
        <w:rStyle w:val="HideTWBExt"/>
      </w:rPr>
      <w:t>&gt;&lt;Version&gt;</w:t>
    </w:r>
    <w:r w:rsidRPr="00A5437C">
      <w:t>v02-00</w:t>
    </w:r>
    <w:r w:rsidRPr="00A5437C">
      <w:rPr>
        <w:rStyle w:val="HideTWBExt"/>
      </w:rPr>
      <w:t>&lt;/</w:t>
    </w:r>
    <w:proofErr w:type="spellStart"/>
    <w:r w:rsidRPr="00A5437C">
      <w:rPr>
        <w:rStyle w:val="HideTWBExt"/>
      </w:rPr>
      <w:t>Version</w:t>
    </w:r>
    <w:proofErr w:type="spellEnd"/>
    <w:r w:rsidRPr="00A5437C">
      <w:rPr>
        <w:rStyle w:val="HideTWBExt"/>
      </w:rPr>
      <w:t>&gt;</w:t>
    </w:r>
  </w:p>
  <w:p w:rsidR="00260855" w:rsidRPr="00A5437C" w:rsidRDefault="00260855" w:rsidP="00CC5FD5">
    <w:pPr>
      <w:pStyle w:val="EPFooter2"/>
    </w:pPr>
    <w:r w:rsidRPr="00A5437C">
      <w:t>LT</w:t>
    </w:r>
    <w:r w:rsidRPr="00A5437C">
      <w:tab/>
    </w:r>
    <w:r w:rsidRPr="00A5437C">
      <w:rPr>
        <w:b w:val="0"/>
        <w:i/>
        <w:color w:val="C0C0C0"/>
        <w:sz w:val="22"/>
      </w:rPr>
      <w:t>Suvienijusi įvairovę</w:t>
    </w:r>
    <w:r w:rsidRPr="00A5437C">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7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67AB" w:rsidRPr="00A5437C" w:rsidRDefault="003867AB">
      <w:r w:rsidRPr="00A5437C">
        <w:separator/>
      </w:r>
    </w:p>
  </w:footnote>
  <w:footnote w:type="continuationSeparator" w:id="0">
    <w:p w:rsidR="003867AB" w:rsidRPr="00A5437C" w:rsidRDefault="003867AB">
      <w:r w:rsidRPr="00A5437C">
        <w:continuationSeparator/>
      </w:r>
    </w:p>
  </w:footnote>
  <w:footnote w:id="1">
    <w:p w:rsidR="00260855" w:rsidRPr="00A5437C" w:rsidRDefault="00260855" w:rsidP="00A5437C">
      <w:pPr>
        <w:pStyle w:val="FootnoteText"/>
        <w:ind w:left="567" w:hanging="567"/>
        <w:rPr>
          <w:sz w:val="24"/>
          <w:lang w:val="lt-LT"/>
        </w:rPr>
      </w:pPr>
      <w:r w:rsidRPr="00A5437C">
        <w:rPr>
          <w:rStyle w:val="FootnoteReference"/>
          <w:sz w:val="24"/>
          <w:lang w:val="lt-LT"/>
        </w:rPr>
        <w:footnoteRef/>
      </w:r>
      <w:r w:rsidR="00A5437C" w:rsidRPr="00A5437C">
        <w:rPr>
          <w:sz w:val="24"/>
          <w:lang w:val="lt-LT"/>
        </w:rPr>
        <w:t xml:space="preserve"> </w:t>
      </w:r>
      <w:r w:rsidR="00A5437C" w:rsidRPr="00A5437C">
        <w:rPr>
          <w:sz w:val="24"/>
          <w:lang w:val="lt-LT"/>
        </w:rPr>
        <w:tab/>
      </w:r>
      <w:r w:rsidRPr="00A5437C">
        <w:rPr>
          <w:sz w:val="24"/>
          <w:lang w:val="lt-LT"/>
        </w:rPr>
        <w:t>OL L 45, 2022 2 24.</w:t>
      </w:r>
    </w:p>
  </w:footnote>
  <w:footnote w:id="2">
    <w:p w:rsidR="00260855" w:rsidRPr="00A5437C" w:rsidRDefault="00260855" w:rsidP="00A5437C">
      <w:pPr>
        <w:pStyle w:val="FootnoteText"/>
        <w:ind w:left="567" w:hanging="567"/>
        <w:rPr>
          <w:sz w:val="24"/>
          <w:lang w:val="lt-LT"/>
        </w:rPr>
      </w:pPr>
      <w:r w:rsidRPr="00A5437C">
        <w:rPr>
          <w:rStyle w:val="FootnoteReference"/>
          <w:sz w:val="24"/>
          <w:lang w:val="lt-LT"/>
        </w:rPr>
        <w:footnoteRef/>
      </w:r>
      <w:r w:rsidR="00A5437C" w:rsidRPr="00A5437C">
        <w:rPr>
          <w:sz w:val="24"/>
          <w:lang w:val="lt-LT"/>
        </w:rPr>
        <w:t xml:space="preserve"> </w:t>
      </w:r>
      <w:r w:rsidR="00A5437C" w:rsidRPr="00A5437C">
        <w:rPr>
          <w:sz w:val="24"/>
          <w:lang w:val="lt-LT"/>
        </w:rPr>
        <w:tab/>
      </w:r>
      <w:r w:rsidRPr="00A5437C">
        <w:rPr>
          <w:sz w:val="24"/>
          <w:lang w:val="lt-LT"/>
        </w:rPr>
        <w:t>OL C, C/2023/2, 2023 10 12.</w:t>
      </w:r>
    </w:p>
  </w:footnote>
  <w:footnote w:id="3">
    <w:p w:rsidR="00260855" w:rsidRPr="00A5437C" w:rsidRDefault="00260855" w:rsidP="00A5437C">
      <w:pPr>
        <w:pStyle w:val="FootnoteText"/>
        <w:ind w:left="567" w:hanging="567"/>
        <w:rPr>
          <w:sz w:val="24"/>
          <w:lang w:val="lt-LT"/>
        </w:rPr>
      </w:pPr>
      <w:r w:rsidRPr="00A5437C">
        <w:rPr>
          <w:rStyle w:val="FootnoteReference"/>
          <w:sz w:val="24"/>
          <w:lang w:val="lt-LT"/>
        </w:rPr>
        <w:footnoteRef/>
      </w:r>
      <w:r w:rsidR="00A5437C" w:rsidRPr="00A5437C">
        <w:rPr>
          <w:sz w:val="24"/>
          <w:lang w:val="lt-LT"/>
        </w:rPr>
        <w:t xml:space="preserve"> </w:t>
      </w:r>
      <w:r w:rsidR="00A5437C" w:rsidRPr="00A5437C">
        <w:rPr>
          <w:sz w:val="24"/>
          <w:lang w:val="lt-LT"/>
        </w:rPr>
        <w:tab/>
      </w:r>
      <w:r w:rsidRPr="00A5437C">
        <w:rPr>
          <w:sz w:val="24"/>
          <w:lang w:val="lt-LT"/>
        </w:rPr>
        <w:t>OL C, C/2023/103, 2023 10 4.</w:t>
      </w:r>
    </w:p>
  </w:footnote>
  <w:footnote w:id="4">
    <w:p w:rsidR="00260855" w:rsidRPr="00A5437C" w:rsidRDefault="00260855" w:rsidP="00A5437C">
      <w:pPr>
        <w:pStyle w:val="FootnoteText"/>
        <w:ind w:left="567" w:hanging="567"/>
        <w:rPr>
          <w:sz w:val="24"/>
          <w:lang w:val="lt-LT"/>
        </w:rPr>
      </w:pPr>
      <w:r w:rsidRPr="00A5437C">
        <w:rPr>
          <w:rStyle w:val="FootnoteReference"/>
          <w:sz w:val="24"/>
          <w:lang w:val="lt-LT"/>
        </w:rPr>
        <w:footnoteRef/>
      </w:r>
      <w:r w:rsidR="00A5437C" w:rsidRPr="00A5437C">
        <w:rPr>
          <w:sz w:val="24"/>
          <w:lang w:val="lt-LT"/>
        </w:rPr>
        <w:t xml:space="preserve"> </w:t>
      </w:r>
      <w:r w:rsidR="00A5437C" w:rsidRPr="00A5437C">
        <w:rPr>
          <w:sz w:val="24"/>
          <w:lang w:val="lt-LT"/>
        </w:rPr>
        <w:tab/>
      </w:r>
      <w:r w:rsidRPr="00A5437C">
        <w:rPr>
          <w:sz w:val="24"/>
          <w:lang w:val="lt-LT"/>
        </w:rPr>
        <w:t>OL C, C/2023/112, 2023 10 12.</w:t>
      </w:r>
    </w:p>
  </w:footnote>
  <w:footnote w:id="5">
    <w:p w:rsidR="00260855" w:rsidRPr="00A5437C" w:rsidRDefault="00260855" w:rsidP="00A5437C">
      <w:pPr>
        <w:pStyle w:val="FootnoteText"/>
        <w:ind w:left="567" w:hanging="567"/>
        <w:rPr>
          <w:sz w:val="24"/>
          <w:szCs w:val="24"/>
          <w:lang w:val="lt-LT"/>
        </w:rPr>
      </w:pPr>
      <w:r w:rsidRPr="00A5437C">
        <w:rPr>
          <w:rStyle w:val="FootnoteReference"/>
          <w:sz w:val="24"/>
          <w:lang w:val="lt-LT"/>
        </w:rPr>
        <w:footnoteRef/>
      </w:r>
      <w:r w:rsidR="00A5437C" w:rsidRPr="00A5437C">
        <w:rPr>
          <w:sz w:val="24"/>
          <w:lang w:val="lt-LT"/>
        </w:rPr>
        <w:t xml:space="preserve"> </w:t>
      </w:r>
      <w:r w:rsidR="00A5437C" w:rsidRPr="00A5437C">
        <w:rPr>
          <w:sz w:val="24"/>
          <w:lang w:val="lt-LT"/>
        </w:rPr>
        <w:tab/>
      </w:r>
      <w:r w:rsidRPr="00A5437C">
        <w:rPr>
          <w:sz w:val="24"/>
          <w:lang w:val="lt-LT"/>
        </w:rPr>
        <w:t>OL L 193, 2018 7 30, p. 1.</w:t>
      </w:r>
    </w:p>
  </w:footnote>
  <w:footnote w:id="6">
    <w:p w:rsidR="00260855" w:rsidRPr="00A5437C" w:rsidRDefault="00260855" w:rsidP="00A5437C">
      <w:pPr>
        <w:pStyle w:val="FootnoteText"/>
        <w:ind w:left="567" w:hanging="567"/>
        <w:rPr>
          <w:sz w:val="24"/>
          <w:lang w:val="lt-LT"/>
        </w:rPr>
      </w:pPr>
      <w:r w:rsidRPr="00A5437C">
        <w:rPr>
          <w:rStyle w:val="FootnoteReference"/>
          <w:sz w:val="24"/>
          <w:lang w:val="lt-LT"/>
        </w:rPr>
        <w:footnoteRef/>
      </w:r>
      <w:r w:rsidR="00A5437C" w:rsidRPr="00A5437C">
        <w:rPr>
          <w:sz w:val="24"/>
          <w:lang w:val="lt-LT"/>
        </w:rPr>
        <w:t xml:space="preserve"> </w:t>
      </w:r>
      <w:r w:rsidR="00A5437C" w:rsidRPr="00A5437C">
        <w:rPr>
          <w:sz w:val="24"/>
          <w:lang w:val="lt-LT"/>
        </w:rPr>
        <w:tab/>
      </w:r>
      <w:r w:rsidRPr="00A5437C">
        <w:rPr>
          <w:sz w:val="24"/>
          <w:lang w:val="lt-LT"/>
        </w:rPr>
        <w:t>2022 m. birželio 8 d. Europos Parlamento ir Tarybos reglamentas (ES) 2022/991, kuriuo iš dalies keičiamas Reglamentas (ES) 2016/794, kiek tai susiję su Europolo bendradarbiavimu su privačiais subjektais, Europolo atliekamu asmens duomenų tvarkymu padedant atlikti nusikalstamų veikų tyrimus ir Europolo vaidmeniu mokslinių tyrimų ir inovacijų srityje (OL L 169, 2022 6 27, p. 1).</w:t>
      </w:r>
    </w:p>
  </w:footnote>
  <w:footnote w:id="7">
    <w:p w:rsidR="00260855" w:rsidRPr="00A5437C" w:rsidRDefault="00260855" w:rsidP="00A5437C">
      <w:pPr>
        <w:pStyle w:val="FootnoteText"/>
        <w:ind w:left="567" w:hanging="567"/>
        <w:rPr>
          <w:sz w:val="24"/>
          <w:lang w:val="lt-LT"/>
        </w:rPr>
      </w:pPr>
      <w:r w:rsidRPr="00A5437C">
        <w:rPr>
          <w:rStyle w:val="FootnoteReference"/>
          <w:sz w:val="24"/>
          <w:lang w:val="lt-LT"/>
        </w:rPr>
        <w:footnoteRef/>
      </w:r>
      <w:r w:rsidR="00A5437C" w:rsidRPr="00A5437C">
        <w:rPr>
          <w:sz w:val="24"/>
          <w:lang w:val="lt-LT"/>
        </w:rPr>
        <w:t xml:space="preserve"> </w:t>
      </w:r>
      <w:r w:rsidR="00A5437C" w:rsidRPr="00A5437C">
        <w:rPr>
          <w:sz w:val="24"/>
          <w:lang w:val="lt-LT"/>
        </w:rPr>
        <w:tab/>
      </w:r>
      <w:r w:rsidRPr="00A5437C">
        <w:rPr>
          <w:sz w:val="24"/>
          <w:lang w:val="lt-LT"/>
        </w:rPr>
        <w:t>2016 m. gegužės 11 d. Europos Parlamento ir Tarybos reglamentas (ES) 2016/794 dėl Europos Sąjungos teisėsaugos bendradarbiavimo agentūros (Europolo), kuriuo pakeičiami ir panaikinami Tarybos sprendimai 2009/371/TVR, 2009/934/TVR, 2009/935/TVR, 2009/936/TVR ir 2009/968/TVR (OL L 135, 2016 5 24, p. 53).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543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LT"/>
    <w:docVar w:name="dvnumam" w:val="0"/>
    <w:docVar w:name="dvpe" w:val="753.487"/>
    <w:docVar w:name="dvrapporteur" w:val="Pranešėjas: "/>
    <w:docVar w:name="dvtitre" w:val="Europos Parlamento sprendimas dėl 2022 finansinių metų Europos Sąjungos bendrojo biudžeto įvykdymo patvirtinimo, IX skirsnis – Europos duomenų apsaugos priežiūros pareigūnas(2023/2138(DEC))"/>
  </w:docVars>
  <w:rsids>
    <w:rsidRoot w:val="003867AB"/>
    <w:rsid w:val="00002272"/>
    <w:rsid w:val="00064002"/>
    <w:rsid w:val="000677B9"/>
    <w:rsid w:val="000831BA"/>
    <w:rsid w:val="000A42CC"/>
    <w:rsid w:val="000E7DD9"/>
    <w:rsid w:val="0010095E"/>
    <w:rsid w:val="00125B37"/>
    <w:rsid w:val="00177320"/>
    <w:rsid w:val="00187494"/>
    <w:rsid w:val="001F32AE"/>
    <w:rsid w:val="00260855"/>
    <w:rsid w:val="002767FF"/>
    <w:rsid w:val="002B18FE"/>
    <w:rsid w:val="002B5493"/>
    <w:rsid w:val="00343214"/>
    <w:rsid w:val="00361C00"/>
    <w:rsid w:val="003867A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E2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8DD"/>
    <w:rsid w:val="00930C23"/>
    <w:rsid w:val="0093193B"/>
    <w:rsid w:val="009509D8"/>
    <w:rsid w:val="00950B64"/>
    <w:rsid w:val="00981893"/>
    <w:rsid w:val="00A1687D"/>
    <w:rsid w:val="00A43E52"/>
    <w:rsid w:val="00A4678D"/>
    <w:rsid w:val="00A5437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622A4"/>
  <w15:chartTrackingRefBased/>
  <w15:docId w15:val="{033413CF-0FF8-4ED1-B5A7-CAE1DCA73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6085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60855"/>
    <w:pPr>
      <w:spacing w:before="480" w:after="240"/>
    </w:pPr>
  </w:style>
  <w:style w:type="paragraph" w:customStyle="1" w:styleId="PageHeading">
    <w:name w:val="PageHeading"/>
    <w:basedOn w:val="Normal"/>
    <w:rsid w:val="00260855"/>
    <w:pPr>
      <w:keepNext/>
      <w:spacing w:after="480"/>
      <w:jc w:val="center"/>
    </w:pPr>
    <w:rPr>
      <w:rFonts w:ascii="Arial" w:hAnsi="Arial" w:cs="Arial"/>
      <w:b/>
    </w:rPr>
  </w:style>
  <w:style w:type="paragraph" w:customStyle="1" w:styleId="NormalBold">
    <w:name w:val="NormalBold"/>
    <w:basedOn w:val="Normal"/>
    <w:rsid w:val="00260855"/>
    <w:rPr>
      <w:b/>
    </w:rPr>
  </w:style>
  <w:style w:type="paragraph" w:customStyle="1" w:styleId="NormalHanging12a">
    <w:name w:val="NormalHanging12a"/>
    <w:basedOn w:val="Normal"/>
    <w:link w:val="NormalHanging12aChar"/>
    <w:qFormat/>
    <w:rsid w:val="00260855"/>
    <w:pPr>
      <w:spacing w:after="240"/>
      <w:ind w:left="567" w:hanging="567"/>
    </w:pPr>
  </w:style>
  <w:style w:type="paragraph" w:styleId="Header">
    <w:name w:val="header"/>
    <w:basedOn w:val="Normal"/>
    <w:link w:val="HeaderChar"/>
    <w:rsid w:val="00260855"/>
    <w:pPr>
      <w:tabs>
        <w:tab w:val="center" w:pos="4513"/>
        <w:tab w:val="right" w:pos="9026"/>
      </w:tabs>
    </w:pPr>
  </w:style>
  <w:style w:type="character" w:customStyle="1" w:styleId="HeaderChar">
    <w:name w:val="Header Char"/>
    <w:basedOn w:val="DefaultParagraphFont"/>
    <w:link w:val="Header"/>
    <w:rsid w:val="00260855"/>
    <w:rPr>
      <w:sz w:val="24"/>
      <w:lang w:val="lt-LT"/>
    </w:rPr>
  </w:style>
  <w:style w:type="paragraph" w:customStyle="1" w:styleId="EPFooter">
    <w:name w:val="EPFooter"/>
    <w:basedOn w:val="Normal"/>
    <w:rsid w:val="0026085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60855"/>
    <w:rPr>
      <w:sz w:val="24"/>
      <w:lang w:val="lt-LT"/>
    </w:rPr>
  </w:style>
  <w:style w:type="paragraph" w:customStyle="1" w:styleId="Normal24a">
    <w:name w:val="Normal24a"/>
    <w:basedOn w:val="Normal"/>
    <w:rsid w:val="00260855"/>
    <w:pPr>
      <w:spacing w:after="480"/>
    </w:pPr>
  </w:style>
  <w:style w:type="paragraph" w:customStyle="1" w:styleId="NormalBoldCenter">
    <w:name w:val="NormalBoldCenter"/>
    <w:basedOn w:val="Normal"/>
    <w:rsid w:val="00260855"/>
    <w:pPr>
      <w:jc w:val="center"/>
    </w:pPr>
    <w:rPr>
      <w:b/>
    </w:rPr>
  </w:style>
  <w:style w:type="paragraph" w:customStyle="1" w:styleId="Normal12a">
    <w:name w:val="Normal12a"/>
    <w:basedOn w:val="Normal"/>
    <w:rsid w:val="00260855"/>
    <w:pPr>
      <w:spacing w:after="240"/>
    </w:pPr>
  </w:style>
  <w:style w:type="paragraph" w:customStyle="1" w:styleId="PageHeadingNotTOC">
    <w:name w:val="PageHeadingNotTOC"/>
    <w:basedOn w:val="Normal"/>
    <w:rsid w:val="00260855"/>
    <w:pPr>
      <w:keepNext/>
      <w:spacing w:after="480"/>
      <w:jc w:val="center"/>
    </w:pPr>
    <w:rPr>
      <w:rFonts w:ascii="Arial" w:hAnsi="Arial" w:cs="Arial"/>
      <w:b/>
    </w:rPr>
  </w:style>
  <w:style w:type="paragraph" w:styleId="Footer">
    <w:name w:val="footer"/>
    <w:basedOn w:val="Normal"/>
    <w:link w:val="FooterChar"/>
    <w:rsid w:val="00177320"/>
    <w:pPr>
      <w:tabs>
        <w:tab w:val="center" w:pos="4513"/>
        <w:tab w:val="right" w:pos="9026"/>
      </w:tabs>
    </w:pPr>
  </w:style>
  <w:style w:type="character" w:customStyle="1" w:styleId="FooterChar">
    <w:name w:val="Footer Char"/>
    <w:basedOn w:val="DefaultParagraphFont"/>
    <w:link w:val="Footer"/>
    <w:rsid w:val="0017732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F19C2-7F68-4644-848F-E2F1F923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3844</Words>
  <Characters>25430</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2024-03-25T19:28:00Z</dcterms:created>
  <dcterms:modified xsi:type="dcterms:W3CDTF">2024-04-11T12:08:00Z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A9-0086/2024</vt:lpwstr>
  </property>
  <property fmtid="{D5CDD505-2E9C-101B-9397-08002B2CF9AE}" pid="4" name="&lt;Type&gt;">
    <vt:lpwstr>RR</vt:lpwstr>
  </property>
</Properties>
</file>