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B31C6" w:rsidTr="0010095E">
        <w:trPr>
          <w:trHeight w:hRule="exact" w:val="1418"/>
        </w:trPr>
        <w:tc>
          <w:tcPr>
            <w:tcW w:w="6804" w:type="dxa"/>
            <w:shd w:val="clear" w:color="auto" w:fill="auto"/>
            <w:vAlign w:val="center"/>
          </w:tcPr>
          <w:p w:rsidR="00751A4A" w:rsidRPr="00EB31C6" w:rsidRDefault="003557DF" w:rsidP="0010095E">
            <w:pPr>
              <w:pStyle w:val="EPName"/>
            </w:pPr>
            <w:r w:rsidRPr="00EB31C6">
              <w:t>Eiropas Parlaments</w:t>
            </w:r>
          </w:p>
          <w:p w:rsidR="00751A4A" w:rsidRPr="00EB31C6" w:rsidRDefault="00817416" w:rsidP="00756632">
            <w:pPr>
              <w:pStyle w:val="EPTerm"/>
              <w:rPr>
                <w:rStyle w:val="HideTWBExt"/>
                <w:noProof w:val="0"/>
                <w:vanish w:val="0"/>
                <w:color w:val="auto"/>
              </w:rPr>
            </w:pPr>
            <w:r w:rsidRPr="00EB31C6">
              <w:t>2019-2024</w:t>
            </w:r>
          </w:p>
        </w:tc>
        <w:tc>
          <w:tcPr>
            <w:tcW w:w="2268" w:type="dxa"/>
            <w:shd w:val="clear" w:color="auto" w:fill="auto"/>
          </w:tcPr>
          <w:p w:rsidR="00751A4A" w:rsidRPr="00EB31C6" w:rsidRDefault="00187494" w:rsidP="0010095E">
            <w:pPr>
              <w:pStyle w:val="EPLogo"/>
            </w:pPr>
            <w:r w:rsidRPr="00EB31C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B31C6" w:rsidRDefault="00D058B8" w:rsidP="004C5D52">
      <w:pPr>
        <w:pStyle w:val="LineTop"/>
      </w:pPr>
    </w:p>
    <w:p w:rsidR="00680577" w:rsidRPr="00EB31C6" w:rsidRDefault="003557DF" w:rsidP="00680577">
      <w:pPr>
        <w:pStyle w:val="EPBodyTA1"/>
      </w:pPr>
      <w:r w:rsidRPr="00EB31C6">
        <w:t>PIEŅEMTIE TEKSTI</w:t>
      </w:r>
    </w:p>
    <w:p w:rsidR="00D058B8" w:rsidRPr="00EB31C6" w:rsidRDefault="00D058B8" w:rsidP="00D058B8">
      <w:pPr>
        <w:pStyle w:val="LineBottom"/>
      </w:pPr>
    </w:p>
    <w:p w:rsidR="003557DF" w:rsidRPr="00EB31C6" w:rsidRDefault="003557DF" w:rsidP="003557DF">
      <w:pPr>
        <w:pStyle w:val="ATHeading1"/>
      </w:pPr>
      <w:bookmarkStart w:id="0" w:name="TANumber"/>
      <w:r w:rsidRPr="00EB31C6">
        <w:t>P9_TA(2024)0</w:t>
      </w:r>
      <w:r w:rsidR="00EB31C6" w:rsidRPr="00EB31C6">
        <w:t>235</w:t>
      </w:r>
      <w:bookmarkEnd w:id="0"/>
    </w:p>
    <w:p w:rsidR="003557DF" w:rsidRPr="00EB31C6" w:rsidRDefault="002355E8" w:rsidP="003557DF">
      <w:pPr>
        <w:pStyle w:val="ATHeading2"/>
      </w:pPr>
      <w:bookmarkStart w:id="1" w:name="title"/>
      <w:r w:rsidRPr="00EB31C6">
        <w:t>ES 2022. finanšu gada vispārējā budžeta izpildes apstiprināšana: Eiropas Datu aizsardzības uzraudzītājs</w:t>
      </w:r>
      <w:bookmarkEnd w:id="1"/>
    </w:p>
    <w:p w:rsidR="003557DF" w:rsidRPr="00EB31C6" w:rsidRDefault="003557DF" w:rsidP="003557DF">
      <w:pPr>
        <w:rPr>
          <w:i/>
          <w:vanish/>
        </w:rPr>
      </w:pPr>
      <w:r w:rsidRPr="00EB31C6">
        <w:rPr>
          <w:i/>
        </w:rPr>
        <w:fldChar w:fldCharType="begin"/>
      </w:r>
      <w:r w:rsidRPr="00EB31C6">
        <w:rPr>
          <w:i/>
        </w:rPr>
        <w:instrText xml:space="preserve"> TC"(</w:instrText>
      </w:r>
      <w:bookmarkStart w:id="2" w:name="DocNumber"/>
      <w:r w:rsidRPr="00EB31C6">
        <w:rPr>
          <w:i/>
        </w:rPr>
        <w:instrText>A9-0086/2024</w:instrText>
      </w:r>
      <w:bookmarkEnd w:id="2"/>
      <w:r w:rsidRPr="00EB31C6">
        <w:rPr>
          <w:i/>
        </w:rPr>
        <w:instrText xml:space="preserve"> - Referents: Luke Ming Flanagan)"\l3 \n&gt; \* MERGEFORMAT </w:instrText>
      </w:r>
      <w:r w:rsidRPr="00EB31C6">
        <w:rPr>
          <w:i/>
        </w:rPr>
        <w:fldChar w:fldCharType="end"/>
      </w:r>
    </w:p>
    <w:p w:rsidR="003557DF" w:rsidRPr="00EB31C6" w:rsidRDefault="003557DF" w:rsidP="003557DF">
      <w:pPr>
        <w:rPr>
          <w:vanish/>
        </w:rPr>
      </w:pPr>
      <w:bookmarkStart w:id="3" w:name="Commission"/>
      <w:r w:rsidRPr="00EB31C6">
        <w:rPr>
          <w:vanish/>
        </w:rPr>
        <w:t>Budžeta kontroles komiteja</w:t>
      </w:r>
      <w:bookmarkEnd w:id="3"/>
    </w:p>
    <w:p w:rsidR="003557DF" w:rsidRPr="00EB31C6" w:rsidRDefault="003557DF" w:rsidP="003557DF">
      <w:pPr>
        <w:rPr>
          <w:vanish/>
        </w:rPr>
      </w:pPr>
      <w:bookmarkStart w:id="4" w:name="PE"/>
      <w:r w:rsidRPr="00EB31C6">
        <w:rPr>
          <w:vanish/>
        </w:rPr>
        <w:t>PE753.487</w:t>
      </w:r>
      <w:bookmarkEnd w:id="4"/>
    </w:p>
    <w:p w:rsidR="003557DF" w:rsidRPr="00EB31C6" w:rsidRDefault="002355E8" w:rsidP="003557DF">
      <w:pPr>
        <w:pStyle w:val="ATHeading3"/>
      </w:pPr>
      <w:bookmarkStart w:id="5" w:name="Sujet"/>
      <w:r w:rsidRPr="00EB31C6">
        <w:t>1. E</w:t>
      </w:r>
      <w:r w:rsidR="003557DF" w:rsidRPr="00EB31C6">
        <w:t xml:space="preserve">iropas Parlamenta 2024. gada </w:t>
      </w:r>
      <w:r w:rsidRPr="00EB31C6">
        <w:t>11. aprīļa</w:t>
      </w:r>
      <w:r w:rsidR="003557DF" w:rsidRPr="00EB31C6">
        <w:t xml:space="preserve"> lēmums par Eiropas Savienības 2022. finanšu gada vispārējā budžeta izpildes apstiprināšanu, IX iedaļa — Eiropas Datu aizsardzības uzraudzītājs</w:t>
      </w:r>
      <w:bookmarkEnd w:id="5"/>
      <w:r w:rsidR="003557DF" w:rsidRPr="00EB31C6">
        <w:t xml:space="preserve"> </w:t>
      </w:r>
      <w:bookmarkStart w:id="6" w:name="References"/>
      <w:r w:rsidR="003557DF" w:rsidRPr="00EB31C6">
        <w:t>(2023/2138(DEC))</w:t>
      </w:r>
      <w:bookmarkEnd w:id="6"/>
    </w:p>
    <w:p w:rsidR="008415C0" w:rsidRPr="00EB31C6" w:rsidRDefault="008415C0" w:rsidP="008415C0">
      <w:pPr>
        <w:pStyle w:val="NormalBold"/>
      </w:pPr>
      <w:bookmarkStart w:id="7" w:name="TextBodyBegin"/>
      <w:bookmarkEnd w:id="7"/>
    </w:p>
    <w:p w:rsidR="008415C0" w:rsidRPr="00EB31C6" w:rsidRDefault="008415C0" w:rsidP="008415C0">
      <w:pPr>
        <w:pStyle w:val="EPComma"/>
      </w:pPr>
      <w:r w:rsidRPr="00EB31C6">
        <w:rPr>
          <w:i/>
        </w:rPr>
        <w:t>Eiropas Parlaments</w:t>
      </w:r>
      <w:r w:rsidRPr="00EB31C6">
        <w:t>,</w:t>
      </w:r>
    </w:p>
    <w:p w:rsidR="008415C0" w:rsidRPr="00EB31C6" w:rsidRDefault="008415C0" w:rsidP="008415C0">
      <w:pPr>
        <w:pStyle w:val="NormalHanging12a"/>
      </w:pPr>
      <w:r w:rsidRPr="00EB31C6">
        <w:t>–</w:t>
      </w:r>
      <w:r w:rsidRPr="00EB31C6">
        <w:tab/>
        <w:t>ņemot vērā Eiropas Savienības 2022. finanšu gada vispārējo budžetu</w:t>
      </w:r>
      <w:r w:rsidRPr="00EB31C6">
        <w:rPr>
          <w:rStyle w:val="FootnoteReference"/>
        </w:rPr>
        <w:footnoteReference w:id="1"/>
      </w:r>
      <w:r w:rsidRPr="00EB31C6">
        <w:t>,</w:t>
      </w:r>
    </w:p>
    <w:p w:rsidR="008415C0" w:rsidRPr="00EB31C6" w:rsidRDefault="008415C0" w:rsidP="008415C0">
      <w:pPr>
        <w:pStyle w:val="NormalHanging12a"/>
      </w:pPr>
      <w:r w:rsidRPr="00EB31C6">
        <w:t>–</w:t>
      </w:r>
      <w:r w:rsidRPr="00EB31C6">
        <w:tab/>
        <w:t>ņemot vērā Eiropas Savienības konsolidētos pārskatus par 2022. finanšu gadu (COM(2023)0391 – C9</w:t>
      </w:r>
      <w:r w:rsidRPr="00EB31C6">
        <w:noBreakHyphen/>
        <w:t>0257/2023)</w:t>
      </w:r>
      <w:r w:rsidRPr="00EB31C6">
        <w:rPr>
          <w:rStyle w:val="FootnoteReference"/>
        </w:rPr>
        <w:footnoteReference w:id="2"/>
      </w:r>
      <w:r w:rsidRPr="00EB31C6">
        <w:t>,</w:t>
      </w:r>
    </w:p>
    <w:p w:rsidR="008415C0" w:rsidRPr="00EB31C6" w:rsidRDefault="008415C0" w:rsidP="008415C0">
      <w:pPr>
        <w:pStyle w:val="NormalHanging12a"/>
      </w:pPr>
      <w:r w:rsidRPr="00EB31C6">
        <w:t>–</w:t>
      </w:r>
      <w:r w:rsidRPr="00EB31C6">
        <w:tab/>
        <w:t>ņemot vērā Eiropas Datu aizsardzības uzraudzītāja 2022. gada pārskatu,</w:t>
      </w:r>
    </w:p>
    <w:p w:rsidR="008415C0" w:rsidRPr="00EB31C6" w:rsidRDefault="008415C0" w:rsidP="008415C0">
      <w:pPr>
        <w:pStyle w:val="NormalHanging12a"/>
      </w:pPr>
      <w:r w:rsidRPr="00EB31C6">
        <w:t>–</w:t>
      </w:r>
      <w:r w:rsidRPr="00EB31C6">
        <w:tab/>
        <w:t>ņemot vērā Revīzijas palātas pārskatu par budžeta izpildi 2022. finanšu gadā un iestāžu atbildes</w:t>
      </w:r>
      <w:r w:rsidRPr="00EB31C6">
        <w:rPr>
          <w:rStyle w:val="FootnoteReference"/>
        </w:rPr>
        <w:footnoteReference w:id="3"/>
      </w:r>
      <w:r w:rsidRPr="00EB31C6">
        <w:t>,</w:t>
      </w:r>
    </w:p>
    <w:p w:rsidR="008415C0" w:rsidRPr="00EB31C6" w:rsidRDefault="008415C0" w:rsidP="008415C0">
      <w:pPr>
        <w:pStyle w:val="NormalHanging12a"/>
      </w:pPr>
      <w:r w:rsidRPr="00EB31C6">
        <w:t>–</w:t>
      </w:r>
      <w:r w:rsidRPr="00EB31C6">
        <w:tab/>
        <w:t>ņemot vērā deklarāciju</w:t>
      </w:r>
      <w:r w:rsidRPr="00EB31C6">
        <w:rPr>
          <w:rStyle w:val="FootnoteReference"/>
        </w:rPr>
        <w:footnoteReference w:id="4"/>
      </w:r>
      <w:r w:rsidRPr="00EB31C6">
        <w:t xml:space="preserve"> par pārskatu ticamību, kā arī par pakārtoto darījumu likumību un pareizību, kuru Revīzijas palāta sniegusi par 2022. finanšu gadu saskaņā ar Līguma par Eiropas Savienības darbību 287. pantu,</w:t>
      </w:r>
    </w:p>
    <w:p w:rsidR="008415C0" w:rsidRPr="00EB31C6" w:rsidRDefault="008415C0" w:rsidP="008415C0">
      <w:pPr>
        <w:pStyle w:val="NormalHanging12a"/>
      </w:pPr>
      <w:r w:rsidRPr="00EB31C6">
        <w:t>–</w:t>
      </w:r>
      <w:r w:rsidRPr="00EB31C6">
        <w:tab/>
        <w:t>ņemot vērā Līguma par Eiropas Savienības darbību 314. panta 10. punktu, kā arī 317., 318. un 319. pantu,</w:t>
      </w:r>
    </w:p>
    <w:p w:rsidR="008415C0" w:rsidRPr="00EB31C6" w:rsidRDefault="008415C0" w:rsidP="008415C0">
      <w:pPr>
        <w:pStyle w:val="NormalHanging12a"/>
      </w:pPr>
      <w:r w:rsidRPr="00EB31C6">
        <w:t>–</w:t>
      </w:r>
      <w:r w:rsidRPr="00EB31C6">
        <w:tab/>
        <w:t xml:space="preserve">ņemot vērā Eiropas Parlamenta un Padomes 2018. gada 18. jūlija Regulu (ES, </w:t>
      </w:r>
      <w:r w:rsidRPr="00EB31C6">
        <w:rPr>
          <w:i/>
        </w:rPr>
        <w:t>Euratom</w:t>
      </w:r>
      <w:r w:rsidRPr="00EB31C6">
        <w:t xml:space="preserve">) 2018/1046 par finanšu noteikumiem, ko piemēro Savienības vispārējam budžetam, ar kuru groza Regulas (ES) Nr. 1296/2013, (ES) Nr. 1301/2013, (ES) Nr. 1303/2013, (ES) Nr. 1304/2013, (ES) Nr. 1309/2013, (ES) Nr. 1316/2013, (ES) Nr. 223/2014, (ES) </w:t>
      </w:r>
      <w:r w:rsidRPr="00EB31C6">
        <w:lastRenderedPageBreak/>
        <w:t xml:space="preserve">Nr. 283/2014 un Lēmumu Nr. 541/2014/ES un atceļ Regulu (ES, </w:t>
      </w:r>
      <w:r w:rsidRPr="00EB31C6">
        <w:rPr>
          <w:i/>
        </w:rPr>
        <w:t>Euratom</w:t>
      </w:r>
      <w:r w:rsidRPr="00EB31C6">
        <w:t>) Nr. 966/2012</w:t>
      </w:r>
      <w:r w:rsidRPr="00EB31C6">
        <w:rPr>
          <w:rStyle w:val="FootnoteReference"/>
        </w:rPr>
        <w:footnoteReference w:id="5"/>
      </w:r>
      <w:r w:rsidRPr="00EB31C6">
        <w:t>, un jo īpaši tās 59., 118., 260., 261. un 262. pantu,</w:t>
      </w:r>
    </w:p>
    <w:p w:rsidR="008415C0" w:rsidRPr="00EB31C6" w:rsidRDefault="008415C0" w:rsidP="008415C0">
      <w:pPr>
        <w:pStyle w:val="NormalHanging12a"/>
      </w:pPr>
      <w:r w:rsidRPr="00EB31C6">
        <w:t>–</w:t>
      </w:r>
      <w:r w:rsidRPr="00EB31C6">
        <w:tab/>
      </w:r>
      <w:r w:rsidRPr="00EB31C6">
        <w:rPr>
          <w:snapToGrid w:val="0"/>
        </w:rPr>
        <w:t>ņemot vērā Eiropas Parlamenta un Padomes 2018. gada 23. oktobra Regulu (ES) 2018/1725 par fizisku personu aizsardzību attiecībā uz personas datu apstrādi Savienības iestādēs, struktūrās, birojos un aģentūrās un par šādu datu brīvu apriti un ar ko atceļ Regulu (EK) Nr. 45/2001 un Lēmumu Nr. 1247/2002/EK, un jo īpaši tās 54. pantu,</w:t>
      </w:r>
    </w:p>
    <w:p w:rsidR="008415C0" w:rsidRPr="00EB31C6" w:rsidRDefault="008415C0" w:rsidP="008415C0">
      <w:pPr>
        <w:pStyle w:val="NormalHanging12a"/>
      </w:pPr>
      <w:r w:rsidRPr="00EB31C6">
        <w:t>–</w:t>
      </w:r>
      <w:r w:rsidRPr="00EB31C6">
        <w:tab/>
        <w:t>ņemot vērā Reglamenta 100. pantu un V pielikumu,</w:t>
      </w:r>
    </w:p>
    <w:p w:rsidR="008415C0" w:rsidRPr="00EB31C6" w:rsidRDefault="008415C0" w:rsidP="008415C0">
      <w:pPr>
        <w:pStyle w:val="NormalHanging12a"/>
      </w:pPr>
      <w:r w:rsidRPr="00EB31C6">
        <w:t>–</w:t>
      </w:r>
      <w:r w:rsidRPr="00EB31C6">
        <w:tab/>
        <w:t xml:space="preserve">ņemot vērā Pilsoņu brīvību, tieslietu un </w:t>
      </w:r>
      <w:proofErr w:type="spellStart"/>
      <w:r w:rsidRPr="00EB31C6">
        <w:t>iekšlietu</w:t>
      </w:r>
      <w:proofErr w:type="spellEnd"/>
      <w:r w:rsidRPr="00EB31C6">
        <w:t xml:space="preserve"> komitejas atzinumu,</w:t>
      </w:r>
    </w:p>
    <w:p w:rsidR="008415C0" w:rsidRPr="00EB31C6" w:rsidRDefault="008415C0" w:rsidP="008415C0">
      <w:pPr>
        <w:pStyle w:val="NormalHanging12a"/>
      </w:pPr>
      <w:r w:rsidRPr="00EB31C6">
        <w:t>–</w:t>
      </w:r>
      <w:r w:rsidRPr="00EB31C6">
        <w:tab/>
        <w:t>ņemot vērā Budžeta kontroles komitejas ziņojumu (A9-0086/2024),</w:t>
      </w:r>
    </w:p>
    <w:p w:rsidR="008415C0" w:rsidRPr="00EB31C6" w:rsidRDefault="008415C0" w:rsidP="008415C0">
      <w:pPr>
        <w:pStyle w:val="NormalHanging12a"/>
      </w:pPr>
      <w:r w:rsidRPr="00EB31C6">
        <w:t>1.</w:t>
      </w:r>
      <w:r w:rsidRPr="00EB31C6">
        <w:tab/>
        <w:t>sniedz Eiropas Datu aizsardzības uzraudzītājam apstiprinājumu par Eiropas Datu aizsardzības uzraudzītāja 2022. finanšu gada budžeta izpildi;</w:t>
      </w:r>
    </w:p>
    <w:p w:rsidR="008415C0" w:rsidRPr="00EB31C6" w:rsidRDefault="008415C0" w:rsidP="008415C0">
      <w:pPr>
        <w:pStyle w:val="NormalHanging12a"/>
      </w:pPr>
      <w:r w:rsidRPr="00EB31C6">
        <w:t>2.</w:t>
      </w:r>
      <w:r w:rsidRPr="00EB31C6">
        <w:tab/>
        <w:t>izklāsta savus konstatējumus turpmāk tekstā iekļautajā rezolūcijā;</w:t>
      </w:r>
    </w:p>
    <w:p w:rsidR="008415C0" w:rsidRPr="00EB31C6" w:rsidRDefault="008415C0" w:rsidP="008415C0">
      <w:pPr>
        <w:pStyle w:val="NormalHanging12a"/>
      </w:pPr>
      <w:r w:rsidRPr="00EB31C6">
        <w:t>3.</w:t>
      </w:r>
      <w:r w:rsidRPr="00EB31C6">
        <w:tab/>
        <w:t xml:space="preserve">uzdod priekšsēdētājai šo lēmumu un rezolūciju, kas ir tā neatņemama daļa, nosūtīt Eiropas Datu aizsardzības uzraudzītājam, Eiropadomei, Padomei, Komisijai, Revīzijas palātai, Eiropas Savienības Tiesai, Eiropas </w:t>
      </w:r>
      <w:proofErr w:type="spellStart"/>
      <w:r w:rsidRPr="00EB31C6">
        <w:t>Ombudam</w:t>
      </w:r>
      <w:proofErr w:type="spellEnd"/>
      <w:r w:rsidRPr="00EB31C6">
        <w:t xml:space="preserve"> un Eiropas Ārējās darbības dienestam un nodrošināt to publicēšanu </w:t>
      </w:r>
      <w:r w:rsidRPr="00EB31C6">
        <w:rPr>
          <w:i/>
          <w:iCs/>
        </w:rPr>
        <w:t>Eiropas Savienības Oficiālajā Vēstnesī</w:t>
      </w:r>
      <w:r w:rsidRPr="00EB31C6">
        <w:t xml:space="preserve"> (L sērijā).</w:t>
      </w:r>
    </w:p>
    <w:p w:rsidR="008415C0" w:rsidRPr="00EB31C6" w:rsidRDefault="008415C0" w:rsidP="008415C0"/>
    <w:p w:rsidR="008415C0" w:rsidRPr="00EB31C6" w:rsidRDefault="008415C0" w:rsidP="008415C0">
      <w:pPr>
        <w:pStyle w:val="PageHeading"/>
        <w:sectPr w:rsidR="008415C0" w:rsidRPr="00EB31C6" w:rsidSect="003A655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8415C0" w:rsidRPr="00EB31C6" w:rsidRDefault="002355E8" w:rsidP="008415C0">
      <w:pPr>
        <w:pStyle w:val="NormalBold"/>
      </w:pPr>
      <w:bookmarkStart w:id="8" w:name="_Toc161743164"/>
      <w:r w:rsidRPr="00EB31C6">
        <w:lastRenderedPageBreak/>
        <w:t xml:space="preserve">2. Eiropas Parlamenta 2024. gada 11. aprīļa rezolūcija </w:t>
      </w:r>
      <w:bookmarkEnd w:id="8"/>
      <w:r w:rsidR="008415C0" w:rsidRPr="00EB31C6">
        <w:t>ar konstatējumiem, kas ir neatņemama daļa no lēmuma par Eiropas Savienības 2022. finanšu gada vispārējā budžeta izpildes apstiprināšanu, IX iedaļa — Eiropas Datu aizsardzības uzraudzītājs</w:t>
      </w:r>
      <w:r w:rsidR="00F11B51">
        <w:t xml:space="preserve"> </w:t>
      </w:r>
      <w:r w:rsidR="008415C0" w:rsidRPr="00EB31C6">
        <w:t>(2023/2138(DEC))</w:t>
      </w:r>
    </w:p>
    <w:p w:rsidR="008415C0" w:rsidRPr="00EB31C6" w:rsidRDefault="008415C0" w:rsidP="008415C0">
      <w:pPr>
        <w:pStyle w:val="EPComma"/>
      </w:pPr>
      <w:r w:rsidRPr="00EB31C6">
        <w:rPr>
          <w:i/>
        </w:rPr>
        <w:t>Eiropas Parlaments</w:t>
      </w:r>
      <w:r w:rsidRPr="00EB31C6">
        <w:t>,</w:t>
      </w:r>
    </w:p>
    <w:p w:rsidR="008415C0" w:rsidRPr="00EB31C6" w:rsidRDefault="008415C0" w:rsidP="008415C0">
      <w:pPr>
        <w:pStyle w:val="NormalHanging12a"/>
        <w:rPr>
          <w:szCs w:val="24"/>
        </w:rPr>
      </w:pPr>
      <w:r w:rsidRPr="00EB31C6">
        <w:t>–</w:t>
      </w:r>
      <w:r w:rsidRPr="00EB31C6">
        <w:tab/>
        <w:t>ņemot vērā lēmumu par Eiropas Savienības 2022. finanšu gada vispārējā budžeta izpildes apstiprināšanu, IX iedaļa – Eiropas Datu aizsardzības uzraudzītājs,</w:t>
      </w:r>
    </w:p>
    <w:p w:rsidR="008415C0" w:rsidRPr="00EB31C6" w:rsidRDefault="008415C0" w:rsidP="008415C0">
      <w:pPr>
        <w:pStyle w:val="NormalHanging12a"/>
        <w:rPr>
          <w:szCs w:val="24"/>
        </w:rPr>
      </w:pPr>
      <w:r w:rsidRPr="00EB31C6">
        <w:t>–</w:t>
      </w:r>
      <w:r w:rsidRPr="00EB31C6">
        <w:tab/>
        <w:t>ņemot vērā Reglamenta 100. pantu un V pielikumu,</w:t>
      </w:r>
    </w:p>
    <w:p w:rsidR="008415C0" w:rsidRPr="00EB31C6" w:rsidRDefault="008415C0" w:rsidP="008415C0">
      <w:pPr>
        <w:pStyle w:val="NormalHanging12a"/>
        <w:rPr>
          <w:szCs w:val="24"/>
        </w:rPr>
      </w:pPr>
      <w:r w:rsidRPr="00EB31C6">
        <w:t>–</w:t>
      </w:r>
      <w:r w:rsidRPr="00EB31C6">
        <w:tab/>
        <w:t xml:space="preserve">ņemot vērā Pilsoņu brīvību, tieslietu un </w:t>
      </w:r>
      <w:proofErr w:type="spellStart"/>
      <w:r w:rsidRPr="00EB31C6">
        <w:t>iekšlietu</w:t>
      </w:r>
      <w:proofErr w:type="spellEnd"/>
      <w:r w:rsidRPr="00EB31C6">
        <w:t xml:space="preserve"> komitejas atzinumu,</w:t>
      </w:r>
    </w:p>
    <w:p w:rsidR="008415C0" w:rsidRPr="00EB31C6" w:rsidRDefault="008415C0" w:rsidP="008415C0">
      <w:pPr>
        <w:pStyle w:val="NormalHanging12a"/>
        <w:rPr>
          <w:szCs w:val="24"/>
        </w:rPr>
      </w:pPr>
      <w:r w:rsidRPr="00EB31C6">
        <w:t>–</w:t>
      </w:r>
      <w:r w:rsidRPr="00EB31C6">
        <w:tab/>
        <w:t>ņemot vērā Budžeta kontroles komitejas ziņojumu (A9-0086/2024),</w:t>
      </w:r>
    </w:p>
    <w:p w:rsidR="008415C0" w:rsidRPr="00EB31C6" w:rsidRDefault="008415C0" w:rsidP="008415C0">
      <w:pPr>
        <w:pStyle w:val="NormalHanging12a"/>
        <w:rPr>
          <w:szCs w:val="24"/>
        </w:rPr>
      </w:pPr>
      <w:r w:rsidRPr="00EB31C6">
        <w:t>A.</w:t>
      </w:r>
      <w:r w:rsidRPr="00EB31C6">
        <w:tab/>
        <w:t xml:space="preserve">tā kā saistībā ar budžeta izpildes apstiprināšanas procedūru budžeta izpildes </w:t>
      </w:r>
      <w:proofErr w:type="spellStart"/>
      <w:r w:rsidRPr="00EB31C6">
        <w:t>apstiprinātājiestāde</w:t>
      </w:r>
      <w:proofErr w:type="spellEnd"/>
      <w:r w:rsidRPr="00EB31C6">
        <w:t xml:space="preserve"> vēlas uzsvērt īpašo nozīmi, kāda ir Savienības iestāžu demokrātiskās leģitimitātes turpmākai stiprināšanai, uzlabojot </w:t>
      </w:r>
      <w:proofErr w:type="spellStart"/>
      <w:r w:rsidRPr="00EB31C6">
        <w:t>pārredzamību</w:t>
      </w:r>
      <w:proofErr w:type="spellEnd"/>
      <w:r w:rsidRPr="00EB31C6">
        <w:t xml:space="preserve"> un </w:t>
      </w:r>
      <w:proofErr w:type="spellStart"/>
      <w:r w:rsidRPr="00EB31C6">
        <w:t>pārskatatbildību</w:t>
      </w:r>
      <w:proofErr w:type="spellEnd"/>
      <w:r w:rsidRPr="00EB31C6">
        <w:t xml:space="preserve"> un īstenojot dzīvē uz sniegumu balstītu budžeta izstrādes koncepciju un cilvēkresursu labu pārvaldību;</w:t>
      </w:r>
    </w:p>
    <w:p w:rsidR="008415C0" w:rsidRPr="00EB31C6" w:rsidRDefault="008415C0" w:rsidP="008415C0">
      <w:pPr>
        <w:pStyle w:val="NormalHanging12a"/>
        <w:rPr>
          <w:szCs w:val="24"/>
        </w:rPr>
      </w:pPr>
      <w:r w:rsidRPr="00EB31C6">
        <w:t>B.</w:t>
      </w:r>
      <w:r w:rsidRPr="00EB31C6">
        <w:tab/>
        <w:t xml:space="preserve">tā kā datu aizsardzība ir viens no </w:t>
      </w:r>
      <w:proofErr w:type="spellStart"/>
      <w:r w:rsidRPr="00EB31C6">
        <w:t>pamattiesību</w:t>
      </w:r>
      <w:proofErr w:type="spellEnd"/>
      <w:r w:rsidRPr="00EB31C6">
        <w:t xml:space="preserve"> veidiem, to aizsargā Eiropas tiesību akti un tā ir iestrādāta Eiropas Savienības </w:t>
      </w:r>
      <w:proofErr w:type="spellStart"/>
      <w:r w:rsidRPr="00EB31C6">
        <w:t>Pamattiesību</w:t>
      </w:r>
      <w:proofErr w:type="spellEnd"/>
      <w:r w:rsidRPr="00EB31C6">
        <w:t xml:space="preserve"> hartas 8. pantā;</w:t>
      </w:r>
    </w:p>
    <w:p w:rsidR="008415C0" w:rsidRPr="00EB31C6" w:rsidRDefault="008415C0" w:rsidP="008415C0">
      <w:pPr>
        <w:pStyle w:val="NormalHanging12a"/>
        <w:rPr>
          <w:szCs w:val="24"/>
        </w:rPr>
      </w:pPr>
      <w:r w:rsidRPr="00EB31C6">
        <w:t>C.</w:t>
      </w:r>
      <w:r w:rsidRPr="00EB31C6">
        <w:tab/>
        <w:t>tā kā Līguma par Eiropas Savienības darbību 16. pantā ir noteikts, ka neatkarīga iestāde kontrolē, kā tiek ievēroti noteikumi par fizisko personu aizsardzību attiecībā uz viņu personas datu apstrādi;</w:t>
      </w:r>
    </w:p>
    <w:p w:rsidR="008415C0" w:rsidRPr="00EB31C6" w:rsidRDefault="008415C0" w:rsidP="008415C0">
      <w:pPr>
        <w:pStyle w:val="NormalHanging12a"/>
        <w:rPr>
          <w:szCs w:val="24"/>
        </w:rPr>
      </w:pPr>
      <w:r w:rsidRPr="00EB31C6">
        <w:t>D.</w:t>
      </w:r>
      <w:r w:rsidRPr="00EB31C6">
        <w:tab/>
        <w:t>tā kā Regulā (ES) 2018/1725 ir paredzēts izveidot šādu neatkarīgu iestādi – Eiropas Datu aizsardzības uzraudzītāju ("EDAU") –, kura atbild par tiesību uz datu aizsardzību un privātumu aizsardzību un garantēšanu un kuras uzdevums ir nodrošināt, lai Savienības iestādes un struktūras, biroji un aģentūras ievērotu stingru datu aizsardzības kultūru;</w:t>
      </w:r>
    </w:p>
    <w:p w:rsidR="008415C0" w:rsidRPr="00EB31C6" w:rsidRDefault="008415C0" w:rsidP="008415C0">
      <w:pPr>
        <w:pStyle w:val="NormalHanging12a"/>
        <w:rPr>
          <w:szCs w:val="24"/>
        </w:rPr>
      </w:pPr>
      <w:r w:rsidRPr="00EB31C6">
        <w:t>E.</w:t>
      </w:r>
      <w:r w:rsidRPr="00EB31C6">
        <w:tab/>
        <w:t xml:space="preserve">tā kā Uzraudzītājs savas funkcijas veic ciešā sadarbībā ar citām datu aizsardzības iestādēm, kas ir uzskatāmas par daļu no Eiropas Datu aizsardzības kolēģijas (EDAK), un kalpo sabiedrības interesēm, vadoties pēc objektivitātes, integritātes, </w:t>
      </w:r>
      <w:proofErr w:type="spellStart"/>
      <w:r w:rsidRPr="00EB31C6">
        <w:t>pārredzamības</w:t>
      </w:r>
      <w:proofErr w:type="spellEnd"/>
      <w:r w:rsidRPr="00EB31C6">
        <w:t xml:space="preserve"> un pragmatisma principiem;</w:t>
      </w:r>
    </w:p>
    <w:p w:rsidR="008415C0" w:rsidRPr="00EB31C6" w:rsidRDefault="008415C0" w:rsidP="008415C0">
      <w:pPr>
        <w:pStyle w:val="NormalHanging12a"/>
        <w:rPr>
          <w:szCs w:val="24"/>
        </w:rPr>
      </w:pPr>
      <w:r w:rsidRPr="00EB31C6">
        <w:t>F.</w:t>
      </w:r>
      <w:r w:rsidRPr="00EB31C6">
        <w:tab/>
        <w:t>tā kā līdz 2022. gada 13. novembrim EDAU deleģēja kredītrīkotāja pilnvaras direktoram un pēc tam administrācijas vadītājam saskaņā ar hartu, kurā izklāstīti uzdevumi un pienākumi attiecībā uz EDAU budžetu un pārvaldību un kura paredzēta Eiropas Parlamenta un Padomes Regulas (ES, Euratom) 2018/1046 72. panta 2. punktā, savukārt EDAU grāmatveža funkcijas veic Komisijas grāmatvedis saskaņā ar Eiropas Datu aizsardzības uzraudzītāja 2017. gada 1. marta Lēmumu,</w:t>
      </w:r>
    </w:p>
    <w:p w:rsidR="008415C0" w:rsidRPr="00EB31C6" w:rsidRDefault="008415C0" w:rsidP="008415C0">
      <w:pPr>
        <w:pStyle w:val="NormalHanging12a"/>
        <w:rPr>
          <w:szCs w:val="24"/>
        </w:rPr>
      </w:pPr>
      <w:r w:rsidRPr="00EB31C6">
        <w:t>1.</w:t>
      </w:r>
      <w:r w:rsidRPr="00EB31C6">
        <w:tab/>
        <w:t>norāda, ka EDAU budžets ietilpst DFS 7. izdevumu kategorijā “Eiropas publiskā pārvalde”, kuras kopējais apjoms 2022. gadā bija 11,6 miljardi EUR, t. i., 5,9 % no ES budžeta izdevumiem; norāda, ka EDAU budžets bija 0,17 % no DFS 7. izdevumu kategorijas apropriācijām;</w:t>
      </w:r>
    </w:p>
    <w:p w:rsidR="008415C0" w:rsidRPr="00EB31C6" w:rsidRDefault="008415C0" w:rsidP="008415C0">
      <w:pPr>
        <w:pStyle w:val="NormalHanging12a"/>
        <w:rPr>
          <w:szCs w:val="24"/>
        </w:rPr>
      </w:pPr>
      <w:r w:rsidRPr="00EB31C6">
        <w:t>2.</w:t>
      </w:r>
      <w:r w:rsidRPr="00EB31C6">
        <w:tab/>
        <w:t>norāda, ka Eiropas Revīzijas palāta ("Revīzijas palāta") savā gada pārskatā par 2022. finanšu gadu pārbaudīja 60 pārvaldes darījumu izlasi, kas ir tāds pats skaits kā 2021. gadā; turklāt norāda, ka Revīzijas palāta raksta, ka administratīvie izdevumi ietver izdevumus par cilvēkresursiem, tai skaitā izdevumus par pensijām, kas 2022. gadā veidoja aptuveni 70 % no kopējiem administratīvajiem izdevumiem, un izdevumus par ēkām, iekārtām, enerģiju, komunikācijām un informācijas tehnoloģijām, un ka tās darbs daudzu gadu garumā liecina, ka kopumā šie izdevumi ir zema riska izdevumi;</w:t>
      </w:r>
    </w:p>
    <w:p w:rsidR="008415C0" w:rsidRPr="00EB31C6" w:rsidRDefault="008415C0" w:rsidP="008415C0">
      <w:pPr>
        <w:pStyle w:val="NormalHanging12a"/>
        <w:rPr>
          <w:szCs w:val="24"/>
        </w:rPr>
      </w:pPr>
      <w:r w:rsidRPr="00EB31C6">
        <w:t>3.</w:t>
      </w:r>
      <w:r w:rsidRPr="00EB31C6">
        <w:tab/>
        <w:t xml:space="preserve">norāda, ka Revīzijas palāta 2022 .gada revīzijas ietvaros pārbaudīja EDAU pārraudzības un kontroles sistēmas, konkrēti, iekšējās kontroles standartu īstenošanu, riska pārvaldību un Finanšu regulā noteikto galveno kontroles mehānismu darbību, tai skaitā maksājumu </w:t>
      </w:r>
      <w:proofErr w:type="spellStart"/>
      <w:r w:rsidRPr="00EB31C6">
        <w:rPr>
          <w:i/>
          <w:iCs/>
        </w:rPr>
        <w:t>ex</w:t>
      </w:r>
      <w:proofErr w:type="spellEnd"/>
      <w:r w:rsidRPr="00EB31C6">
        <w:rPr>
          <w:i/>
          <w:iCs/>
        </w:rPr>
        <w:t> </w:t>
      </w:r>
      <w:proofErr w:type="spellStart"/>
      <w:r w:rsidRPr="00EB31C6">
        <w:rPr>
          <w:i/>
          <w:iCs/>
        </w:rPr>
        <w:t>ante</w:t>
      </w:r>
      <w:proofErr w:type="spellEnd"/>
      <w:r w:rsidRPr="00EB31C6">
        <w:t xml:space="preserve"> un </w:t>
      </w:r>
      <w:proofErr w:type="spellStart"/>
      <w:r w:rsidRPr="00EB31C6">
        <w:rPr>
          <w:i/>
          <w:iCs/>
        </w:rPr>
        <w:t>ex</w:t>
      </w:r>
      <w:proofErr w:type="spellEnd"/>
      <w:r w:rsidRPr="00EB31C6">
        <w:rPr>
          <w:i/>
          <w:iCs/>
        </w:rPr>
        <w:t> post</w:t>
      </w:r>
      <w:r w:rsidRPr="00EB31C6">
        <w:t xml:space="preserve"> kontroli;</w:t>
      </w:r>
    </w:p>
    <w:p w:rsidR="008415C0" w:rsidRPr="00EB31C6" w:rsidRDefault="008415C0" w:rsidP="008415C0">
      <w:pPr>
        <w:pStyle w:val="NormalHanging12a"/>
        <w:rPr>
          <w:szCs w:val="24"/>
        </w:rPr>
      </w:pPr>
      <w:r w:rsidRPr="00EB31C6">
        <w:t>4.</w:t>
      </w:r>
      <w:r w:rsidRPr="00EB31C6">
        <w:tab/>
        <w:t>norāda, ka 14 (23 %) no 60 darījumiem bija kļūdas, bet Revīzijas palāta, pamatojoties uz piecām skaitļos izteiktajām kļūdām, lēš, ka kļūdu līmenis ir zem būtiskuma sliekšņa;</w:t>
      </w:r>
    </w:p>
    <w:p w:rsidR="008415C0" w:rsidRPr="00EB31C6" w:rsidRDefault="008415C0" w:rsidP="008415C0">
      <w:pPr>
        <w:pStyle w:val="NormalHanging12a"/>
        <w:rPr>
          <w:szCs w:val="24"/>
        </w:rPr>
      </w:pPr>
      <w:r w:rsidRPr="00EB31C6">
        <w:t>5.</w:t>
      </w:r>
      <w:r w:rsidRPr="00EB31C6">
        <w:tab/>
        <w:t>ar gandarījumu norāda, ka Revīzijas palāta 2022. finanšu gada pārskatā ir norādījusi, ka tā nav konstatējusi nevienu konkrētu problēmu saistībā ar EDAU;</w:t>
      </w:r>
    </w:p>
    <w:p w:rsidR="008415C0" w:rsidRPr="00EB31C6" w:rsidRDefault="008415C0" w:rsidP="008415C0">
      <w:pPr>
        <w:pStyle w:val="NormalHanging12a"/>
        <w:rPr>
          <w:b/>
          <w:i/>
          <w:szCs w:val="24"/>
        </w:rPr>
      </w:pPr>
      <w:r w:rsidRPr="00EB31C6">
        <w:rPr>
          <w:b/>
          <w:i/>
        </w:rPr>
        <w:t>Budžeta un finanšu pārvaldība</w:t>
      </w:r>
    </w:p>
    <w:p w:rsidR="008415C0" w:rsidRPr="00EB31C6" w:rsidRDefault="008415C0" w:rsidP="008415C0">
      <w:pPr>
        <w:pStyle w:val="NormalHanging12a"/>
        <w:rPr>
          <w:szCs w:val="24"/>
        </w:rPr>
      </w:pPr>
      <w:r w:rsidRPr="00EB31C6">
        <w:t>6.</w:t>
      </w:r>
      <w:r w:rsidRPr="00EB31C6">
        <w:tab/>
        <w:t>norāda, ka EDAU galīgais pieņemtais budžets 2022. gadā bija 20 266 000 EUR, kas ir par 4,12 % vairāk nekā 2021. gadā; norāda, ka EDAU saņēma 50 000 EUR no piešķirtajiem ieņēmumiem saistībā ar pakalpojumiem, kas sniegti EBTA Uzraudzības iestādei, izmantojot pakalpojumu līmeņa vienošanos; norāda, ka EDAU budžets sedz arī Eiropas Datu aizsardzības kolēģijas ("Kolēģija") neatkarīgā sekretariāta darbu;</w:t>
      </w:r>
    </w:p>
    <w:p w:rsidR="008415C0" w:rsidRPr="00EB31C6" w:rsidRDefault="008415C0" w:rsidP="008415C0">
      <w:pPr>
        <w:pStyle w:val="NormalHanging12a"/>
        <w:rPr>
          <w:szCs w:val="24"/>
        </w:rPr>
      </w:pPr>
      <w:r w:rsidRPr="00EB31C6">
        <w:t>7.</w:t>
      </w:r>
      <w:r w:rsidRPr="00EB31C6">
        <w:tab/>
        <w:t>ar gandarījumu norāda, ka 2022. gadā budžeta izpildes līmenis bija 98 %, kas ir augstāks nekā iepriekšējā gadā, kad budžeta izpildes līmenis bija 86 %;</w:t>
      </w:r>
    </w:p>
    <w:p w:rsidR="008415C0" w:rsidRPr="00EB31C6" w:rsidRDefault="008415C0" w:rsidP="008415C0">
      <w:pPr>
        <w:pStyle w:val="NormalHanging12a"/>
        <w:rPr>
          <w:szCs w:val="24"/>
        </w:rPr>
      </w:pPr>
      <w:r w:rsidRPr="00EB31C6">
        <w:t>8.</w:t>
      </w:r>
      <w:r w:rsidRPr="00EB31C6">
        <w:tab/>
        <w:t>norāda, ka Krievijas agresijas karš pret Ukrainu radīja spiedienu uz EDAU budžetu, tai skaitā inflācijas pieauguma un algu korekciju veidā, ievērojami palielinot enerģijas izmaksas un preču un pakalpojumu izmaksas, izmantojot publisko iepirkumu un pakalpojumu līmeņa vienošanās ar citām iestādēm; atzinīgi vērtē 2022. gadā veikto iekšējo pārdali budžeta nodaļās, lai optimizētu budžeta izpildi;</w:t>
      </w:r>
    </w:p>
    <w:p w:rsidR="008415C0" w:rsidRPr="00EB31C6" w:rsidRDefault="008415C0" w:rsidP="008415C0">
      <w:pPr>
        <w:pStyle w:val="NormalHanging12a"/>
        <w:rPr>
          <w:szCs w:val="24"/>
        </w:rPr>
      </w:pPr>
      <w:r w:rsidRPr="00EB31C6">
        <w:t>9.</w:t>
      </w:r>
      <w:r w:rsidRPr="00EB31C6">
        <w:tab/>
        <w:t>norāda, ka vidējais maksājumu veikšanas laiks 2022. gadā bija 21,54 dienas, kas ir vairāk nekā 2021. gadā, kad vidējais laiks bija 19,98 dienas; atzinīgi vērtē jaunas elektroniskās maksājumu sistēmas ieviešanu, lai apstrādātu rēķinus, kas saistīti ar ceļojumu aģentūras iepriekš apmaksātām komandējumu izmaksām, un sagaidāms, ka šī sistēma, kad tā būs pilnībā sākusi darboties, palīdzēs samazināt laiku, kas nepieciešams maksājumu veikšanai; aicina EDAU apsvērt iespēju šo sistēmu attiecināt arī uz citiem maksājumu veidiem;</w:t>
      </w:r>
    </w:p>
    <w:p w:rsidR="008415C0" w:rsidRPr="00EB31C6" w:rsidRDefault="008415C0" w:rsidP="008415C0">
      <w:pPr>
        <w:pStyle w:val="NormalHanging12a"/>
        <w:rPr>
          <w:szCs w:val="24"/>
        </w:rPr>
      </w:pPr>
      <w:r w:rsidRPr="00EB31C6">
        <w:t>10.</w:t>
      </w:r>
      <w:r w:rsidRPr="00EB31C6">
        <w:tab/>
        <w:t>norāda, ka pēc COVID-19 pandēmijas, atsākoties ceļošanai, EDAU budžets personāla komandējumiem laikā no 2021. līdz 2022. gadam palielinājās no 41 000 EUR līdz 251 000 EUR, t. i., par 512 %; turklāt norāda, ka šajā kopējā budžetā EDAU bija atvēlēts īpašs Uzraudzītāja komandējumu budžets 33 000 EUR apmērā 2022. gadā salīdzinājumā ar 5000 EUR 2021. gadā, t.  i., palielinājums par 560 %; norāda, ka inflācijas pieaugums un ievērojamais enerģijas cenu pieaugums 2022. gadā, kas saistīts ar Krievijas agresijas karu pret Ukrainu, negatīvi ietekmēja lidojumu biļešu un viesnīcu cenas, tādējādi palielinot komandējumu izmaksas;</w:t>
      </w:r>
    </w:p>
    <w:p w:rsidR="008415C0" w:rsidRPr="00EB31C6" w:rsidRDefault="008415C0" w:rsidP="008415C0">
      <w:pPr>
        <w:pStyle w:val="NormalHanging12a"/>
        <w:rPr>
          <w:b/>
          <w:i/>
          <w:szCs w:val="24"/>
        </w:rPr>
      </w:pPr>
      <w:r w:rsidRPr="00EB31C6">
        <w:rPr>
          <w:b/>
          <w:i/>
        </w:rPr>
        <w:t>Iekšējā pārvaldība, sniegums un iekšējā kontrole</w:t>
      </w:r>
    </w:p>
    <w:p w:rsidR="008415C0" w:rsidRPr="00EB31C6" w:rsidRDefault="008415C0" w:rsidP="008415C0">
      <w:pPr>
        <w:pStyle w:val="NormalHanging12a"/>
        <w:rPr>
          <w:szCs w:val="24"/>
        </w:rPr>
      </w:pPr>
      <w:r w:rsidRPr="00EB31C6">
        <w:t>11.</w:t>
      </w:r>
      <w:r w:rsidRPr="00EB31C6">
        <w:tab/>
        <w:t xml:space="preserve">norāda, ka 2022. gadā EDAU veica stratēģijas 2020.–2024. gadam </w:t>
      </w:r>
      <w:proofErr w:type="spellStart"/>
      <w:r w:rsidRPr="00EB31C6">
        <w:t>vidusposma</w:t>
      </w:r>
      <w:proofErr w:type="spellEnd"/>
      <w:r w:rsidRPr="00EB31C6">
        <w:t xml:space="preserve"> pārskatīšanu, galveno uzmanību pievēršot trim pīlāriem — "Prognozēšana, rīcība un solidaritāte", nosakot EDAU pārorientētu redzējumu un prioritātes laikposmam no 2022. līdz 2024. gadam, lai "veidotu drošāku digitālo nākotni";</w:t>
      </w:r>
    </w:p>
    <w:p w:rsidR="008415C0" w:rsidRPr="00EB31C6" w:rsidRDefault="008415C0" w:rsidP="008415C0">
      <w:pPr>
        <w:pStyle w:val="NormalHanging12a"/>
        <w:rPr>
          <w:szCs w:val="24"/>
        </w:rPr>
      </w:pPr>
      <w:r w:rsidRPr="00EB31C6">
        <w:t>12.</w:t>
      </w:r>
      <w:r w:rsidRPr="00EB31C6">
        <w:tab/>
        <w:t>atzinīgi vērtē būtiskās organizatoriskās izmaiņas un attiecīgo EDAU reglamenta pārskatīšanu 2022. gadā, lai atbalstītu tā uzdevumu attīstību un uzlabotu tā procesu efektivitāti, ņemot vērā strauji mainīgo starptautisko vidi; norāda, ka, konkrēti, šo izmaiņu rezultātā EDAU izveidoja jaunu EDAU sekretariāta vadītāja amatu ģenerālsekretāra līmenī, īpašu juridiskā dienesta amatu, pārvaldības un iekšējās atbilstības nodrošināšanas sektoru, divus jaunus darbības sektorus uzraudzības un izpildes nodaļā, jaunu finanšu sektoru cilvēkresursu, budžeta un administrācijas nodaļā un biroju Strasbūrā;</w:t>
      </w:r>
    </w:p>
    <w:p w:rsidR="008415C0" w:rsidRPr="00EB31C6" w:rsidRDefault="008415C0" w:rsidP="008415C0">
      <w:pPr>
        <w:pStyle w:val="NormalHanging12a"/>
        <w:rPr>
          <w:szCs w:val="24"/>
        </w:rPr>
      </w:pPr>
      <w:r w:rsidRPr="00EB31C6">
        <w:t>13.</w:t>
      </w:r>
      <w:r w:rsidRPr="00EB31C6">
        <w:tab/>
        <w:t xml:space="preserve">norāda, ka 2022. gada 28. jūnijā, stājoties spēkā Eiropas Parlamenta un Padomes </w:t>
      </w:r>
      <w:bookmarkStart w:id="9" w:name="_GoBack"/>
      <w:bookmarkEnd w:id="9"/>
      <w:r w:rsidRPr="00EB31C6">
        <w:t>Regulai (ES) 2022/991</w:t>
      </w:r>
      <w:r w:rsidRPr="00EB31C6">
        <w:rPr>
          <w:szCs w:val="24"/>
          <w:vertAlign w:val="superscript"/>
        </w:rPr>
        <w:footnoteReference w:id="6"/>
      </w:r>
      <w:r w:rsidRPr="00EB31C6">
        <w:t>,ar kuru groza Eiropas Parlamenta un Padomes Regulu (ES) 2016/794</w:t>
      </w:r>
      <w:r w:rsidRPr="00EB31C6">
        <w:rPr>
          <w:szCs w:val="24"/>
          <w:vertAlign w:val="superscript"/>
        </w:rPr>
        <w:footnoteReference w:id="7"/>
      </w:r>
      <w:r w:rsidRPr="00EB31C6">
        <w:t xml:space="preserve">, ar ko izveido Eiropolu, tika nostiprinātas EDAU uzraudzības funkcijas attiecībā uz operatīvajiem personas datiem, ko Eiropols apstrādā savu pilnvaru ietvaros; norāda, ka 2022. gadā ieviestās organizatoriskās izmaiņas, it īpaši jaunas </w:t>
      </w:r>
      <w:proofErr w:type="spellStart"/>
      <w:r w:rsidRPr="00EB31C6">
        <w:t>apakšnozares</w:t>
      </w:r>
      <w:proofErr w:type="spellEnd"/>
      <w:r w:rsidRPr="00EB31C6">
        <w:t xml:space="preserve"> izveide Uzraudzības un izpildes nodaļā ar specializētu personālu, bija vērstas it īpaši uz to, lai atspoguļotu EDAU īpašās pilnvaras saistībā ar brīvības, drošības un tiesiskuma telpas ("BDTT") aģentūru uzraudzību, ņemot vērā arī jaunās EDAU uzraudzības pilnvaras attiecībā uz Eiropolu; aicina EDAU informēt budžeta izpildes </w:t>
      </w:r>
      <w:proofErr w:type="spellStart"/>
      <w:r w:rsidRPr="00EB31C6">
        <w:t>apstiprinātājiestādi</w:t>
      </w:r>
      <w:proofErr w:type="spellEnd"/>
      <w:r w:rsidRPr="00EB31C6">
        <w:t xml:space="preserve"> par jebkādu turpmāku tā pilnvaru paplašināšanu un ietekmi uz resursiem;</w:t>
      </w:r>
    </w:p>
    <w:p w:rsidR="008415C0" w:rsidRPr="00EB31C6" w:rsidRDefault="008415C0" w:rsidP="008415C0">
      <w:pPr>
        <w:pStyle w:val="NormalHanging12a"/>
        <w:rPr>
          <w:szCs w:val="24"/>
        </w:rPr>
      </w:pPr>
      <w:r w:rsidRPr="00EB31C6">
        <w:t>14.</w:t>
      </w:r>
      <w:r w:rsidRPr="00EB31C6">
        <w:tab/>
        <w:t>norāda, ka 2022. gadā īstenoto izmaiņu ietvaros EDAU ir centies racionalizēt savas iekšējās procedūras, lai rūpīgāk risinātu izmeklēšanas jautājumus un pārkvalificētu specializētos darbiniekus; norāda, ka sūdzību izmeklēšana tiesībaizsardzības kontekstā, piemēram, sūdzību par Eiropola atbildēm uz iedzīvotāju iesniegtajiem datu subjekta piekļuves pieprasījumiem, bieži vien ir ļoti sarežģīta un tās izmeklēšana vidēji aizņem vairāk laika nekā citu sūdzību izmeklēšana, jo procesā ir iesaistītas vairākas ieinteresētās personas;</w:t>
      </w:r>
    </w:p>
    <w:p w:rsidR="008415C0" w:rsidRPr="00EB31C6" w:rsidRDefault="008415C0" w:rsidP="008415C0">
      <w:pPr>
        <w:pStyle w:val="NormalHanging12a"/>
      </w:pPr>
      <w:r w:rsidRPr="00EB31C6">
        <w:t>15.</w:t>
      </w:r>
      <w:r w:rsidRPr="00EB31C6">
        <w:tab/>
        <w:t>norāda, ka EDAU 2022. gadā saņēma 367 sūdzības, kas ir par 47 sūdzībām vairāk nekā 2021. gadā, no kurām 65 sūdzības bija pieņemamas un 302 sūdzības – nepieņemamas, papildus 129 pieņemamajām sūdzībām, kuru izskatīšana 2022. gadā vēl turpinājās; atzinīgi vērtē EDAU centienus samazināt nepieņemamo sūdzību lielo skaitu, kas kopš 2019. gada ir divkāršojies un līdz ar to palielinājis vajadzību pēc izskatīšanai nepieciešamajiem resursiem; norāda, ka EDAU sniedza galīgo lēmumu, atzinumu vai atbildi 23 no 65 sūdzību lietām, kas saņemtas 2022. gadā, vidēji 42 dienu laikā; turklāt norāda, ka sūdzības par Eiropola atbildēm uz iedzīvotāju iesniegtajiem datu subjekta piekļuves pieprasījumiem tika izskatītas vidēji 5 līdz 12 mēnešu laikā; norāda, ka EDAU pastāvīgi pārskata savas procedūras un vajadzības gadījumā īsteno uzlabojumus, pamatojoties uz gūto pieredzi, lai vēl vairāk racionalizētu sūdzību izskatīšanu nolūkā tās ātrāk atrisināt, neraugoties uz resursu ierobežojumiem;</w:t>
      </w:r>
    </w:p>
    <w:p w:rsidR="008415C0" w:rsidRPr="00EB31C6" w:rsidRDefault="008415C0" w:rsidP="008415C0">
      <w:pPr>
        <w:pStyle w:val="NormalHanging12a"/>
        <w:rPr>
          <w:szCs w:val="24"/>
        </w:rPr>
      </w:pPr>
      <w:r w:rsidRPr="00EB31C6">
        <w:t>16.</w:t>
      </w:r>
      <w:r w:rsidRPr="00EB31C6">
        <w:tab/>
        <w:t xml:space="preserve">norāda, ka 2022. gadā EDAU veica divas iepriekšējas izmeklēšanas sakarā ar bažām par Savienības iestādes iespējamiem datu aizsardzības noteikumu pārkāpumiem, un veica trīs oficiālas izmeklēšanas datu aizsardzības revīziju veidā, no kurām viena tika pabeigta 2022. gada aprīlī; turklāt norāda, ka EDAU uzsāka arī četras izmeklēšanas datu aizsardzības revīziju veidā, pamatojoties uz sūdzībām par konkrētu Savienības iestāžu, struktūru, biroju un aģentūru (ESI) tīmekļa vietnēm, un vienu izmeklēšanu BDTT jomā, kā arī turpināja iepriekšējos gados uzsāktās izmeklēšanas; norāda, ka EDAU revīzija par to, kā Eiropols apstrādā tādu nepilngadīgo, kas jaunāki par 15 gadiem un kas atzīmēti kā aizdomās turētie, personas datus, kurus Aģentūrai sniegušas trešās valstis un starptautiskās organizācijas, tika pabeigta 2023. gada septembrī pēc gandrīz 10 mēnešu izmeklēšanas, jāpiebilst, ka šo jautājumu EDAU sākotnēji bija ierosinājis, sniedzot ieteikumus Eiropolam 2018. gada decembrī par </w:t>
      </w:r>
      <w:proofErr w:type="spellStart"/>
      <w:r w:rsidRPr="00EB31C6">
        <w:t>sensitīvu</w:t>
      </w:r>
      <w:proofErr w:type="spellEnd"/>
      <w:r w:rsidRPr="00EB31C6">
        <w:t xml:space="preserve"> datu apstrādi;</w:t>
      </w:r>
    </w:p>
    <w:p w:rsidR="008415C0" w:rsidRPr="00EB31C6" w:rsidRDefault="008415C0" w:rsidP="008415C0">
      <w:pPr>
        <w:pStyle w:val="NormalHanging12a"/>
        <w:rPr>
          <w:szCs w:val="24"/>
        </w:rPr>
      </w:pPr>
      <w:r w:rsidRPr="00EB31C6">
        <w:t>17.</w:t>
      </w:r>
      <w:r w:rsidRPr="00EB31C6">
        <w:tab/>
        <w:t>aicina EDAU uzlabot procedūru un par prioritāti noteikt to personas datu apstrādi, kas attiecas uz nepilngadīgajiem, kuri jaunāki par 15 gadiem, ņemot vērā to, ka tā ir neaizsargāta grupa, kurai nepieciešama pastiprināta aizsardzība, un tādēļ tai ir jāpiešķir prioritārs statuss;</w:t>
      </w:r>
    </w:p>
    <w:p w:rsidR="008415C0" w:rsidRPr="00EB31C6" w:rsidRDefault="008415C0" w:rsidP="008415C0">
      <w:pPr>
        <w:pStyle w:val="NormalHanging12a"/>
        <w:rPr>
          <w:szCs w:val="24"/>
        </w:rPr>
      </w:pPr>
      <w:r w:rsidRPr="00EB31C6">
        <w:t>18.</w:t>
      </w:r>
      <w:r w:rsidRPr="00EB31C6">
        <w:tab/>
        <w:t>norāda, ka 2022. gada 16. septembrī EDAU Eiropas Savienības Tiesā (EST) iesniedza prasību atcelt divus grozītās Eiropola regulas noteikumus, ko vēlāk EST noraidīja; uzsver, ka fakts, ka EDAU, pildot uzraudzības funkcijas, iesniedz svarīgus juridiskus jautājumus izskatīšanai EST, nebūtu jāuzskata par tādu, kas ietekmē lojālu sadarbību un labas attiecības starp EDAU un struktūrām, kuras tas uzrauga;</w:t>
      </w:r>
    </w:p>
    <w:p w:rsidR="008415C0" w:rsidRPr="00EB31C6" w:rsidRDefault="008415C0" w:rsidP="008415C0">
      <w:pPr>
        <w:pStyle w:val="NormalHanging12a"/>
        <w:rPr>
          <w:szCs w:val="24"/>
        </w:rPr>
      </w:pPr>
      <w:r w:rsidRPr="00EB31C6">
        <w:t>19.</w:t>
      </w:r>
      <w:r w:rsidRPr="00EB31C6">
        <w:tab/>
        <w:t xml:space="preserve">ar gandarījumu norāda, ka EDAU 2022. gada beigās izstrādāja jaunu riska pārvaldības sistēmu, tādējādi stiprinot savu iekšējās kontroles sistēmu un iekļaujot riska analīzi gada plānošanā, kam būtu jāsniedz </w:t>
      </w:r>
      <w:proofErr w:type="spellStart"/>
      <w:r w:rsidRPr="00EB31C6">
        <w:t>ievaddati</w:t>
      </w:r>
      <w:proofErr w:type="spellEnd"/>
      <w:r w:rsidRPr="00EB31C6">
        <w:t xml:space="preserve"> EDAU gada prioritāšu noteikšanai;</w:t>
      </w:r>
    </w:p>
    <w:p w:rsidR="008415C0" w:rsidRPr="00EB31C6" w:rsidRDefault="008415C0" w:rsidP="008415C0">
      <w:pPr>
        <w:pStyle w:val="NormalHanging12a"/>
        <w:rPr>
          <w:szCs w:val="24"/>
        </w:rPr>
      </w:pPr>
      <w:r w:rsidRPr="00EB31C6">
        <w:t>20.</w:t>
      </w:r>
      <w:r w:rsidRPr="00EB31C6">
        <w:tab/>
        <w:t>atzinīgi novērtē EDAU konsultāciju un padomu svarīgo nozīmi likumdošanas procesā; norāda, ka EDAU konsultācijas tika sniegtas kā 27 atzinumi (2021. gadā – 12), 49 oficiāli komentāri (2021. gadā – 76) un 30 neoficiāli komentāri (2021. gadā – 29) Komisijai un likumdevējiem, atbildot uz likumdošanas konsultāciju pieprasījumiem 2022. gadā;</w:t>
      </w:r>
    </w:p>
    <w:p w:rsidR="008415C0" w:rsidRPr="00EB31C6" w:rsidRDefault="008415C0" w:rsidP="008415C0">
      <w:pPr>
        <w:pStyle w:val="NormalHanging12a"/>
        <w:rPr>
          <w:szCs w:val="24"/>
        </w:rPr>
      </w:pPr>
      <w:r w:rsidRPr="00EB31C6">
        <w:t>21.</w:t>
      </w:r>
      <w:r w:rsidRPr="00EB31C6">
        <w:tab/>
        <w:t xml:space="preserve">aicina EDAU pārskatīt tā reglamentu, lai nodrošinātu iedzīvotāju sūdzību savlaicīgu izskatīšanu, ņemot vērā visu attiecīgo informāciju, un informēt budžeta izpildes </w:t>
      </w:r>
      <w:proofErr w:type="spellStart"/>
      <w:r w:rsidRPr="00EB31C6">
        <w:t>apstiprinātājiestādi</w:t>
      </w:r>
      <w:proofErr w:type="spellEnd"/>
      <w:r w:rsidRPr="00EB31C6">
        <w:t xml:space="preserve"> par progresu šajā jomā.</w:t>
      </w:r>
    </w:p>
    <w:p w:rsidR="008415C0" w:rsidRPr="00EB31C6" w:rsidRDefault="008415C0" w:rsidP="008415C0">
      <w:pPr>
        <w:pStyle w:val="NormalHanging12a"/>
        <w:rPr>
          <w:b/>
          <w:i/>
          <w:szCs w:val="24"/>
        </w:rPr>
      </w:pPr>
      <w:r w:rsidRPr="00EB31C6">
        <w:rPr>
          <w:b/>
          <w:i/>
        </w:rPr>
        <w:t xml:space="preserve">Cilvēkresursi, līdztiesība un darbinieku </w:t>
      </w:r>
      <w:proofErr w:type="spellStart"/>
      <w:r w:rsidRPr="00EB31C6">
        <w:rPr>
          <w:b/>
          <w:i/>
        </w:rPr>
        <w:t>labbūtība</w:t>
      </w:r>
      <w:proofErr w:type="spellEnd"/>
    </w:p>
    <w:p w:rsidR="008415C0" w:rsidRPr="00EB31C6" w:rsidRDefault="008415C0" w:rsidP="008415C0">
      <w:pPr>
        <w:pStyle w:val="NormalHanging12a"/>
        <w:rPr>
          <w:szCs w:val="24"/>
        </w:rPr>
      </w:pPr>
      <w:r w:rsidRPr="00EB31C6">
        <w:t>22.</w:t>
      </w:r>
      <w:r w:rsidRPr="00EB31C6">
        <w:tab/>
        <w:t xml:space="preserve">norāda, ka 2022. gada beigās EDAU bija 127 darbinieki salīdzinājumā ar 124 darbiniekiem 2021. gada beigās un 114 darbiniekiem 2020. gada beigās; norāda, ka EDAU nodarbināja 52 līgumdarbiniekus saskaņā ar Civildienesta noteikumu un Pārējo darbinieku nodarbināšanas kārtības 3. panta b) punktu un 6 pagaidu darbiniekus saskaņā ar 2. panta b) un c) punktu; turklāt norāda, ka 2022. gadā EDAU uz vietas strādāja 8 ārpakalpojumu sniedzēji;  aicina EDAU informēt budžeta izpildes </w:t>
      </w:r>
      <w:proofErr w:type="spellStart"/>
      <w:r w:rsidRPr="00EB31C6">
        <w:t>apstiprinātājiestādi</w:t>
      </w:r>
      <w:proofErr w:type="spellEnd"/>
      <w:r w:rsidRPr="00EB31C6">
        <w:t xml:space="preserve"> par pasākumiem, kas veikti, lai nodrošinātu, ka ārējo pakalpojumu sniedzēju piekļuve informācijai tiek pārvaldīta saskaņā ar konfidencialitātes līmeni, ko prasa attiecīgie jautājumi;</w:t>
      </w:r>
    </w:p>
    <w:p w:rsidR="008415C0" w:rsidRPr="00EB31C6" w:rsidRDefault="008415C0" w:rsidP="008415C0">
      <w:pPr>
        <w:pStyle w:val="NormalHanging12a"/>
        <w:rPr>
          <w:szCs w:val="24"/>
        </w:rPr>
      </w:pPr>
      <w:r w:rsidRPr="00EB31C6">
        <w:t>23.</w:t>
      </w:r>
      <w:r w:rsidRPr="00EB31C6">
        <w:tab/>
        <w:t>uzskata, ka, ņemot vērā lielāku darba slodzi, ko rada EDAU uzticētie jaunie uzdevumi un pienākumi, kā arī daudzas citas likumdošanas konsultācijas un datu kopas, kas jāuzrauga, EDAU būtu proporcionāli jāpalielina darbinieku skaits, lai uzturētu efektīvas darbplūsmas ar saprātīgu reaģēšanas laiku; mudina EDAU nodrošināt saviem darbiniekiem pastāvīgus līgumus, lai garantētu darbības nepārtrauktību un darba drošību;</w:t>
      </w:r>
    </w:p>
    <w:p w:rsidR="008415C0" w:rsidRPr="00EB31C6" w:rsidRDefault="008415C0" w:rsidP="008415C0">
      <w:pPr>
        <w:pStyle w:val="NormalHanging12a"/>
        <w:rPr>
          <w:szCs w:val="24"/>
        </w:rPr>
      </w:pPr>
      <w:r w:rsidRPr="00EB31C6">
        <w:t>24.</w:t>
      </w:r>
      <w:r w:rsidRPr="00EB31C6">
        <w:tab/>
        <w:t xml:space="preserve">norāda, ka štatu saraksta aizpildījums 2022. gada beigās bija 86,9 %; pauž nožēlu par to, ka aizpildīto štatu saraksta vietu līmenis ir zemāks par 2022. gada </w:t>
      </w:r>
      <w:proofErr w:type="spellStart"/>
      <w:r w:rsidRPr="00EB31C6">
        <w:t>mērķrādītāju</w:t>
      </w:r>
      <w:proofErr w:type="spellEnd"/>
      <w:r w:rsidRPr="00EB31C6">
        <w:t xml:space="preserve">; atzīst kvalificētu speciālistu trūkumu; mudina EDAU izskatīt noderīgas stratēģijas, lai palielinātu tā vakanču </w:t>
      </w:r>
      <w:proofErr w:type="spellStart"/>
      <w:r w:rsidRPr="00EB31C6">
        <w:t>pamanāmību</w:t>
      </w:r>
      <w:proofErr w:type="spellEnd"/>
      <w:r w:rsidRPr="00EB31C6">
        <w:t>; norāda, ka 2022. gadā EDAU organizēja ārēju atlases procedūru nolūkā izveidot specializēto kandidātu rezerves sarakstu, ņemot vērā darbā pieņemšanas vajadzības no 2022. gada;</w:t>
      </w:r>
    </w:p>
    <w:p w:rsidR="008415C0" w:rsidRPr="00EB31C6" w:rsidRDefault="008415C0" w:rsidP="008415C0">
      <w:pPr>
        <w:pStyle w:val="NormalHanging12a"/>
        <w:rPr>
          <w:szCs w:val="24"/>
        </w:rPr>
      </w:pPr>
      <w:r w:rsidRPr="00EB31C6">
        <w:t>25.</w:t>
      </w:r>
      <w:r w:rsidRPr="00EB31C6">
        <w:tab/>
        <w:t xml:space="preserve">norāda, ka, ņemot vērā COVID-19 pandēmijas laikā gūto pieredzi, EDAU 2022. gada maijā pieņēma jaunu lēmumu par darba laiku un </w:t>
      </w:r>
      <w:proofErr w:type="spellStart"/>
      <w:r w:rsidRPr="00EB31C6">
        <w:t>hibrīddarbu</w:t>
      </w:r>
      <w:proofErr w:type="spellEnd"/>
      <w:r w:rsidRPr="00EB31C6">
        <w:t>, saskaņā ar kuru darbinieki var ievērojami mainīt savu darba laiku atbilstīgi elastīga darba laika režīmam un strādāt attālināti līdz trim dienām nedēļā; atzinīgi vērtē pēc minētā lēmuma pieņemšanas veiktās darbinieku aptaujas rezultātus, kas liecināja, ka lielākā daļa darbinieku ir apmierināti ar jauno darba kārtību;</w:t>
      </w:r>
    </w:p>
    <w:p w:rsidR="008415C0" w:rsidRPr="00EB31C6" w:rsidRDefault="008415C0" w:rsidP="008415C0">
      <w:pPr>
        <w:pStyle w:val="NormalHanging12a"/>
        <w:rPr>
          <w:b/>
          <w:i/>
          <w:szCs w:val="24"/>
        </w:rPr>
      </w:pPr>
      <w:r w:rsidRPr="00EB31C6">
        <w:t>26.</w:t>
      </w:r>
      <w:r w:rsidRPr="00EB31C6">
        <w:tab/>
        <w:t>pauž atzinību EDAU par to, ka tā darbinieku vidū 2022. gadā bija pārstāvētas 22 valstspiederības, kas ir labāks rādītājs par 21 valstspiederību 2021. gadā, un tas, neraugoties uz 5 valstspiederību pārmērīgo pārstāvību, ir lielisks rādītājs tik mazai iestādei; aicina EDAU censties panākt līdzsvarotāku ģeogrāfisko pārstāvību starp visām dalībvalstīm, īpašu uzmanību pievēršot atsevišķu valstu nepietiekamas pārstāvības novēršanai;</w:t>
      </w:r>
    </w:p>
    <w:p w:rsidR="008415C0" w:rsidRPr="00EB31C6" w:rsidRDefault="008415C0" w:rsidP="008415C0">
      <w:pPr>
        <w:pStyle w:val="NormalHanging12a"/>
        <w:rPr>
          <w:szCs w:val="24"/>
        </w:rPr>
      </w:pPr>
      <w:r w:rsidRPr="00EB31C6">
        <w:t>27.</w:t>
      </w:r>
      <w:r w:rsidRPr="00EB31C6">
        <w:tab/>
        <w:t>norāda, ka 2022. gadā EDAU kopumā nodarbināja 64 % sieviešu un 36 % vīriešu, līdzīgi kā iepriekšējos gados, kad sadalījums starp sievietēm un vīriešiem bija attiecīgi 63 % un 37 %; pauž nožēlu par to, ka 2022. gadā augstākā līmeņa vadošajos amatos nebija nevienas sievietes, savukārt dzimumu attiecība starp četriem vidējā līmeņa vadītājiem gada laikā tika līdzsvarota;  aicina EDAU turpināt centienus panākt dzimumu ziņā līdzsvarotu darbinieku pārstāvību;</w:t>
      </w:r>
    </w:p>
    <w:p w:rsidR="008415C0" w:rsidRPr="00EB31C6" w:rsidRDefault="008415C0" w:rsidP="008415C0">
      <w:pPr>
        <w:pStyle w:val="NormalHanging12a"/>
        <w:rPr>
          <w:szCs w:val="24"/>
        </w:rPr>
      </w:pPr>
      <w:r w:rsidRPr="00EB31C6">
        <w:t>28.</w:t>
      </w:r>
      <w:r w:rsidRPr="00EB31C6">
        <w:tab/>
        <w:t xml:space="preserve">ar gandarījumu norāda, ka EDAU darbinieki 2022. gadā nav ziņojuši par izdegšanas vai uzmākšanās gadījumiem; atzinīgi vērtē to, ka EDAU izveidoja darba grupu, lai apspriestu jautājumus, kas saistīti ar darbu sadali un to piešķīrumu, ņemot vērā 2022. gada jūnijā veiktās divgadu aptaujas par darbinieku apmierinātību rezultātus, saskaņā ar kuriem daži EDAU darbinieki uzskatīja, ka darba slodze nav vienlīdzīgi sadalīta vai labi sadalīta starp komandām un kolēģiem; lūdz EDAU informēt budžeta izpildes </w:t>
      </w:r>
      <w:proofErr w:type="spellStart"/>
      <w:r w:rsidRPr="00EB31C6">
        <w:t>apstiprinātājiestādi</w:t>
      </w:r>
      <w:proofErr w:type="spellEnd"/>
      <w:r w:rsidRPr="00EB31C6">
        <w:t xml:space="preserve"> par darba grupas diskusiju rezultātiem un sniegt sīkākas ziņas par sagatavošanā esošo rīcības plānu;</w:t>
      </w:r>
    </w:p>
    <w:p w:rsidR="008415C0" w:rsidRPr="00EB31C6" w:rsidRDefault="008415C0" w:rsidP="008415C0">
      <w:pPr>
        <w:pStyle w:val="NormalHanging12a"/>
        <w:rPr>
          <w:szCs w:val="24"/>
        </w:rPr>
      </w:pPr>
      <w:r w:rsidRPr="00EB31C6">
        <w:t>29.</w:t>
      </w:r>
      <w:r w:rsidRPr="00EB31C6">
        <w:tab/>
        <w:t xml:space="preserve">atzinīgi vērtē EDAU pastāvīgos centienus aktīvi uzlabot savu darbinieku fizisko un garīgo </w:t>
      </w:r>
      <w:proofErr w:type="spellStart"/>
      <w:r w:rsidRPr="00EB31C6">
        <w:t>labbūtību</w:t>
      </w:r>
      <w:proofErr w:type="spellEnd"/>
      <w:r w:rsidRPr="00EB31C6">
        <w:t>;</w:t>
      </w:r>
    </w:p>
    <w:p w:rsidR="008415C0" w:rsidRPr="00EB31C6" w:rsidRDefault="008415C0" w:rsidP="008415C0">
      <w:pPr>
        <w:pStyle w:val="NormalHanging12a"/>
        <w:rPr>
          <w:szCs w:val="24"/>
        </w:rPr>
      </w:pPr>
      <w:r w:rsidRPr="00EB31C6">
        <w:t>30.</w:t>
      </w:r>
      <w:r w:rsidRPr="00EB31C6">
        <w:tab/>
        <w:t>ar gandarījumu norāda, ka 2022. gadā EDAU pieņēma darbā 18 praktikantus, kuri saņēma atalgojumu un kuriem bija tāds pats darba režīms kā pārējiem darbiniekiem;</w:t>
      </w:r>
    </w:p>
    <w:p w:rsidR="008415C0" w:rsidRPr="00EB31C6" w:rsidRDefault="008415C0" w:rsidP="008415C0">
      <w:pPr>
        <w:pStyle w:val="NormalHanging12a"/>
        <w:rPr>
          <w:b/>
          <w:i/>
          <w:szCs w:val="24"/>
        </w:rPr>
      </w:pPr>
      <w:r w:rsidRPr="00EB31C6">
        <w:rPr>
          <w:b/>
          <w:i/>
        </w:rPr>
        <w:t xml:space="preserve">Ētikas regulējums un </w:t>
      </w:r>
      <w:proofErr w:type="spellStart"/>
      <w:r w:rsidRPr="00EB31C6">
        <w:rPr>
          <w:b/>
          <w:i/>
        </w:rPr>
        <w:t>pārredzamība</w:t>
      </w:r>
      <w:proofErr w:type="spellEnd"/>
    </w:p>
    <w:p w:rsidR="008415C0" w:rsidRPr="00EB31C6" w:rsidRDefault="008415C0" w:rsidP="008415C0">
      <w:pPr>
        <w:pStyle w:val="NormalHanging12a"/>
        <w:rPr>
          <w:szCs w:val="24"/>
        </w:rPr>
      </w:pPr>
      <w:r w:rsidRPr="00EB31C6">
        <w:t>31.</w:t>
      </w:r>
      <w:r w:rsidRPr="00EB31C6">
        <w:tab/>
        <w:t xml:space="preserve">norāda, ka 2022. gadā EDAU koncentrēja savus centienus uz to, lai palielinātu darbinieku informētību par EDAU/EDAK ētikas regulējumu, organizējot obligātas specializētas apmācības visiem darbiniekiem un </w:t>
      </w:r>
      <w:proofErr w:type="spellStart"/>
      <w:r w:rsidRPr="00EB31C6">
        <w:t>ievadapmācības</w:t>
      </w:r>
      <w:proofErr w:type="spellEnd"/>
      <w:r w:rsidRPr="00EB31C6">
        <w:t xml:space="preserve"> EDAU/EDAK </w:t>
      </w:r>
      <w:proofErr w:type="spellStart"/>
      <w:r w:rsidRPr="00EB31C6">
        <w:t>jaunpienācējiem</w:t>
      </w:r>
      <w:proofErr w:type="spellEnd"/>
      <w:r w:rsidRPr="00EB31C6">
        <w:t>; mudina EDAU turpināt uzlabot informētību un organizēt aptaujas, lai novērtētu darbinieku informētības līmeni par EDAU/EDAK ētikas regulējumu;</w:t>
      </w:r>
    </w:p>
    <w:p w:rsidR="008415C0" w:rsidRPr="00EB31C6" w:rsidRDefault="008415C0" w:rsidP="008415C0">
      <w:pPr>
        <w:pStyle w:val="NormalHanging12a"/>
        <w:rPr>
          <w:szCs w:val="24"/>
        </w:rPr>
      </w:pPr>
      <w:r w:rsidRPr="00EB31C6">
        <w:t>32.</w:t>
      </w:r>
      <w:r w:rsidRPr="00EB31C6">
        <w:tab/>
        <w:t xml:space="preserve">atzinīgi vērtē EDAU panākto vispārējo augsto </w:t>
      </w:r>
      <w:proofErr w:type="spellStart"/>
      <w:r w:rsidRPr="00EB31C6">
        <w:t>pārredzamības</w:t>
      </w:r>
      <w:proofErr w:type="spellEnd"/>
      <w:r w:rsidRPr="00EB31C6">
        <w:t xml:space="preserve"> līmeni attiecībā uz tā darbību, konkrēti. attiecībā uz Uzraudzītāja un EDAU administrācijas vadītāja darba kārtības un interešu deklarācijas publicēšanu saskaņā ar Uzraudzītāja 2019. gada rīcības kodeksu; pauž nožēlu, ka EDAU nolēma piemērot Uzraudzītāja rīcības kodeksu EDAU administrācijas vadītājam, nevis pieņemt īpašu rīcības kodeksu augstākās vadības amatiem;</w:t>
      </w:r>
    </w:p>
    <w:p w:rsidR="008415C0" w:rsidRPr="00EB31C6" w:rsidRDefault="008415C0" w:rsidP="008415C0">
      <w:pPr>
        <w:pStyle w:val="NormalHanging12a"/>
        <w:rPr>
          <w:szCs w:val="24"/>
        </w:rPr>
      </w:pPr>
      <w:r w:rsidRPr="00EB31C6">
        <w:t>33.</w:t>
      </w:r>
      <w:r w:rsidRPr="00EB31C6">
        <w:tab/>
        <w:t>ar gandarījumu norāda, ka EDAU kopš tā izveides nekad nav bijis iesaistīts nevienā izmeklēšanā, ko veic Eiropas Birojs krāpšanas apkarošanai (</w:t>
      </w:r>
      <w:r w:rsidRPr="00EB31C6">
        <w:rPr>
          <w:i/>
          <w:iCs/>
        </w:rPr>
        <w:t>OLAF</w:t>
      </w:r>
      <w:r w:rsidRPr="00EB31C6">
        <w:t>);</w:t>
      </w:r>
    </w:p>
    <w:p w:rsidR="008415C0" w:rsidRPr="00EB31C6" w:rsidRDefault="008415C0" w:rsidP="008415C0">
      <w:pPr>
        <w:pStyle w:val="NormalHanging12a"/>
        <w:rPr>
          <w:szCs w:val="24"/>
        </w:rPr>
      </w:pPr>
      <w:r w:rsidRPr="00EB31C6">
        <w:t>34.</w:t>
      </w:r>
      <w:r w:rsidRPr="00EB31C6">
        <w:tab/>
        <w:t xml:space="preserve">ar gandarījumu norāda, ka 2022. gadā </w:t>
      </w:r>
      <w:proofErr w:type="spellStart"/>
      <w:r w:rsidRPr="00EB31C6">
        <w:t>Ombuda</w:t>
      </w:r>
      <w:proofErr w:type="spellEnd"/>
      <w:r w:rsidRPr="00EB31C6">
        <w:t xml:space="preserve"> uzsāktās divas izmeklēšanas par EDAU tika slēgtas, nekonstatējot administratīvas kļūmes;</w:t>
      </w:r>
    </w:p>
    <w:p w:rsidR="008415C0" w:rsidRPr="00EB31C6" w:rsidRDefault="008415C0" w:rsidP="008415C0">
      <w:pPr>
        <w:pStyle w:val="NormalHanging12a"/>
        <w:rPr>
          <w:b/>
          <w:i/>
          <w:szCs w:val="24"/>
        </w:rPr>
      </w:pPr>
      <w:r w:rsidRPr="00EB31C6">
        <w:t>35.</w:t>
      </w:r>
      <w:r w:rsidRPr="00EB31C6">
        <w:tab/>
        <w:t xml:space="preserve">pauž nožēlu, ka EDAU joprojām nav oficiāli pievienojies </w:t>
      </w:r>
      <w:proofErr w:type="spellStart"/>
      <w:r w:rsidRPr="00EB31C6">
        <w:t>Pārredzamības</w:t>
      </w:r>
      <w:proofErr w:type="spellEnd"/>
      <w:r w:rsidRPr="00EB31C6">
        <w:t xml:space="preserve"> reģistram; tomēr atzinīgi vērtē EDAU </w:t>
      </w:r>
      <w:proofErr w:type="spellStart"/>
      <w:r w:rsidRPr="00EB31C6">
        <w:t>pārredzamības</w:t>
      </w:r>
      <w:proofErr w:type="spellEnd"/>
      <w:r w:rsidRPr="00EB31C6">
        <w:t xml:space="preserve"> noteikumu saskaņošanu ar </w:t>
      </w:r>
      <w:proofErr w:type="spellStart"/>
      <w:r w:rsidRPr="00EB31C6">
        <w:t>Pārredzamības</w:t>
      </w:r>
      <w:proofErr w:type="spellEnd"/>
      <w:r w:rsidRPr="00EB31C6">
        <w:t xml:space="preserve"> reģistra principiem attiecībā uz obligātām iepriekšējām pārbaudēm </w:t>
      </w:r>
      <w:proofErr w:type="spellStart"/>
      <w:r w:rsidRPr="00EB31C6">
        <w:t>Pārredzamības</w:t>
      </w:r>
      <w:proofErr w:type="spellEnd"/>
      <w:r w:rsidRPr="00EB31C6">
        <w:t xml:space="preserve"> reģistrā par trešo personu sanāksmēm ar Uzraudzītāju un EDAU administrācijas vadītāju; uzsver, ka </w:t>
      </w:r>
      <w:proofErr w:type="spellStart"/>
      <w:r w:rsidRPr="00EB31C6">
        <w:t>pārredzamību</w:t>
      </w:r>
      <w:proofErr w:type="spellEnd"/>
      <w:r w:rsidRPr="00EB31C6">
        <w:t xml:space="preserve"> varētu labāk nodrošināt, aktīvi reģistrējoties </w:t>
      </w:r>
      <w:proofErr w:type="spellStart"/>
      <w:r w:rsidRPr="00EB31C6">
        <w:t>Pārredzamības</w:t>
      </w:r>
      <w:proofErr w:type="spellEnd"/>
      <w:r w:rsidRPr="00EB31C6">
        <w:t xml:space="preserve"> reģistrā; atkārtoti aicina EDAU pievienoties ES </w:t>
      </w:r>
      <w:proofErr w:type="spellStart"/>
      <w:r w:rsidRPr="00EB31C6">
        <w:t>Pārredzamības</w:t>
      </w:r>
      <w:proofErr w:type="spellEnd"/>
      <w:r w:rsidRPr="00EB31C6">
        <w:t xml:space="preserve"> reģistram;</w:t>
      </w:r>
    </w:p>
    <w:p w:rsidR="008415C0" w:rsidRPr="00EB31C6" w:rsidRDefault="008415C0" w:rsidP="008415C0">
      <w:pPr>
        <w:pStyle w:val="NormalHanging12a"/>
        <w:rPr>
          <w:szCs w:val="24"/>
        </w:rPr>
      </w:pPr>
      <w:r w:rsidRPr="00EB31C6">
        <w:t>36.</w:t>
      </w:r>
      <w:r w:rsidRPr="00EB31C6">
        <w:tab/>
        <w:t>norāda, ka EDAU ir izveidojis sistēmu interešu konfliktu novēršanai augstākās vadības un darbinieku līmenī, izmantojot rīcības kodeksus, izpratnes veicināšanu un deklarācijas; ar gandarījumu norāda, ka 2022. gadā neviens interešu konflikta gadījums netika konstatēts;</w:t>
      </w:r>
    </w:p>
    <w:p w:rsidR="008415C0" w:rsidRPr="00EB31C6" w:rsidRDefault="008415C0" w:rsidP="008415C0">
      <w:pPr>
        <w:pStyle w:val="NormalHanging12a"/>
        <w:rPr>
          <w:szCs w:val="24"/>
        </w:rPr>
      </w:pPr>
      <w:r w:rsidRPr="00EB31C6">
        <w:t>37.</w:t>
      </w:r>
      <w:r w:rsidRPr="00EB31C6">
        <w:tab/>
        <w:t>norāda, ka EDAU ir iekšējie noteikumi par trauksmes celšanu, kuros ir noteikti droši ceļi un kanāli, kā darbinieki var paust bažas par krāpšanu, korupciju vai jebkādiem citiem nopietniem pārkāpumiem, neskarot trauksmes cēlēja identitātes un sniegtās informācijas konfidencialitāti; turklāt norāda, ka 2022. gadā netika ziņots par trauksmes celšanas gadījumiem;</w:t>
      </w:r>
    </w:p>
    <w:p w:rsidR="008415C0" w:rsidRPr="00EB31C6" w:rsidRDefault="008415C0" w:rsidP="008415C0">
      <w:pPr>
        <w:pStyle w:val="NormalHanging12a"/>
        <w:rPr>
          <w:b/>
          <w:i/>
          <w:szCs w:val="24"/>
        </w:rPr>
      </w:pPr>
      <w:proofErr w:type="spellStart"/>
      <w:r w:rsidRPr="00EB31C6">
        <w:rPr>
          <w:b/>
          <w:i/>
        </w:rPr>
        <w:t>Digitalizācija</w:t>
      </w:r>
      <w:proofErr w:type="spellEnd"/>
      <w:r w:rsidRPr="00EB31C6">
        <w:rPr>
          <w:b/>
          <w:i/>
        </w:rPr>
        <w:t xml:space="preserve">, </w:t>
      </w:r>
      <w:proofErr w:type="spellStart"/>
      <w:r w:rsidRPr="00EB31C6">
        <w:rPr>
          <w:b/>
          <w:i/>
        </w:rPr>
        <w:t>kiberdrošība</w:t>
      </w:r>
      <w:proofErr w:type="spellEnd"/>
      <w:r w:rsidRPr="00EB31C6">
        <w:rPr>
          <w:b/>
          <w:i/>
        </w:rPr>
        <w:t xml:space="preserve"> un datu aizsardzība</w:t>
      </w:r>
    </w:p>
    <w:p w:rsidR="008415C0" w:rsidRPr="00EB31C6" w:rsidRDefault="008415C0" w:rsidP="008415C0">
      <w:pPr>
        <w:pStyle w:val="NormalHanging12a"/>
        <w:rPr>
          <w:szCs w:val="24"/>
        </w:rPr>
      </w:pPr>
      <w:r w:rsidRPr="00EB31C6">
        <w:t>38.</w:t>
      </w:r>
      <w:r w:rsidRPr="00EB31C6">
        <w:tab/>
        <w:t>norāda, ka 2022. gada budžets IT iekārtām un projektiem bija par 21 % lielāks nekā 2021. gadā; norāda, ka šī informācija ir jānovērtē, ņemot vērā, ka 2021. gada budžets IT bija par 20 % lielāks nekā 2020. gada budžets;</w:t>
      </w:r>
    </w:p>
    <w:p w:rsidR="008415C0" w:rsidRPr="00EB31C6" w:rsidRDefault="008415C0" w:rsidP="008415C0">
      <w:pPr>
        <w:pStyle w:val="NormalHanging12a"/>
        <w:rPr>
          <w:szCs w:val="24"/>
        </w:rPr>
      </w:pPr>
      <w:r w:rsidRPr="00EB31C6">
        <w:t>39.</w:t>
      </w:r>
      <w:r w:rsidRPr="00EB31C6">
        <w:tab/>
        <w:t xml:space="preserve">norāda, ka 2022. gadā EDAU apsekoja vairāku ES iestāžu IT stratēģijas saistībā ar lielu IT </w:t>
      </w:r>
      <w:proofErr w:type="spellStart"/>
      <w:r w:rsidRPr="00EB31C6">
        <w:t>priekšizpēti</w:t>
      </w:r>
      <w:proofErr w:type="spellEnd"/>
      <w:r w:rsidRPr="00EB31C6">
        <w:t xml:space="preserve">, kas kalpoja par pamatu EDAU IT stratēģijas noteikšanai nākamajiem gadiem; aicina EDAU informēt budžeta izpildes </w:t>
      </w:r>
      <w:proofErr w:type="spellStart"/>
      <w:r w:rsidRPr="00EB31C6">
        <w:t>apstiprinātājiestādi</w:t>
      </w:r>
      <w:proofErr w:type="spellEnd"/>
      <w:r w:rsidRPr="00EB31C6">
        <w:t xml:space="preserve"> par šīs analīzes rezultātiem un tās ietekmi uz resursiem;</w:t>
      </w:r>
    </w:p>
    <w:p w:rsidR="008415C0" w:rsidRPr="00EB31C6" w:rsidRDefault="008415C0" w:rsidP="008415C0">
      <w:pPr>
        <w:pStyle w:val="NormalHanging12a"/>
        <w:rPr>
          <w:szCs w:val="24"/>
        </w:rPr>
      </w:pPr>
      <w:r w:rsidRPr="00EB31C6">
        <w:t>40.</w:t>
      </w:r>
      <w:r w:rsidRPr="00EB31C6">
        <w:tab/>
        <w:t xml:space="preserve">norāda, ka Parlaments nodrošina IT aprīkojumu un pakalpojumus EDAU kā tā korporatīvo pakalpojumu sniedzējam; atzinīgi vērtē EDAU centienus nepārtraukti uzlabot savas digitālās darba telpas efektivitāti un drošību, pārsniedzot Parlamenta sniegtās iespējas; norāda, ka tas ir saistīts ar EDAU darbiniekiem nodrošināto datoru kvalitātes un veiktspējas uzlabošanu sadarbībā ar Parlamentu, ņemot vērā </w:t>
      </w:r>
      <w:proofErr w:type="spellStart"/>
      <w:r w:rsidRPr="00EB31C6">
        <w:t>hibrīddarba</w:t>
      </w:r>
      <w:proofErr w:type="spellEnd"/>
      <w:r w:rsidRPr="00EB31C6">
        <w:t xml:space="preserve"> vispārēju izmantošanu;</w:t>
      </w:r>
    </w:p>
    <w:p w:rsidR="008415C0" w:rsidRPr="00EB31C6" w:rsidRDefault="008415C0" w:rsidP="008415C0">
      <w:pPr>
        <w:pStyle w:val="NormalHanging12a"/>
        <w:rPr>
          <w:szCs w:val="24"/>
        </w:rPr>
      </w:pPr>
      <w:r w:rsidRPr="00EB31C6">
        <w:t>41.</w:t>
      </w:r>
      <w:r w:rsidRPr="00EB31C6">
        <w:tab/>
        <w:t xml:space="preserve">atzīst EDAU vadošo lomu ESI </w:t>
      </w:r>
      <w:proofErr w:type="spellStart"/>
      <w:r w:rsidRPr="00EB31C6">
        <w:t>kiberdrošības</w:t>
      </w:r>
      <w:proofErr w:type="spellEnd"/>
      <w:r w:rsidRPr="00EB31C6">
        <w:t xml:space="preserve"> gatavības uzlabošanā; norāda, ka 2022. gadā EDAU turpināja uzlabot gatavību aizsargāt </w:t>
      </w:r>
      <w:proofErr w:type="spellStart"/>
      <w:r w:rsidRPr="00EB31C6">
        <w:t>persondatus</w:t>
      </w:r>
      <w:proofErr w:type="spellEnd"/>
      <w:r w:rsidRPr="00EB31C6">
        <w:t xml:space="preserve"> un </w:t>
      </w:r>
      <w:proofErr w:type="spellStart"/>
      <w:r w:rsidRPr="00EB31C6">
        <w:t>sensitīvu</w:t>
      </w:r>
      <w:proofErr w:type="spellEnd"/>
      <w:r w:rsidRPr="00EB31C6">
        <w:t xml:space="preserve"> informāciju pret kiberuzbrukumiem, ņemot vērā strauji mainīgo </w:t>
      </w:r>
      <w:proofErr w:type="spellStart"/>
      <w:r w:rsidRPr="00EB31C6">
        <w:t>kiberdrošības</w:t>
      </w:r>
      <w:proofErr w:type="spellEnd"/>
      <w:r w:rsidRPr="00EB31C6">
        <w:t xml:space="preserve"> apdraudējumu vidi; apsveic EDAU par tā drošības politikas un metodoloģijas pārskatīšanu un </w:t>
      </w:r>
      <w:proofErr w:type="spellStart"/>
      <w:r w:rsidRPr="00EB31C6">
        <w:t>kiberdrošības</w:t>
      </w:r>
      <w:proofErr w:type="spellEnd"/>
      <w:r w:rsidRPr="00EB31C6">
        <w:t xml:space="preserve"> līguma prasību pielāgošanu saskaņā ar </w:t>
      </w:r>
      <w:r w:rsidRPr="00EB31C6">
        <w:rPr>
          <w:i/>
        </w:rPr>
        <w:t>CERT-EU</w:t>
      </w:r>
      <w:r w:rsidRPr="00EB31C6">
        <w:t xml:space="preserve"> norādījumiem pirms ES </w:t>
      </w:r>
      <w:proofErr w:type="spellStart"/>
      <w:r w:rsidRPr="00EB31C6">
        <w:t>kiberdrošības</w:t>
      </w:r>
      <w:proofErr w:type="spellEnd"/>
      <w:r w:rsidRPr="00EB31C6">
        <w:t xml:space="preserve"> akta stāšanās spēkā visu iestāžu labā; norāda, ka 2022. gadā EDAU nav </w:t>
      </w:r>
      <w:proofErr w:type="spellStart"/>
      <w:r w:rsidRPr="00EB31C6">
        <w:t>saskāries</w:t>
      </w:r>
      <w:proofErr w:type="spellEnd"/>
      <w:r w:rsidRPr="00EB31C6">
        <w:t xml:space="preserve"> ar kiberuzbrukumiem;</w:t>
      </w:r>
    </w:p>
    <w:p w:rsidR="008415C0" w:rsidRPr="00EB31C6" w:rsidRDefault="008415C0" w:rsidP="008415C0">
      <w:pPr>
        <w:pStyle w:val="NormalHanging12a"/>
        <w:rPr>
          <w:szCs w:val="24"/>
        </w:rPr>
      </w:pPr>
      <w:r w:rsidRPr="00EB31C6">
        <w:t>42.</w:t>
      </w:r>
      <w:r w:rsidRPr="00EB31C6">
        <w:tab/>
        <w:t>norāda, ka EDAU izmēģina un izstrādā inovatīvus un privātumam draudzīgus atvērtā pirmkoda IT risinājumus; uzskata, ka EDAU būtu jādalās šajā pieredzē ar citām ESI;</w:t>
      </w:r>
    </w:p>
    <w:p w:rsidR="008415C0" w:rsidRPr="00EB31C6" w:rsidRDefault="008415C0" w:rsidP="008415C0">
      <w:pPr>
        <w:pStyle w:val="NormalHanging12a"/>
        <w:rPr>
          <w:szCs w:val="24"/>
        </w:rPr>
      </w:pPr>
      <w:r w:rsidRPr="00EB31C6">
        <w:t>43.</w:t>
      </w:r>
      <w:r w:rsidRPr="00EB31C6">
        <w:tab/>
        <w:t xml:space="preserve">atzinīgi vērtē EDAU turpmākos pasākumus pēc </w:t>
      </w:r>
      <w:proofErr w:type="spellStart"/>
      <w:r w:rsidRPr="00EB31C6">
        <w:rPr>
          <w:i/>
          <w:iCs/>
        </w:rPr>
        <w:t>Schrems</w:t>
      </w:r>
      <w:proofErr w:type="spellEnd"/>
      <w:r w:rsidRPr="00EB31C6">
        <w:rPr>
          <w:i/>
          <w:iCs/>
        </w:rPr>
        <w:t> II</w:t>
      </w:r>
      <w:r w:rsidRPr="00EB31C6">
        <w:t xml:space="preserve"> sprieduma, jo īpaši to, ka galvenā uzmanība tika pievērsta ESI līgumiem ar privātām struktūrām 2022. gadā, sevišķi lieliem IKT pakalpojumu sniedzējiem, un sadarbības kārtībai starp ESI un publiskām struktūrām, kuras nav ES/EEZ sastāvā, vai starptautiskām organizācijām;</w:t>
      </w:r>
    </w:p>
    <w:p w:rsidR="008415C0" w:rsidRPr="00EB31C6" w:rsidRDefault="008415C0" w:rsidP="008415C0">
      <w:pPr>
        <w:pStyle w:val="NormalHanging12a"/>
        <w:ind w:left="0" w:firstLine="0"/>
        <w:rPr>
          <w:b/>
          <w:i/>
          <w:szCs w:val="24"/>
        </w:rPr>
      </w:pPr>
      <w:r w:rsidRPr="00EB31C6">
        <w:rPr>
          <w:b/>
          <w:i/>
        </w:rPr>
        <w:t>Ēkas</w:t>
      </w:r>
    </w:p>
    <w:p w:rsidR="008415C0" w:rsidRPr="00EB31C6" w:rsidRDefault="008415C0" w:rsidP="008415C0">
      <w:pPr>
        <w:pStyle w:val="NormalHanging12a"/>
        <w:rPr>
          <w:szCs w:val="24"/>
        </w:rPr>
      </w:pPr>
      <w:r w:rsidRPr="00EB31C6">
        <w:t>44.</w:t>
      </w:r>
      <w:r w:rsidRPr="00EB31C6">
        <w:tab/>
        <w:t xml:space="preserve">norāda, ka 2022. gadā pēc </w:t>
      </w:r>
      <w:proofErr w:type="spellStart"/>
      <w:r w:rsidRPr="00EB31C6">
        <w:t>Ombuda</w:t>
      </w:r>
      <w:proofErr w:type="spellEnd"/>
      <w:r w:rsidRPr="00EB31C6">
        <w:t xml:space="preserve"> pārcelšanās 2021. gada beigās EDAU un EDAK bija vienīgie īrnieki Parlamenta ēkā, kurā tie atradās; norāda, ka pēc šīs pārcelšanās trīs ēkas stāvi tika pilnībā atjaunoti, lai izmitinātu EDAU un EDAK darbiniekus un pielāgotu telpas jaunajiem darba apstākļiem, kas dominēja pēc COVID-19 pandēmijas;</w:t>
      </w:r>
    </w:p>
    <w:p w:rsidR="008415C0" w:rsidRPr="00EB31C6" w:rsidRDefault="008415C0" w:rsidP="008415C0">
      <w:pPr>
        <w:pStyle w:val="NormalHanging12a"/>
        <w:rPr>
          <w:szCs w:val="24"/>
        </w:rPr>
      </w:pPr>
      <w:r w:rsidRPr="00EB31C6">
        <w:t>45.</w:t>
      </w:r>
      <w:r w:rsidRPr="00EB31C6">
        <w:tab/>
        <w:t xml:space="preserve">norāda, ka attiecībā uz piekļuvi savai ēkai EDAU paļaujas uz lēmumiem, ko Parlaments pieņēmis un īstenojis kā daļu no ēku politikas; aicina EDAU aizstāvēt nepieciešamību pievērst uzmanību personu ar ierobežotām pārvietošanās spējām vai personu ar invaliditāti vajadzībām un informēt budžeta izpildes </w:t>
      </w:r>
      <w:proofErr w:type="spellStart"/>
      <w:r w:rsidRPr="00EB31C6">
        <w:t>apstiprinātājiestādi</w:t>
      </w:r>
      <w:proofErr w:type="spellEnd"/>
      <w:r w:rsidRPr="00EB31C6">
        <w:t xml:space="preserve"> par visiem šajā sakarā pieņemtajiem jaunajiem lēmumiem;</w:t>
      </w:r>
    </w:p>
    <w:p w:rsidR="008415C0" w:rsidRPr="00EB31C6" w:rsidRDefault="008415C0" w:rsidP="008415C0">
      <w:pPr>
        <w:pStyle w:val="NormalHanging12a"/>
        <w:ind w:left="0" w:firstLine="0"/>
        <w:rPr>
          <w:b/>
          <w:i/>
          <w:szCs w:val="24"/>
        </w:rPr>
      </w:pPr>
      <w:r w:rsidRPr="00EB31C6">
        <w:rPr>
          <w:b/>
          <w:i/>
        </w:rPr>
        <w:t>Vide un ilgtspēja</w:t>
      </w:r>
    </w:p>
    <w:p w:rsidR="008415C0" w:rsidRPr="00EB31C6" w:rsidRDefault="008415C0" w:rsidP="008415C0">
      <w:pPr>
        <w:pStyle w:val="NormalHanging12a"/>
        <w:rPr>
          <w:szCs w:val="24"/>
        </w:rPr>
      </w:pPr>
      <w:r w:rsidRPr="00EB31C6">
        <w:t>46.</w:t>
      </w:r>
      <w:r w:rsidRPr="00EB31C6">
        <w:tab/>
        <w:t>norāda, ka EDAU nav pievienojies Vides pārvaldības un audita sistēmai (</w:t>
      </w:r>
      <w:r w:rsidRPr="00EB31C6">
        <w:rPr>
          <w:i/>
        </w:rPr>
        <w:t>EMAS</w:t>
      </w:r>
      <w:r w:rsidRPr="00EB31C6">
        <w:t xml:space="preserve">), bet ir īstenojis vairākus pasākumus </w:t>
      </w:r>
      <w:proofErr w:type="spellStart"/>
      <w:r w:rsidRPr="00EB31C6">
        <w:t>vidiskās</w:t>
      </w:r>
      <w:proofErr w:type="spellEnd"/>
      <w:r w:rsidRPr="00EB31C6">
        <w:t xml:space="preserve"> pēdas samazināšanai, piemēram, papīra daudzuma samazināšanu pēc cilvēkresursu procesu </w:t>
      </w:r>
      <w:proofErr w:type="spellStart"/>
      <w:r w:rsidRPr="00EB31C6">
        <w:t>digitalizācijas</w:t>
      </w:r>
      <w:proofErr w:type="spellEnd"/>
      <w:r w:rsidRPr="00EB31C6">
        <w:t xml:space="preserve"> vai atkritumu pārstrādes; norāda, ka attiecībā uz vides infrastruktūru uz Parlamenta nomātās ēkas netika uzstādīti saules paneļi; aicina EDAU informēt budžeta izpildes </w:t>
      </w:r>
      <w:proofErr w:type="spellStart"/>
      <w:r w:rsidRPr="00EB31C6">
        <w:t>apstiprinātājiestādi</w:t>
      </w:r>
      <w:proofErr w:type="spellEnd"/>
      <w:r w:rsidRPr="00EB31C6">
        <w:t xml:space="preserve"> par jebkuru jaunu lēmumu uzstādīt saules enerģijas paneļus uz tā ēkas;</w:t>
      </w:r>
    </w:p>
    <w:p w:rsidR="008415C0" w:rsidRPr="00EB31C6" w:rsidRDefault="008415C0" w:rsidP="008415C0">
      <w:pPr>
        <w:pStyle w:val="NormalHanging12a"/>
        <w:rPr>
          <w:szCs w:val="24"/>
        </w:rPr>
      </w:pPr>
      <w:r w:rsidRPr="00EB31C6">
        <w:t>47.</w:t>
      </w:r>
      <w:r w:rsidRPr="00EB31C6">
        <w:tab/>
        <w:t>atzinīgi vērtē to, ka EDAU turpina veicināt sabiedriskā transporta izmantošanu, atlīdzinot 50 % no ikmēneša/gada maksas par sabiedrisko transportu un atvēlot pietiekami daudz vietas tā garāžās, lai darbinieki varētu novietot velosipēdus;</w:t>
      </w:r>
    </w:p>
    <w:p w:rsidR="008415C0" w:rsidRPr="00EB31C6" w:rsidRDefault="008415C0" w:rsidP="008415C0">
      <w:pPr>
        <w:pStyle w:val="NormalHanging12a"/>
        <w:rPr>
          <w:b/>
          <w:i/>
          <w:szCs w:val="24"/>
        </w:rPr>
      </w:pPr>
      <w:r w:rsidRPr="00EB31C6">
        <w:rPr>
          <w:b/>
          <w:i/>
        </w:rPr>
        <w:t>Iestāžu sadarbība</w:t>
      </w:r>
    </w:p>
    <w:p w:rsidR="008415C0" w:rsidRPr="00EB31C6" w:rsidRDefault="008415C0" w:rsidP="008415C0">
      <w:pPr>
        <w:pStyle w:val="NormalHanging12a"/>
        <w:rPr>
          <w:szCs w:val="24"/>
        </w:rPr>
      </w:pPr>
      <w:r w:rsidRPr="00EB31C6">
        <w:t>48.</w:t>
      </w:r>
      <w:r w:rsidRPr="00EB31C6">
        <w:tab/>
        <w:t>atzinīgi vērtē budžeta un administratīvos ietaupījumus, kas panākti iestāžu sadarbības rezultātā, it īpaši noslēdzot pakalpojumu līmeņa vienošanās ar Parlamentu par tā telpu nomu un IT sistēmas lietojumprogrammu izmantošanu, aparatūras piegādi un uzturēšanu, kā arī ar Komisiju par IKT pakalpojumiem;</w:t>
      </w:r>
    </w:p>
    <w:p w:rsidR="008415C0" w:rsidRPr="00EB31C6" w:rsidRDefault="008415C0" w:rsidP="008415C0">
      <w:pPr>
        <w:pStyle w:val="NormalHanging12a"/>
        <w:rPr>
          <w:szCs w:val="24"/>
        </w:rPr>
      </w:pPr>
      <w:r w:rsidRPr="00EB31C6">
        <w:t>49.</w:t>
      </w:r>
      <w:r w:rsidRPr="00EB31C6">
        <w:tab/>
        <w:t xml:space="preserve">norāda, ka EDAU cieši, kaut arī neoficiāli, sadarbojas ar </w:t>
      </w:r>
      <w:r w:rsidRPr="00EB31C6">
        <w:rPr>
          <w:i/>
        </w:rPr>
        <w:t>OLAF</w:t>
      </w:r>
      <w:r w:rsidRPr="00EB31C6">
        <w:t xml:space="preserve">, </w:t>
      </w:r>
      <w:r w:rsidRPr="00EB31C6">
        <w:rPr>
          <w:i/>
        </w:rPr>
        <w:t>EPPO</w:t>
      </w:r>
      <w:r w:rsidRPr="00EB31C6">
        <w:t xml:space="preserve"> un Revīzijas palātu, kurām tas sniedz konsultācijas par konkrētiem projektiem un jautājumiem papildus tā uzraudzības lomai; jo īpaši atzinīgi vērtē 2022. gadā īstenoto regulāro dialogu ar </w:t>
      </w:r>
      <w:r w:rsidRPr="00EB31C6">
        <w:rPr>
          <w:i/>
        </w:rPr>
        <w:t>EPPO</w:t>
      </w:r>
      <w:r w:rsidRPr="00EB31C6">
        <w:t xml:space="preserve"> kā </w:t>
      </w:r>
      <w:proofErr w:type="spellStart"/>
      <w:r w:rsidRPr="00EB31C6">
        <w:t>jaunizveidotu</w:t>
      </w:r>
      <w:proofErr w:type="spellEnd"/>
      <w:r w:rsidRPr="00EB31C6">
        <w:t xml:space="preserve"> iestādi; atzinīgi vērtē to, ka EDAU ir strukturētāka sadarbība ar </w:t>
      </w:r>
      <w:proofErr w:type="spellStart"/>
      <w:r w:rsidRPr="00EB31C6">
        <w:t>Ombudu</w:t>
      </w:r>
      <w:proofErr w:type="spellEnd"/>
      <w:r w:rsidRPr="00EB31C6">
        <w:t>, izmantojot saprašanās memorandu, kura mērķis ir noteikt kārtību, kādā EDAU sadarbojas sūdzību izskatīšanas līmenī;</w:t>
      </w:r>
    </w:p>
    <w:p w:rsidR="008415C0" w:rsidRPr="00EB31C6" w:rsidRDefault="008415C0" w:rsidP="008415C0">
      <w:pPr>
        <w:pStyle w:val="NormalHanging12a"/>
        <w:rPr>
          <w:szCs w:val="24"/>
        </w:rPr>
      </w:pPr>
      <w:r w:rsidRPr="00EB31C6">
        <w:t>50.</w:t>
      </w:r>
      <w:r w:rsidRPr="00EB31C6">
        <w:tab/>
        <w:t>norāda, ka iestāžu sadarbība ar EDAU, pildot uzraudzības funkcijas, ir būtiska, lai citas ESI varētu uzlabot savu atbilstību datu aizsardzības tiesiskajam regulējumam; pauž atzinību EDAU par to, ka tas ir uzņēmies vadošo lomu iestāžu līguma piešķiršanā par</w:t>
      </w:r>
      <w:r w:rsidRPr="00EB31C6">
        <w:rPr>
          <w:i/>
        </w:rPr>
        <w:t xml:space="preserve"> </w:t>
      </w:r>
      <w:proofErr w:type="spellStart"/>
      <w:r w:rsidRPr="00EB31C6">
        <w:rPr>
          <w:i/>
        </w:rPr>
        <w:t>Nextcloud</w:t>
      </w:r>
      <w:proofErr w:type="spellEnd"/>
      <w:r w:rsidRPr="00EB31C6">
        <w:t xml:space="preserve"> pakalpojumu sniegšanu parakstītājām ESI;</w:t>
      </w:r>
    </w:p>
    <w:p w:rsidR="008415C0" w:rsidRPr="00EB31C6" w:rsidRDefault="008415C0" w:rsidP="008415C0">
      <w:pPr>
        <w:pStyle w:val="NormalHanging12a"/>
        <w:rPr>
          <w:szCs w:val="24"/>
        </w:rPr>
      </w:pPr>
      <w:r w:rsidRPr="00EB31C6">
        <w:t>51.</w:t>
      </w:r>
      <w:r w:rsidRPr="00EB31C6">
        <w:tab/>
        <w:t xml:space="preserve">atzinīgi vērtē EDAU būtisko lomu 2022. gadā, koordinējot EDAU pārstāvēto dalībvalstu datu aizsardzības iestāžu (DAI) darbību nolūkā veicināt konsekventu datu aizsardzību visā Savienībā; norāda, ka EDAU piedalījās EDAK koordinētajā izpildes darbībā 2022. gadā attiecībā uz </w:t>
      </w:r>
      <w:proofErr w:type="spellStart"/>
      <w:r w:rsidRPr="00EB31C6">
        <w:t>mākoņpakalpojumu</w:t>
      </w:r>
      <w:proofErr w:type="spellEnd"/>
      <w:r w:rsidRPr="00EB31C6">
        <w:t xml:space="preserve"> izmantošanu Savienībā, kuras mērķis bija dalīties zināšanās un </w:t>
      </w:r>
      <w:proofErr w:type="spellStart"/>
      <w:r w:rsidRPr="00EB31C6">
        <w:t>paraugpraksē</w:t>
      </w:r>
      <w:proofErr w:type="spellEnd"/>
      <w:r w:rsidRPr="00EB31C6">
        <w:t xml:space="preserve"> ar EDAU, ESI un DAI;</w:t>
      </w:r>
    </w:p>
    <w:p w:rsidR="008415C0" w:rsidRPr="00EB31C6" w:rsidRDefault="008415C0" w:rsidP="008415C0">
      <w:pPr>
        <w:pStyle w:val="NormalHanging12a"/>
        <w:rPr>
          <w:b/>
          <w:i/>
          <w:szCs w:val="24"/>
        </w:rPr>
      </w:pPr>
      <w:r w:rsidRPr="00EB31C6">
        <w:rPr>
          <w:b/>
          <w:i/>
        </w:rPr>
        <w:t>Komunikācija</w:t>
      </w:r>
    </w:p>
    <w:p w:rsidR="008415C0" w:rsidRPr="00EB31C6" w:rsidRDefault="008415C0" w:rsidP="008415C0">
      <w:pPr>
        <w:pStyle w:val="NormalHanging12a"/>
        <w:rPr>
          <w:szCs w:val="24"/>
        </w:rPr>
      </w:pPr>
      <w:r w:rsidRPr="00EB31C6">
        <w:t>52.</w:t>
      </w:r>
      <w:r w:rsidRPr="00EB31C6">
        <w:tab/>
        <w:t>norāda, ka publiskās komunikācijas un reklāmas pasākumu budžets 2022. gadā bija 304 665 EUR, kas ir par 19 % vairāk nekā 2021. gadā; atzinīgi vērtē visaptverošo komunikācijas stratēģiju, kuras mērķis ir palielināt informētību par tās lomu un to, cik svarīgi ir ievērot Savienības datu aizsardzības noteikumus, vēršoties pie ESI, ES datu aizsardzības ekspertiem, kā arī plašas sabiedrības;</w:t>
      </w:r>
    </w:p>
    <w:p w:rsidR="008415C0" w:rsidRPr="00EB31C6" w:rsidRDefault="008415C0" w:rsidP="008415C0">
      <w:pPr>
        <w:pStyle w:val="NormalHanging12a"/>
        <w:rPr>
          <w:szCs w:val="24"/>
        </w:rPr>
      </w:pPr>
      <w:r w:rsidRPr="00EB31C6">
        <w:t>53.</w:t>
      </w:r>
      <w:r w:rsidRPr="00EB31C6">
        <w:tab/>
        <w:t xml:space="preserve">ar gandarījumu norāda, ka EDAU 2022. gadā </w:t>
      </w:r>
      <w:proofErr w:type="spellStart"/>
      <w:r w:rsidRPr="00EB31C6">
        <w:t>hibrīdrežīmā</w:t>
      </w:r>
      <w:proofErr w:type="spellEnd"/>
      <w:r w:rsidRPr="00EB31C6">
        <w:t xml:space="preserve"> organizēja vairākus komunikācijas pasākumus, it īpaši plašu starptautisku konferenci "Datu aizsardzības nākotne: efektīva īstenošana digitālajā pasaulē", kurā piedalījās vairāk nekā 2000 dalībnieku gan klātienē, gan attālināti;</w:t>
      </w:r>
    </w:p>
    <w:p w:rsidR="008415C0" w:rsidRPr="00EB31C6" w:rsidRDefault="008415C0" w:rsidP="008415C0">
      <w:pPr>
        <w:pStyle w:val="NormalHanging12a"/>
        <w:rPr>
          <w:szCs w:val="24"/>
        </w:rPr>
      </w:pPr>
      <w:r w:rsidRPr="00EB31C6">
        <w:t>54.</w:t>
      </w:r>
      <w:r w:rsidRPr="00EB31C6">
        <w:tab/>
        <w:t xml:space="preserve">norāda, ka EDAU sazinās tiešsaistē, izmantojot savu tīmekļa vietni un sociālo mediju kontus </w:t>
      </w:r>
      <w:r w:rsidRPr="00EB31C6">
        <w:rPr>
          <w:i/>
        </w:rPr>
        <w:t>X</w:t>
      </w:r>
      <w:r w:rsidRPr="00EB31C6">
        <w:t xml:space="preserve"> (bijušais</w:t>
      </w:r>
      <w:r w:rsidRPr="00EB31C6">
        <w:rPr>
          <w:i/>
        </w:rPr>
        <w:t xml:space="preserve"> </w:t>
      </w:r>
      <w:proofErr w:type="spellStart"/>
      <w:r w:rsidRPr="00EB31C6">
        <w:rPr>
          <w:i/>
        </w:rPr>
        <w:t>Twitter</w:t>
      </w:r>
      <w:proofErr w:type="spellEnd"/>
      <w:r w:rsidRPr="00EB31C6">
        <w:t xml:space="preserve">) (29 100 sekotāju), </w:t>
      </w:r>
      <w:proofErr w:type="spellStart"/>
      <w:r w:rsidRPr="00EB31C6">
        <w:rPr>
          <w:i/>
        </w:rPr>
        <w:t>LinkedIn</w:t>
      </w:r>
      <w:proofErr w:type="spellEnd"/>
      <w:r w:rsidRPr="00EB31C6">
        <w:rPr>
          <w:i/>
        </w:rPr>
        <w:t xml:space="preserve"> </w:t>
      </w:r>
      <w:r w:rsidRPr="00EB31C6">
        <w:t xml:space="preserve">(63 000 sekotāju), </w:t>
      </w:r>
      <w:proofErr w:type="spellStart"/>
      <w:r w:rsidRPr="00EB31C6">
        <w:rPr>
          <w:i/>
        </w:rPr>
        <w:t>YouTube</w:t>
      </w:r>
      <w:proofErr w:type="spellEnd"/>
      <w:r w:rsidRPr="00EB31C6">
        <w:t xml:space="preserve"> (275 000 sekotāju),</w:t>
      </w:r>
      <w:r w:rsidRPr="00EB31C6">
        <w:rPr>
          <w:i/>
        </w:rPr>
        <w:t xml:space="preserve"> EU-</w:t>
      </w:r>
      <w:proofErr w:type="spellStart"/>
      <w:r w:rsidRPr="00EB31C6">
        <w:rPr>
          <w:i/>
        </w:rPr>
        <w:t>Voice</w:t>
      </w:r>
      <w:proofErr w:type="spellEnd"/>
      <w:r w:rsidRPr="00EB31C6">
        <w:t xml:space="preserve"> (5100 sekotāju) un </w:t>
      </w:r>
      <w:r w:rsidRPr="00EB31C6">
        <w:rPr>
          <w:i/>
        </w:rPr>
        <w:t xml:space="preserve">EU-Video </w:t>
      </w:r>
      <w:r w:rsidRPr="00EB31C6">
        <w:t>(690 sekotāju); norāda, ka EDAU 2022. gadā uzsāka vairākas sociālo mediju kampaņas, kuru mērķis bija veicināt konkrētas iniciatīvas vai kuras tika īstenotas partnerībā ar citām ES iestādēm nolūkā palielināt iesaisti un informēt auditoriju par savām darbībām;</w:t>
      </w:r>
    </w:p>
    <w:p w:rsidR="008415C0" w:rsidRPr="00EB31C6" w:rsidRDefault="008415C0" w:rsidP="008415C0">
      <w:pPr>
        <w:pStyle w:val="NormalHanging12a"/>
        <w:rPr>
          <w:szCs w:val="24"/>
        </w:rPr>
      </w:pPr>
      <w:r w:rsidRPr="00EB31C6">
        <w:t>55.</w:t>
      </w:r>
      <w:r w:rsidRPr="00EB31C6">
        <w:tab/>
        <w:t>atzīst EDAU vadošo lomu, izmēģinot un popularizējot sociālo mediju kanālus, kas palīdz īstenot Savienības stratēģiju datu un digitālās suverenitātes jomā saskaņā ar datu aizsardzības tiesisko regulējumu;</w:t>
      </w:r>
    </w:p>
    <w:p w:rsidR="00E365E1" w:rsidRPr="00EB31C6" w:rsidRDefault="008415C0" w:rsidP="00EB31C6">
      <w:pPr>
        <w:pStyle w:val="NormalHanging12a"/>
      </w:pPr>
      <w:r w:rsidRPr="00EB31C6">
        <w:t>56.</w:t>
      </w:r>
      <w:r w:rsidRPr="00EB31C6">
        <w:tab/>
        <w:t xml:space="preserve">atkārtoti pauž atbalstu EDAU centieniem uzraudzīt un plašākai sabiedrībai izskaidrot jaunākās tehnoloģijas un to iespējamo ietekmi uz datu aizsardzību un privātumu, piemēram, izmantojot </w:t>
      </w:r>
      <w:proofErr w:type="spellStart"/>
      <w:r w:rsidRPr="00EB31C6">
        <w:rPr>
          <w:i/>
          <w:iCs/>
        </w:rPr>
        <w:t>TechDispatch</w:t>
      </w:r>
      <w:proofErr w:type="spellEnd"/>
      <w:r w:rsidRPr="00EB31C6">
        <w:t xml:space="preserve"> un </w:t>
      </w:r>
      <w:proofErr w:type="spellStart"/>
      <w:r w:rsidRPr="00EB31C6">
        <w:rPr>
          <w:i/>
          <w:iCs/>
        </w:rPr>
        <w:t>TechSonar</w:t>
      </w:r>
      <w:proofErr w:type="spellEnd"/>
      <w:r w:rsidRPr="00EB31C6">
        <w:t xml:space="preserve"> ziņojumus; vairāk mudina EDAU palielināt tā spējas tehnoloģiju uzraudzības jomā un uzsākt informācijas kampaņas par tā konstatējumiem un ieteikumiem.</w:t>
      </w:r>
      <w:bookmarkStart w:id="10" w:name="TextBodyEnd"/>
      <w:bookmarkEnd w:id="10"/>
    </w:p>
    <w:sectPr w:rsidR="00E365E1" w:rsidRPr="00EB31C6" w:rsidSect="003A6557">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57DF" w:rsidRPr="003A6557" w:rsidRDefault="003557DF">
      <w:r w:rsidRPr="003A6557">
        <w:separator/>
      </w:r>
    </w:p>
  </w:endnote>
  <w:endnote w:type="continuationSeparator" w:id="0">
    <w:p w:rsidR="003557DF" w:rsidRPr="003A6557" w:rsidRDefault="003557DF">
      <w:r w:rsidRPr="003A65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15C0" w:rsidRPr="003A6557" w:rsidRDefault="008415C0" w:rsidP="00143495">
    <w:pPr>
      <w:pStyle w:val="EPFooter"/>
    </w:pPr>
    <w:r w:rsidRPr="003A6557">
      <w:t>PE</w:t>
    </w:r>
    <w:r w:rsidRPr="003A6557">
      <w:rPr>
        <w:rStyle w:val="HideTWBExt"/>
      </w:rPr>
      <w:t>&lt;NoPE&gt;</w:t>
    </w:r>
    <w:r w:rsidRPr="003A6557">
      <w:t>753.487</w:t>
    </w:r>
    <w:r w:rsidRPr="003A6557">
      <w:rPr>
        <w:rStyle w:val="HideTWBExt"/>
      </w:rPr>
      <w:t>&lt;/NoPE&gt;&lt;Version&gt;</w:t>
    </w:r>
    <w:r w:rsidRPr="003A6557">
      <w:t>v02-00</w:t>
    </w:r>
    <w:r w:rsidRPr="003A6557">
      <w:rPr>
        <w:rStyle w:val="HideTWBExt"/>
      </w:rPr>
      <w:t>&lt;/Version&gt;</w:t>
    </w:r>
    <w:r w:rsidRPr="003A6557">
      <w:tab/>
    </w:r>
    <w:r w:rsidRPr="003A6557">
      <w:fldChar w:fldCharType="begin"/>
    </w:r>
    <w:r w:rsidRPr="003A6557">
      <w:instrText xml:space="preserve"> PAGE  \* MERGEFORMAT </w:instrText>
    </w:r>
    <w:r w:rsidRPr="003A6557">
      <w:fldChar w:fldCharType="separate"/>
    </w:r>
    <w:r w:rsidRPr="003A6557">
      <w:rPr>
        <w:noProof/>
      </w:rPr>
      <w:t>2</w:t>
    </w:r>
    <w:r w:rsidRPr="003A6557">
      <w:fldChar w:fldCharType="end"/>
    </w:r>
    <w:r w:rsidRPr="003A6557">
      <w:t>/</w:t>
    </w:r>
    <w:r w:rsidR="00F11B51">
      <w:fldChar w:fldCharType="begin"/>
    </w:r>
    <w:r w:rsidR="00F11B51">
      <w:instrText xml:space="preserve"> NUMPAGES  \* MERGEFORMAT </w:instrText>
    </w:r>
    <w:r w:rsidR="00F11B51">
      <w:fldChar w:fldCharType="separate"/>
    </w:r>
    <w:r w:rsidRPr="003A6557">
      <w:rPr>
        <w:noProof/>
      </w:rPr>
      <w:t>2</w:t>
    </w:r>
    <w:r w:rsidR="00F11B51">
      <w:rPr>
        <w:noProof/>
      </w:rPr>
      <w:fldChar w:fldCharType="end"/>
    </w:r>
    <w:r w:rsidRPr="003A6557">
      <w:tab/>
    </w:r>
    <w:r w:rsidRPr="003A6557">
      <w:rPr>
        <w:rStyle w:val="HideTWBExt"/>
      </w:rPr>
      <w:t>&lt;PathFdR&gt;</w:t>
    </w:r>
    <w:r w:rsidRPr="003A6557">
      <w:t>RR\1298695LV.docx</w:t>
    </w:r>
    <w:r w:rsidRPr="003A6557">
      <w:rPr>
        <w:rStyle w:val="HideTWBExt"/>
      </w:rPr>
      <w:t>&lt;/PathFdR&gt;</w:t>
    </w:r>
  </w:p>
  <w:p w:rsidR="008415C0" w:rsidRPr="003A6557" w:rsidRDefault="008415C0" w:rsidP="00143495">
    <w:pPr>
      <w:pStyle w:val="EPFooter2"/>
    </w:pPr>
    <w:r w:rsidRPr="003A6557">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15C0" w:rsidRPr="003A6557" w:rsidRDefault="008415C0" w:rsidP="00143495">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15C0" w:rsidRPr="003A6557" w:rsidRDefault="008415C0" w:rsidP="00143495">
    <w:pPr>
      <w:pStyle w:val="EPFooter"/>
    </w:pPr>
    <w:r w:rsidRPr="003A6557">
      <w:rPr>
        <w:rStyle w:val="HideTWBExt"/>
      </w:rPr>
      <w:t>&lt;PathFdR&gt;</w:t>
    </w:r>
    <w:r w:rsidRPr="003A6557">
      <w:t>RR\1298695LV.docx</w:t>
    </w:r>
    <w:r w:rsidRPr="003A6557">
      <w:rPr>
        <w:rStyle w:val="HideTWBExt"/>
      </w:rPr>
      <w:t>&lt;/PathFdR&gt;</w:t>
    </w:r>
    <w:r w:rsidRPr="003A6557">
      <w:tab/>
    </w:r>
    <w:r w:rsidRPr="003A6557">
      <w:tab/>
      <w:t>PE</w:t>
    </w:r>
    <w:r w:rsidRPr="003A6557">
      <w:rPr>
        <w:rStyle w:val="HideTWBExt"/>
      </w:rPr>
      <w:t>&lt;NoPE&gt;</w:t>
    </w:r>
    <w:r w:rsidRPr="003A6557">
      <w:t>753.487</w:t>
    </w:r>
    <w:r w:rsidRPr="003A6557">
      <w:rPr>
        <w:rStyle w:val="HideTWBExt"/>
      </w:rPr>
      <w:t>&lt;/NoPE&gt;&lt;Version&gt;</w:t>
    </w:r>
    <w:r w:rsidRPr="003A6557">
      <w:t>v02-00</w:t>
    </w:r>
    <w:r w:rsidRPr="003A6557">
      <w:rPr>
        <w:rStyle w:val="HideTWBExt"/>
      </w:rPr>
      <w:t>&lt;/Version&gt;</w:t>
    </w:r>
  </w:p>
  <w:p w:rsidR="008415C0" w:rsidRPr="003A6557" w:rsidRDefault="008415C0" w:rsidP="00143495">
    <w:pPr>
      <w:pStyle w:val="EPFooter2"/>
    </w:pPr>
    <w:r w:rsidRPr="003A6557">
      <w:t>LV</w:t>
    </w:r>
    <w:r w:rsidRPr="003A6557">
      <w:tab/>
    </w:r>
    <w:r w:rsidRPr="003A6557">
      <w:rPr>
        <w:b w:val="0"/>
        <w:i/>
        <w:color w:val="C0C0C0"/>
        <w:sz w:val="22"/>
      </w:rPr>
      <w:t>Vienoti daudzveidībā</w:t>
    </w:r>
    <w:r w:rsidRPr="003A6557">
      <w:tab/>
      <w:t>LV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6557"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6557"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655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57DF" w:rsidRPr="003A6557" w:rsidRDefault="003557DF">
      <w:r w:rsidRPr="003A6557">
        <w:separator/>
      </w:r>
    </w:p>
  </w:footnote>
  <w:footnote w:type="continuationSeparator" w:id="0">
    <w:p w:rsidR="003557DF" w:rsidRPr="003A6557" w:rsidRDefault="003557DF">
      <w:r w:rsidRPr="003A6557">
        <w:continuationSeparator/>
      </w:r>
    </w:p>
  </w:footnote>
  <w:footnote w:id="1">
    <w:p w:rsidR="008415C0" w:rsidRPr="003A6557" w:rsidRDefault="008415C0" w:rsidP="003A6557">
      <w:pPr>
        <w:pStyle w:val="FootnoteText"/>
        <w:ind w:left="567" w:hanging="567"/>
        <w:rPr>
          <w:sz w:val="24"/>
          <w:lang w:val="lv-LV"/>
        </w:rPr>
      </w:pPr>
      <w:r w:rsidRPr="003A6557">
        <w:rPr>
          <w:rStyle w:val="FootnoteReference"/>
          <w:sz w:val="24"/>
          <w:lang w:val="lv-LV"/>
        </w:rPr>
        <w:footnoteRef/>
      </w:r>
      <w:r w:rsidR="003A6557" w:rsidRPr="003A6557">
        <w:rPr>
          <w:sz w:val="24"/>
          <w:lang w:val="lv-LV"/>
        </w:rPr>
        <w:t xml:space="preserve"> </w:t>
      </w:r>
      <w:r w:rsidR="003A6557" w:rsidRPr="003A6557">
        <w:rPr>
          <w:sz w:val="24"/>
          <w:lang w:val="lv-LV"/>
        </w:rPr>
        <w:tab/>
      </w:r>
      <w:r w:rsidRPr="003A6557">
        <w:rPr>
          <w:sz w:val="24"/>
          <w:lang w:val="lv-LV"/>
        </w:rPr>
        <w:t>OV L 45, 24.2.2022..</w:t>
      </w:r>
    </w:p>
  </w:footnote>
  <w:footnote w:id="2">
    <w:p w:rsidR="008415C0" w:rsidRPr="003A6557" w:rsidRDefault="008415C0" w:rsidP="003A6557">
      <w:pPr>
        <w:pStyle w:val="FootnoteText"/>
        <w:ind w:left="567" w:hanging="567"/>
        <w:rPr>
          <w:sz w:val="24"/>
          <w:lang w:val="lv-LV"/>
        </w:rPr>
      </w:pPr>
      <w:r w:rsidRPr="003A6557">
        <w:rPr>
          <w:rStyle w:val="FootnoteReference"/>
          <w:sz w:val="24"/>
          <w:lang w:val="lv-LV"/>
        </w:rPr>
        <w:footnoteRef/>
      </w:r>
      <w:r w:rsidR="003A6557" w:rsidRPr="003A6557">
        <w:rPr>
          <w:sz w:val="24"/>
          <w:lang w:val="lv-LV"/>
        </w:rPr>
        <w:t xml:space="preserve"> </w:t>
      </w:r>
      <w:r w:rsidR="003A6557" w:rsidRPr="003A6557">
        <w:rPr>
          <w:sz w:val="24"/>
          <w:lang w:val="lv-LV"/>
        </w:rPr>
        <w:tab/>
      </w:r>
      <w:r w:rsidRPr="003A6557">
        <w:rPr>
          <w:sz w:val="24"/>
          <w:lang w:val="lv-LV"/>
        </w:rPr>
        <w:t>OV C, C/2023/2, 12.10.2023.</w:t>
      </w:r>
    </w:p>
  </w:footnote>
  <w:footnote w:id="3">
    <w:p w:rsidR="008415C0" w:rsidRPr="003A6557" w:rsidRDefault="008415C0" w:rsidP="003A6557">
      <w:pPr>
        <w:pStyle w:val="FootnoteText"/>
        <w:ind w:left="567" w:hanging="567"/>
        <w:rPr>
          <w:sz w:val="24"/>
          <w:lang w:val="lv-LV"/>
        </w:rPr>
      </w:pPr>
      <w:r w:rsidRPr="003A6557">
        <w:rPr>
          <w:rStyle w:val="FootnoteReference"/>
          <w:sz w:val="24"/>
          <w:lang w:val="lv-LV"/>
        </w:rPr>
        <w:footnoteRef/>
      </w:r>
      <w:r w:rsidR="003A6557" w:rsidRPr="003A6557">
        <w:rPr>
          <w:sz w:val="24"/>
          <w:lang w:val="lv-LV"/>
        </w:rPr>
        <w:t xml:space="preserve"> </w:t>
      </w:r>
      <w:r w:rsidR="003A6557" w:rsidRPr="003A6557">
        <w:rPr>
          <w:sz w:val="24"/>
          <w:lang w:val="lv-LV"/>
        </w:rPr>
        <w:tab/>
      </w:r>
      <w:r w:rsidRPr="003A6557">
        <w:rPr>
          <w:sz w:val="24"/>
          <w:lang w:val="lv-LV"/>
        </w:rPr>
        <w:t>OV C, C/2023/103, 4.10.2023.</w:t>
      </w:r>
    </w:p>
  </w:footnote>
  <w:footnote w:id="4">
    <w:p w:rsidR="008415C0" w:rsidRPr="003A6557" w:rsidRDefault="008415C0" w:rsidP="003A6557">
      <w:pPr>
        <w:pStyle w:val="FootnoteText"/>
        <w:ind w:left="567" w:hanging="567"/>
        <w:rPr>
          <w:sz w:val="24"/>
          <w:lang w:val="lv-LV"/>
        </w:rPr>
      </w:pPr>
      <w:r w:rsidRPr="003A6557">
        <w:rPr>
          <w:rStyle w:val="FootnoteReference"/>
          <w:sz w:val="24"/>
          <w:lang w:val="lv-LV"/>
        </w:rPr>
        <w:footnoteRef/>
      </w:r>
      <w:r w:rsidR="003A6557" w:rsidRPr="003A6557">
        <w:rPr>
          <w:sz w:val="24"/>
          <w:lang w:val="lv-LV"/>
        </w:rPr>
        <w:t xml:space="preserve"> </w:t>
      </w:r>
      <w:r w:rsidR="003A6557" w:rsidRPr="003A6557">
        <w:rPr>
          <w:sz w:val="24"/>
          <w:lang w:val="lv-LV"/>
        </w:rPr>
        <w:tab/>
      </w:r>
      <w:r w:rsidRPr="003A6557">
        <w:rPr>
          <w:sz w:val="24"/>
          <w:lang w:val="lv-LV"/>
        </w:rPr>
        <w:t>OV C, C/2023/112, 12.10.2023.</w:t>
      </w:r>
    </w:p>
  </w:footnote>
  <w:footnote w:id="5">
    <w:p w:rsidR="008415C0" w:rsidRPr="003A6557" w:rsidRDefault="008415C0" w:rsidP="003A6557">
      <w:pPr>
        <w:pStyle w:val="FootnoteText"/>
        <w:ind w:left="567" w:hanging="567"/>
        <w:rPr>
          <w:sz w:val="24"/>
          <w:szCs w:val="24"/>
          <w:lang w:val="lv-LV"/>
        </w:rPr>
      </w:pPr>
      <w:r w:rsidRPr="003A6557">
        <w:rPr>
          <w:rStyle w:val="FootnoteReference"/>
          <w:sz w:val="24"/>
          <w:lang w:val="lv-LV"/>
        </w:rPr>
        <w:footnoteRef/>
      </w:r>
      <w:r w:rsidR="003A6557" w:rsidRPr="003A6557">
        <w:rPr>
          <w:sz w:val="24"/>
          <w:lang w:val="lv-LV"/>
        </w:rPr>
        <w:t xml:space="preserve"> </w:t>
      </w:r>
      <w:r w:rsidR="003A6557" w:rsidRPr="003A6557">
        <w:rPr>
          <w:sz w:val="24"/>
          <w:lang w:val="lv-LV"/>
        </w:rPr>
        <w:tab/>
      </w:r>
      <w:r w:rsidRPr="003A6557">
        <w:rPr>
          <w:sz w:val="24"/>
          <w:lang w:val="lv-LV"/>
        </w:rPr>
        <w:t>OV L 193, 30.7.2018., 1. lpp.</w:t>
      </w:r>
    </w:p>
  </w:footnote>
  <w:footnote w:id="6">
    <w:p w:rsidR="008415C0" w:rsidRPr="003A6557" w:rsidRDefault="008415C0" w:rsidP="003A6557">
      <w:pPr>
        <w:pStyle w:val="FootnoteText"/>
        <w:ind w:left="567" w:hanging="567"/>
        <w:rPr>
          <w:sz w:val="24"/>
          <w:lang w:val="lv-LV"/>
        </w:rPr>
      </w:pPr>
      <w:r w:rsidRPr="003A6557">
        <w:rPr>
          <w:rStyle w:val="FootnoteReference"/>
          <w:sz w:val="24"/>
          <w:lang w:val="lv-LV"/>
        </w:rPr>
        <w:footnoteRef/>
      </w:r>
      <w:r w:rsidR="003A6557" w:rsidRPr="003A6557">
        <w:rPr>
          <w:sz w:val="24"/>
          <w:lang w:val="lv-LV"/>
        </w:rPr>
        <w:t xml:space="preserve"> </w:t>
      </w:r>
      <w:r w:rsidR="003A6557" w:rsidRPr="003A6557">
        <w:rPr>
          <w:sz w:val="24"/>
          <w:lang w:val="lv-LV"/>
        </w:rPr>
        <w:tab/>
      </w:r>
      <w:r w:rsidRPr="003A6557">
        <w:rPr>
          <w:sz w:val="24"/>
          <w:lang w:val="lv-LV"/>
        </w:rPr>
        <w:t xml:space="preserve">Eiropas Parlamenta un Padomes Regula (ES) 2022/991 (2022. gada 8. jūnijs), ar ko Regulu (ES) 2016/794 groza attiecībā uz Eiropola sadarbību ar privātajām pusēm, personas datu apstrādi, ko Eiropols veic </w:t>
      </w:r>
      <w:proofErr w:type="spellStart"/>
      <w:r w:rsidRPr="003A6557">
        <w:rPr>
          <w:sz w:val="24"/>
          <w:lang w:val="lv-LV"/>
        </w:rPr>
        <w:t>kriminālizmeklēšanas</w:t>
      </w:r>
      <w:proofErr w:type="spellEnd"/>
      <w:r w:rsidRPr="003A6557">
        <w:rPr>
          <w:sz w:val="24"/>
          <w:lang w:val="lv-LV"/>
        </w:rPr>
        <w:t xml:space="preserve"> atbalstam, un Eiropola lomu pētniecībā un inovācijā (OV L 169, 27.6.2022., 1. lpp.).</w:t>
      </w:r>
    </w:p>
  </w:footnote>
  <w:footnote w:id="7">
    <w:p w:rsidR="008415C0" w:rsidRPr="003A6557" w:rsidRDefault="008415C0" w:rsidP="003A6557">
      <w:pPr>
        <w:pStyle w:val="FootnoteText"/>
        <w:ind w:left="567" w:hanging="567"/>
        <w:rPr>
          <w:sz w:val="24"/>
          <w:lang w:val="lv-LV"/>
        </w:rPr>
      </w:pPr>
      <w:r w:rsidRPr="003A6557">
        <w:rPr>
          <w:rStyle w:val="FootnoteReference"/>
          <w:sz w:val="24"/>
          <w:lang w:val="lv-LV"/>
        </w:rPr>
        <w:footnoteRef/>
      </w:r>
      <w:r w:rsidR="003A6557" w:rsidRPr="003A6557">
        <w:rPr>
          <w:sz w:val="24"/>
          <w:lang w:val="lv-LV"/>
        </w:rPr>
        <w:t xml:space="preserve"> </w:t>
      </w:r>
      <w:r w:rsidR="003A6557" w:rsidRPr="003A6557">
        <w:rPr>
          <w:sz w:val="24"/>
          <w:lang w:val="lv-LV"/>
        </w:rPr>
        <w:tab/>
      </w:r>
      <w:r w:rsidRPr="003A6557">
        <w:rPr>
          <w:sz w:val="24"/>
          <w:lang w:val="lv-LV"/>
        </w:rPr>
        <w:t>Eiropas Parlamenta un Padomes Regula (ES) 2016/794 (2016. gada 11. maijs) par Eiropas Savienības Aģentūru tiesībaizsardzības sadarbībai (Eiropolu) un ar kuru aizstāj un atceļ Padomes Lēmumus 2009/371/TI, 2009/934/TI, 2009/935/TI, 2009/936/TI un 2009/968/TI (OV L 135, 24.5.2016., 53. lpp.).</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15C0" w:rsidRPr="003A6557" w:rsidRDefault="008415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15C0" w:rsidRPr="003A6557" w:rsidRDefault="008415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15C0" w:rsidRPr="003A6557" w:rsidRDefault="008415C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6557"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6557"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A655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6/2024"/>
    <w:docVar w:name="dvlangue" w:val="LV"/>
    <w:docVar w:name="dvnumam" w:val="0"/>
    <w:docVar w:name="dvpe" w:val="753.487"/>
    <w:docVar w:name="dvrapporteur" w:val="Referents: "/>
    <w:docVar w:name="dvtitre" w:val="Eiropas Parlamenta 2024. gada XX. XXX lēmums par Eiropas Savienības 2022. finanšu gada vispārējā budžeta izpildes apstiprināšanu, IX iedaļa — Eiropas Datu aizsardzības uzraudzītājs(2023/2138(DEC))"/>
  </w:docVars>
  <w:rsids>
    <w:rsidRoot w:val="003557DF"/>
    <w:rsid w:val="00002272"/>
    <w:rsid w:val="00064002"/>
    <w:rsid w:val="000677B9"/>
    <w:rsid w:val="000831BA"/>
    <w:rsid w:val="000A42CC"/>
    <w:rsid w:val="000E7DD9"/>
    <w:rsid w:val="0010095E"/>
    <w:rsid w:val="00125B37"/>
    <w:rsid w:val="00187494"/>
    <w:rsid w:val="001F32AE"/>
    <w:rsid w:val="002355E8"/>
    <w:rsid w:val="002767FF"/>
    <w:rsid w:val="002B18FE"/>
    <w:rsid w:val="002B5493"/>
    <w:rsid w:val="00343214"/>
    <w:rsid w:val="003557DF"/>
    <w:rsid w:val="00361C00"/>
    <w:rsid w:val="00395FA1"/>
    <w:rsid w:val="003A6557"/>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15C0"/>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31C6"/>
    <w:rsid w:val="00EB4772"/>
    <w:rsid w:val="00ED169E"/>
    <w:rsid w:val="00ED4235"/>
    <w:rsid w:val="00F04346"/>
    <w:rsid w:val="00F075DC"/>
    <w:rsid w:val="00F11B51"/>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C2D708"/>
  <w15:chartTrackingRefBased/>
  <w15:docId w15:val="{A3B619D1-BC8D-4F51-B8AE-C115039E9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415C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415C0"/>
    <w:pPr>
      <w:spacing w:before="480" w:after="240"/>
    </w:pPr>
  </w:style>
  <w:style w:type="paragraph" w:customStyle="1" w:styleId="PageHeading">
    <w:name w:val="PageHeading"/>
    <w:basedOn w:val="Normal"/>
    <w:rsid w:val="008415C0"/>
    <w:pPr>
      <w:keepNext/>
      <w:spacing w:after="480"/>
      <w:jc w:val="center"/>
    </w:pPr>
    <w:rPr>
      <w:rFonts w:ascii="Arial" w:hAnsi="Arial" w:cs="Arial"/>
      <w:b/>
    </w:rPr>
  </w:style>
  <w:style w:type="paragraph" w:customStyle="1" w:styleId="NormalBold">
    <w:name w:val="NormalBold"/>
    <w:basedOn w:val="Normal"/>
    <w:rsid w:val="008415C0"/>
    <w:rPr>
      <w:b/>
    </w:rPr>
  </w:style>
  <w:style w:type="paragraph" w:customStyle="1" w:styleId="NormalHanging12a">
    <w:name w:val="NormalHanging12a"/>
    <w:basedOn w:val="Normal"/>
    <w:link w:val="NormalHanging12aChar"/>
    <w:qFormat/>
    <w:rsid w:val="008415C0"/>
    <w:pPr>
      <w:spacing w:after="240"/>
      <w:ind w:left="567" w:hanging="567"/>
    </w:pPr>
  </w:style>
  <w:style w:type="paragraph" w:styleId="Header">
    <w:name w:val="header"/>
    <w:basedOn w:val="Normal"/>
    <w:link w:val="HeaderChar"/>
    <w:rsid w:val="008415C0"/>
    <w:pPr>
      <w:tabs>
        <w:tab w:val="center" w:pos="4513"/>
        <w:tab w:val="right" w:pos="9026"/>
      </w:tabs>
    </w:pPr>
  </w:style>
  <w:style w:type="character" w:customStyle="1" w:styleId="HeaderChar">
    <w:name w:val="Header Char"/>
    <w:basedOn w:val="DefaultParagraphFont"/>
    <w:link w:val="Header"/>
    <w:rsid w:val="008415C0"/>
    <w:rPr>
      <w:sz w:val="24"/>
      <w:lang w:val="lv-LV"/>
    </w:rPr>
  </w:style>
  <w:style w:type="paragraph" w:customStyle="1" w:styleId="EPFooter">
    <w:name w:val="EPFooter"/>
    <w:basedOn w:val="Normal"/>
    <w:rsid w:val="008415C0"/>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8415C0"/>
    <w:rPr>
      <w:sz w:val="24"/>
      <w:lang w:val="lv-LV"/>
    </w:rPr>
  </w:style>
  <w:style w:type="paragraph" w:styleId="BalloonText">
    <w:name w:val="Balloon Text"/>
    <w:basedOn w:val="Normal"/>
    <w:link w:val="BalloonTextChar"/>
    <w:rsid w:val="002355E8"/>
    <w:rPr>
      <w:rFonts w:ascii="Segoe UI" w:hAnsi="Segoe UI" w:cs="Segoe UI"/>
      <w:sz w:val="18"/>
      <w:szCs w:val="18"/>
    </w:rPr>
  </w:style>
  <w:style w:type="character" w:customStyle="1" w:styleId="BalloonTextChar">
    <w:name w:val="Balloon Text Char"/>
    <w:basedOn w:val="DefaultParagraphFont"/>
    <w:link w:val="BalloonText"/>
    <w:rsid w:val="002355E8"/>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B599E1-7C64-4E95-99E6-11CF4C7AB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3710</Words>
  <Characters>23803</Characters>
  <Application>Microsoft Office Word</Application>
  <DocSecurity>0</DocSecurity>
  <Lines>1190</Lines>
  <Paragraphs>743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2024-05-23T14:44:00Z</dcterms:created>
  <dcterms:modified xsi:type="dcterms:W3CDTF">2024-05-23T14:44:00Z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P9_TA(2024)0235_</vt:lpwstr>
  </property>
  <property fmtid="{D5CDD505-2E9C-101B-9397-08002B2CF9AE}" pid="4" name="&lt;Type&gt;">
    <vt:lpwstr>RR</vt:lpwstr>
  </property>
</Properties>
</file>