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FCD" w:rsidTr="0010095E">
        <w:trPr>
          <w:trHeight w:hRule="exact" w:val="1418"/>
        </w:trPr>
        <w:tc>
          <w:tcPr>
            <w:tcW w:w="6804" w:type="dxa"/>
            <w:shd w:val="clear" w:color="auto" w:fill="auto"/>
            <w:vAlign w:val="center"/>
          </w:tcPr>
          <w:p w:rsidR="00751A4A" w:rsidRPr="003A1FCD" w:rsidRDefault="008F7FD8" w:rsidP="0010095E">
            <w:pPr>
              <w:pStyle w:val="EPName"/>
            </w:pPr>
            <w:r w:rsidRPr="003A1FCD">
              <w:t>Europees Parlement</w:t>
            </w:r>
          </w:p>
          <w:p w:rsidR="00751A4A" w:rsidRPr="003A1FCD" w:rsidRDefault="00817416" w:rsidP="00756632">
            <w:pPr>
              <w:pStyle w:val="EPTerm"/>
              <w:rPr>
                <w:rStyle w:val="HideTWBExt"/>
                <w:noProof w:val="0"/>
                <w:vanish w:val="0"/>
                <w:color w:val="auto"/>
              </w:rPr>
            </w:pPr>
            <w:r w:rsidRPr="003A1FCD">
              <w:t>2019-2024</w:t>
            </w:r>
          </w:p>
        </w:tc>
        <w:tc>
          <w:tcPr>
            <w:tcW w:w="2268" w:type="dxa"/>
            <w:shd w:val="clear" w:color="auto" w:fill="auto"/>
          </w:tcPr>
          <w:p w:rsidR="00751A4A" w:rsidRPr="003A1FCD" w:rsidRDefault="00187494" w:rsidP="0010095E">
            <w:pPr>
              <w:pStyle w:val="EPLogo"/>
            </w:pPr>
            <w:r w:rsidRPr="003A1F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1FCD" w:rsidRDefault="00D058B8" w:rsidP="004C5D52">
      <w:pPr>
        <w:pStyle w:val="LineTop"/>
      </w:pPr>
    </w:p>
    <w:p w:rsidR="00680577" w:rsidRPr="003A1FCD" w:rsidRDefault="008F7FD8" w:rsidP="00680577">
      <w:pPr>
        <w:pStyle w:val="EPBodyTA1"/>
      </w:pPr>
      <w:r w:rsidRPr="003A1FCD">
        <w:t>AANGENOMEN TEKSTEN</w:t>
      </w:r>
    </w:p>
    <w:p w:rsidR="00D058B8" w:rsidRPr="003A1FCD" w:rsidRDefault="00D058B8" w:rsidP="00D058B8">
      <w:pPr>
        <w:pStyle w:val="LineBottom"/>
      </w:pPr>
    </w:p>
    <w:p w:rsidR="008F7FD8" w:rsidRPr="003A1FCD" w:rsidRDefault="008F7FD8" w:rsidP="008F7FD8">
      <w:pPr>
        <w:pStyle w:val="ATHeading1"/>
      </w:pPr>
      <w:bookmarkStart w:id="0" w:name="TANumber"/>
      <w:r w:rsidRPr="003A1FCD">
        <w:t>P9_</w:t>
      </w:r>
      <w:proofErr w:type="gramStart"/>
      <w:r w:rsidRPr="003A1FCD">
        <w:t>TA(</w:t>
      </w:r>
      <w:proofErr w:type="gramEnd"/>
      <w:r w:rsidRPr="003A1FCD">
        <w:t>2024)0</w:t>
      </w:r>
      <w:bookmarkEnd w:id="0"/>
      <w:r w:rsidR="003A1FCD" w:rsidRPr="003A1FCD">
        <w:t>235</w:t>
      </w:r>
    </w:p>
    <w:p w:rsidR="008F7FD8" w:rsidRPr="003A1FCD" w:rsidRDefault="008F7FD8" w:rsidP="008F7FD8">
      <w:pPr>
        <w:pStyle w:val="ATHeading2"/>
      </w:pPr>
      <w:bookmarkStart w:id="1" w:name="title"/>
      <w:r w:rsidRPr="003A1FCD">
        <w:t>Kwijting 2022: Algemene begroting van de EU – Europese Toezichthouder voor gegevensbescherming</w:t>
      </w:r>
      <w:bookmarkEnd w:id="1"/>
    </w:p>
    <w:p w:rsidR="008F7FD8" w:rsidRPr="003A1FCD" w:rsidRDefault="008F7FD8" w:rsidP="008F7FD8">
      <w:pPr>
        <w:rPr>
          <w:i/>
          <w:vanish/>
        </w:rPr>
      </w:pPr>
      <w:r w:rsidRPr="003A1FCD">
        <w:rPr>
          <w:i/>
        </w:rPr>
        <w:fldChar w:fldCharType="begin"/>
      </w:r>
      <w:r w:rsidRPr="003A1FCD">
        <w:rPr>
          <w:i/>
        </w:rPr>
        <w:instrText xml:space="preserve"> TC"(</w:instrText>
      </w:r>
      <w:bookmarkStart w:id="2" w:name="DocNumber"/>
      <w:r w:rsidRPr="003A1FCD">
        <w:rPr>
          <w:i/>
        </w:rPr>
        <w:instrText>A9-0086/2024</w:instrText>
      </w:r>
      <w:bookmarkEnd w:id="2"/>
      <w:r w:rsidRPr="003A1FCD">
        <w:rPr>
          <w:i/>
        </w:rPr>
        <w:instrText xml:space="preserve"> - Rapporteur: Luke Ming Flanagan)"\l3 \n&gt; \* MERGEFORMAT </w:instrText>
      </w:r>
      <w:r w:rsidRPr="003A1FCD">
        <w:rPr>
          <w:i/>
        </w:rPr>
        <w:fldChar w:fldCharType="end"/>
      </w:r>
    </w:p>
    <w:p w:rsidR="008F7FD8" w:rsidRPr="003A1FCD" w:rsidRDefault="008F7FD8" w:rsidP="008F7FD8">
      <w:pPr>
        <w:rPr>
          <w:vanish/>
        </w:rPr>
      </w:pPr>
      <w:bookmarkStart w:id="3" w:name="Commission"/>
      <w:r w:rsidRPr="003A1FCD">
        <w:rPr>
          <w:vanish/>
        </w:rPr>
        <w:t>Commissie begrotingscontrole</w:t>
      </w:r>
      <w:bookmarkEnd w:id="3"/>
    </w:p>
    <w:p w:rsidR="008F7FD8" w:rsidRPr="003A1FCD" w:rsidRDefault="008F7FD8" w:rsidP="008F7FD8">
      <w:pPr>
        <w:rPr>
          <w:vanish/>
        </w:rPr>
      </w:pPr>
      <w:bookmarkStart w:id="4" w:name="PE"/>
      <w:r w:rsidRPr="003A1FCD">
        <w:rPr>
          <w:vanish/>
        </w:rPr>
        <w:t>PE753.487</w:t>
      </w:r>
      <w:bookmarkEnd w:id="4"/>
    </w:p>
    <w:p w:rsidR="008F7FD8" w:rsidRPr="003A1FCD" w:rsidRDefault="00EC56BD" w:rsidP="008F7FD8">
      <w:pPr>
        <w:pStyle w:val="ATHeading3"/>
      </w:pPr>
      <w:bookmarkStart w:id="5" w:name="Sujet"/>
      <w:r w:rsidRPr="003A1FCD">
        <w:t>1. B</w:t>
      </w:r>
      <w:r w:rsidR="008F7FD8" w:rsidRPr="003A1FCD">
        <w:t xml:space="preserve">esluit van het Europees Parlement van </w:t>
      </w:r>
      <w:r w:rsidRPr="003A1FCD">
        <w:t>11</w:t>
      </w:r>
      <w:r w:rsidR="008F7FD8" w:rsidRPr="003A1FCD">
        <w:t xml:space="preserve"> april 2024 over het verlenen van kwijting voor de uitvoering van de algemene begroting van de Europese Unie voor het begrotingsjaar 2022, afdeling IX – Europese Toezichthouder voor gegevensbescherming</w:t>
      </w:r>
      <w:bookmarkEnd w:id="5"/>
      <w:r w:rsidR="008F7FD8" w:rsidRPr="003A1FCD">
        <w:t xml:space="preserve"> </w:t>
      </w:r>
      <w:bookmarkStart w:id="6" w:name="References"/>
      <w:r w:rsidR="008F7FD8" w:rsidRPr="003A1FCD">
        <w:t>(2023/2138(DEC))</w:t>
      </w:r>
      <w:bookmarkEnd w:id="6"/>
    </w:p>
    <w:p w:rsidR="00224915" w:rsidRPr="003A1FCD" w:rsidRDefault="008E301E" w:rsidP="00224915">
      <w:pPr>
        <w:pStyle w:val="EPComma"/>
      </w:pPr>
      <w:bookmarkStart w:id="7" w:name="TextBodyBegin"/>
      <w:bookmarkEnd w:id="7"/>
      <w:r w:rsidRPr="003A1FCD">
        <w:rPr>
          <w:i/>
        </w:rPr>
        <w:t>Het</w:t>
      </w:r>
      <w:r w:rsidR="00224915" w:rsidRPr="003A1FCD">
        <w:rPr>
          <w:i/>
        </w:rPr>
        <w:t xml:space="preserve"> Europees Parlement</w:t>
      </w:r>
      <w:r w:rsidR="00224915" w:rsidRPr="003A1FCD">
        <w:t>,</w:t>
      </w:r>
    </w:p>
    <w:p w:rsidR="00224915" w:rsidRPr="003A1FCD" w:rsidRDefault="00224915" w:rsidP="00224915">
      <w:pPr>
        <w:pStyle w:val="NormalHanging12a"/>
      </w:pPr>
      <w:r w:rsidRPr="003A1FCD">
        <w:t>–</w:t>
      </w:r>
      <w:r w:rsidRPr="003A1FCD">
        <w:tab/>
        <w:t>gezien de algemene begroting van de Europese Unie voor het begrotingsjaar 2022</w:t>
      </w:r>
      <w:r w:rsidRPr="003A1FCD">
        <w:rPr>
          <w:rStyle w:val="FootnoteReference"/>
        </w:rPr>
        <w:footnoteReference w:id="1"/>
      </w:r>
      <w:r w:rsidRPr="003A1FCD">
        <w:t>,</w:t>
      </w:r>
    </w:p>
    <w:p w:rsidR="00224915" w:rsidRPr="003A1FCD" w:rsidRDefault="00224915" w:rsidP="00224915">
      <w:pPr>
        <w:pStyle w:val="NormalHanging12a"/>
      </w:pPr>
      <w:r w:rsidRPr="003A1FCD">
        <w:t>–</w:t>
      </w:r>
      <w:r w:rsidRPr="003A1FCD">
        <w:tab/>
        <w:t>gezien de geconsolideerde jaarrekening van de Europese Unie voor het begrotingsjaar 2022 (COM(2023)0391 – C9</w:t>
      </w:r>
      <w:r w:rsidRPr="003A1FCD">
        <w:noBreakHyphen/>
        <w:t>0257/2023)</w:t>
      </w:r>
      <w:r w:rsidRPr="003A1FCD">
        <w:rPr>
          <w:rStyle w:val="FootnoteReference"/>
        </w:rPr>
        <w:footnoteReference w:id="2"/>
      </w:r>
      <w:r w:rsidRPr="003A1FCD">
        <w:t>,</w:t>
      </w:r>
    </w:p>
    <w:p w:rsidR="00224915" w:rsidRPr="003A1FCD" w:rsidRDefault="00224915" w:rsidP="00224915">
      <w:pPr>
        <w:pStyle w:val="NormalHanging12a"/>
      </w:pPr>
      <w:r w:rsidRPr="003A1FCD">
        <w:t>–</w:t>
      </w:r>
      <w:r w:rsidRPr="003A1FCD">
        <w:tab/>
        <w:t>gezien het jaarverslag van de Europese Toezichthouder voor gegevensbescherming van 2022,</w:t>
      </w:r>
    </w:p>
    <w:p w:rsidR="00224915" w:rsidRPr="003A1FCD" w:rsidRDefault="00224915" w:rsidP="00224915">
      <w:pPr>
        <w:pStyle w:val="NormalHanging12a"/>
      </w:pPr>
      <w:r w:rsidRPr="003A1FCD">
        <w:t>–</w:t>
      </w:r>
      <w:r w:rsidRPr="003A1FCD">
        <w:tab/>
        <w:t>gezien het jaarverslag van de Rekenkamer over de uitvoering van de begroting voor het begrotingsjaar 2022, tezamen met de antwoorden van de instellingen</w:t>
      </w:r>
      <w:r w:rsidRPr="003A1FCD">
        <w:rPr>
          <w:rStyle w:val="FootnoteReference"/>
        </w:rPr>
        <w:footnoteReference w:id="3"/>
      </w:r>
      <w:r w:rsidRPr="003A1FCD">
        <w:t>,</w:t>
      </w:r>
    </w:p>
    <w:p w:rsidR="00224915" w:rsidRPr="003A1FCD" w:rsidRDefault="00224915" w:rsidP="00224915">
      <w:pPr>
        <w:pStyle w:val="NormalHanging12a"/>
      </w:pPr>
      <w:r w:rsidRPr="003A1FCD">
        <w:t>–</w:t>
      </w:r>
      <w:r w:rsidRPr="003A1FCD">
        <w:tab/>
        <w:t>gezien de verklaring van de Rekenkamer</w:t>
      </w:r>
      <w:r w:rsidRPr="003A1FCD">
        <w:rPr>
          <w:rStyle w:val="FootnoteReference"/>
        </w:rPr>
        <w:footnoteReference w:id="4"/>
      </w:r>
      <w:r w:rsidRPr="003A1FCD">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224915" w:rsidRPr="003A1FCD" w:rsidRDefault="00224915" w:rsidP="00224915">
      <w:pPr>
        <w:pStyle w:val="NormalHanging12a"/>
      </w:pPr>
      <w:r w:rsidRPr="003A1FCD">
        <w:t>–</w:t>
      </w:r>
      <w:r w:rsidRPr="003A1FCD">
        <w:tab/>
        <w:t>gezien artikel 314, lid 10, en de artikelen 317, 318 en 319 van het Verdrag betreffende de werking van de Europese Unie,</w:t>
      </w:r>
    </w:p>
    <w:p w:rsidR="00224915" w:rsidRPr="003A1FCD" w:rsidRDefault="00224915" w:rsidP="00224915">
      <w:pPr>
        <w:pStyle w:val="NormalHanging12a"/>
      </w:pPr>
      <w:r w:rsidRPr="003A1FCD">
        <w:t>–</w:t>
      </w:r>
      <w:r w:rsidRPr="003A1FCD">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3A1FCD">
        <w:lastRenderedPageBreak/>
        <w:t>nr. 1316/2013, (EU) nr. 223/2014, (EU) nr. 283/2014 en Besluit nr. 541/2014/EU en tot intrekking van Verordening (EU, Euratom) nr. 966/2012</w:t>
      </w:r>
      <w:r w:rsidRPr="003A1FCD">
        <w:rPr>
          <w:rStyle w:val="FootnoteReference"/>
        </w:rPr>
        <w:footnoteReference w:id="5"/>
      </w:r>
      <w:r w:rsidRPr="003A1FCD">
        <w:t>, en met name de artikelen 59, 118, 260, 261 en 262,</w:t>
      </w:r>
    </w:p>
    <w:p w:rsidR="00224915" w:rsidRPr="003A1FCD" w:rsidRDefault="00224915" w:rsidP="00224915">
      <w:pPr>
        <w:pStyle w:val="NormalHanging12a"/>
      </w:pPr>
      <w:r w:rsidRPr="003A1FCD">
        <w:t>–</w:t>
      </w:r>
      <w:r w:rsidRPr="003A1FCD">
        <w:tab/>
      </w:r>
      <w:r w:rsidRPr="003A1FCD">
        <w:rPr>
          <w:snapToGrid w:val="0"/>
        </w:rPr>
        <w:t>gezien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en met name artikel 54,</w:t>
      </w:r>
    </w:p>
    <w:p w:rsidR="00224915" w:rsidRPr="003A1FCD" w:rsidRDefault="00224915" w:rsidP="00224915">
      <w:pPr>
        <w:pStyle w:val="NormalHanging12a"/>
      </w:pPr>
      <w:r w:rsidRPr="003A1FCD">
        <w:t>–</w:t>
      </w:r>
      <w:r w:rsidRPr="003A1FCD">
        <w:tab/>
        <w:t>gezien artikel 100 van en bijlage V bij zijn Reglement,</w:t>
      </w:r>
    </w:p>
    <w:p w:rsidR="00224915" w:rsidRPr="003A1FCD" w:rsidRDefault="00224915" w:rsidP="00224915">
      <w:pPr>
        <w:pStyle w:val="NormalHanging12a"/>
      </w:pPr>
      <w:r w:rsidRPr="003A1FCD">
        <w:t>–</w:t>
      </w:r>
      <w:r w:rsidRPr="003A1FCD">
        <w:tab/>
        <w:t>gezien het advies van de Commissie burgerlijke vrijheden, justitie en binnenlandse zaken,</w:t>
      </w:r>
    </w:p>
    <w:p w:rsidR="00224915" w:rsidRPr="003A1FCD" w:rsidRDefault="00224915" w:rsidP="00224915">
      <w:pPr>
        <w:pStyle w:val="NormalHanging12a"/>
      </w:pPr>
      <w:r w:rsidRPr="003A1FCD">
        <w:t>–</w:t>
      </w:r>
      <w:r w:rsidRPr="003A1FCD">
        <w:tab/>
        <w:t>gezien het verslag van de Commissie begrotingscontrole (A9-0086/2024),</w:t>
      </w:r>
    </w:p>
    <w:p w:rsidR="00224915" w:rsidRPr="003A1FCD" w:rsidRDefault="00224915" w:rsidP="00224915">
      <w:pPr>
        <w:pStyle w:val="NormalHanging12a"/>
      </w:pPr>
      <w:r w:rsidRPr="003A1FCD">
        <w:t>1.</w:t>
      </w:r>
      <w:r w:rsidRPr="003A1FCD">
        <w:tab/>
        <w:t>verleent de Europese Toezichthouder voor gegevensbescherming kwijting voor de uitvoering van zijn begroting voor het begrotingsjaar 2022;</w:t>
      </w:r>
    </w:p>
    <w:p w:rsidR="00224915" w:rsidRPr="003A1FCD" w:rsidRDefault="00224915" w:rsidP="00224915">
      <w:pPr>
        <w:pStyle w:val="NormalHanging12a"/>
      </w:pPr>
      <w:r w:rsidRPr="003A1FCD">
        <w:t>2.</w:t>
      </w:r>
      <w:r w:rsidRPr="003A1FCD">
        <w:tab/>
        <w:t>formuleert zijn opmerkingen in onderstaande resolutie;</w:t>
      </w:r>
    </w:p>
    <w:p w:rsidR="00224915" w:rsidRPr="003A1FCD" w:rsidRDefault="00224915" w:rsidP="008E301E">
      <w:pPr>
        <w:pStyle w:val="NormalHanging12a"/>
        <w:rPr>
          <w:szCs w:val="24"/>
        </w:rPr>
      </w:pPr>
      <w:r w:rsidRPr="003A1FCD">
        <w:t>3.</w:t>
      </w:r>
      <w:r w:rsidRPr="003A1FCD">
        <w:tab/>
        <w:t xml:space="preserve">verzoekt zijn Voorzitter dit besluit en de resolutie die daarvan een integrerend deel uitmaakt, te doen toekomen aan de Europese Toezichthouder voor gegevensbescherming, de Europese Raad, de Raad, de Commissie, de Rekenkamer, het Hof van Justitie van de Europese Unie, de Europese Ombudsman en de Europese Dienst voor extern optreden, en te zorgen voor publicatie ervan in het </w:t>
      </w:r>
      <w:r w:rsidRPr="003A1FCD">
        <w:rPr>
          <w:i/>
        </w:rPr>
        <w:t>Publicatieblad van de Europese Unie</w:t>
      </w:r>
      <w:r w:rsidR="004E0F2F">
        <w:t xml:space="preserve"> (L-serie).</w:t>
      </w:r>
      <w:bookmarkStart w:id="8" w:name="_GoBack"/>
      <w:bookmarkEnd w:id="8"/>
    </w:p>
    <w:p w:rsidR="00224915" w:rsidRPr="003A1FCD" w:rsidRDefault="00224915" w:rsidP="00224915">
      <w:pPr>
        <w:pStyle w:val="NormalHanging12a"/>
      </w:pPr>
    </w:p>
    <w:p w:rsidR="00224915" w:rsidRPr="003A1FCD" w:rsidRDefault="00224915" w:rsidP="00224915">
      <w:pPr>
        <w:pStyle w:val="PageHeading"/>
        <w:jc w:val="left"/>
        <w:sectPr w:rsidR="00224915" w:rsidRPr="003A1FCD" w:rsidSect="002B0BF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24915" w:rsidRPr="003A1FCD" w:rsidRDefault="00EC56BD" w:rsidP="00EC56BD">
      <w:pPr>
        <w:pStyle w:val="ATHeading3"/>
      </w:pPr>
      <w:r w:rsidRPr="003A1FCD">
        <w:lastRenderedPageBreak/>
        <w:t xml:space="preserve">2. Resolutie van het Europees Parlement van 11 april 2024 </w:t>
      </w:r>
      <w:r w:rsidR="00224915" w:rsidRPr="003A1FCD">
        <w:t>met de opmerkingen die een integrerend deel uitmaken van het besluit over het verlenen van kwijting voor de uitvoering van de algemene begroting van de Europese Unie voor het begrotingsjaar 2022, afdeling IX – Europese Toezichthouder voor gegevensbescherming</w:t>
      </w:r>
      <w:r w:rsidRPr="003A1FCD">
        <w:t xml:space="preserve"> </w:t>
      </w:r>
      <w:r w:rsidR="00224915" w:rsidRPr="003A1FCD">
        <w:t>(2023/2138(DEC))</w:t>
      </w:r>
    </w:p>
    <w:p w:rsidR="00224915" w:rsidRPr="003A1FCD" w:rsidRDefault="00224915" w:rsidP="00224915">
      <w:pPr>
        <w:pStyle w:val="EPComma"/>
      </w:pPr>
      <w:r w:rsidRPr="003A1FCD">
        <w:rPr>
          <w:i/>
        </w:rPr>
        <w:t>Het Europees Parlement</w:t>
      </w:r>
      <w:r w:rsidRPr="003A1FCD">
        <w:t>,</w:t>
      </w:r>
    </w:p>
    <w:p w:rsidR="00224915" w:rsidRPr="003A1FCD" w:rsidRDefault="00224915" w:rsidP="00224915">
      <w:pPr>
        <w:pStyle w:val="NormalHanging12a"/>
        <w:rPr>
          <w:szCs w:val="24"/>
        </w:rPr>
      </w:pPr>
      <w:r w:rsidRPr="003A1FCD">
        <w:t>–</w:t>
      </w:r>
      <w:r w:rsidRPr="003A1FCD">
        <w:tab/>
        <w:t>gezien zijn besluit over het verlenen van kwijting voor de uitvoering van de algemene begroting van de Europese Unie voor het begrotingsjaar 2022, afdeling IX – Europese Toezichthouder voor gegevensbescherming,</w:t>
      </w:r>
    </w:p>
    <w:p w:rsidR="00224915" w:rsidRPr="003A1FCD" w:rsidRDefault="00224915" w:rsidP="00224915">
      <w:pPr>
        <w:pStyle w:val="NormalHanging12a"/>
        <w:rPr>
          <w:szCs w:val="24"/>
        </w:rPr>
      </w:pPr>
      <w:r w:rsidRPr="003A1FCD">
        <w:t>–</w:t>
      </w:r>
      <w:r w:rsidRPr="003A1FCD">
        <w:tab/>
        <w:t>gezien artikel 100 van en bijlage V bij zijn Reglement,</w:t>
      </w:r>
    </w:p>
    <w:p w:rsidR="00224915" w:rsidRPr="003A1FCD" w:rsidRDefault="00224915" w:rsidP="00224915">
      <w:pPr>
        <w:pStyle w:val="NormalHanging12a"/>
        <w:rPr>
          <w:szCs w:val="24"/>
        </w:rPr>
      </w:pPr>
      <w:r w:rsidRPr="003A1FCD">
        <w:t>–</w:t>
      </w:r>
      <w:r w:rsidRPr="003A1FCD">
        <w:tab/>
        <w:t>gezien het advies van de Commissie burgerlijke vrijheden, justitie en binnenlandse zaken,</w:t>
      </w:r>
    </w:p>
    <w:p w:rsidR="00224915" w:rsidRPr="003A1FCD" w:rsidRDefault="00224915" w:rsidP="00224915">
      <w:pPr>
        <w:pStyle w:val="NormalHanging12a"/>
        <w:rPr>
          <w:szCs w:val="24"/>
        </w:rPr>
      </w:pPr>
      <w:r w:rsidRPr="003A1FCD">
        <w:t>–</w:t>
      </w:r>
      <w:r w:rsidRPr="003A1FCD">
        <w:tab/>
        <w:t>gezien het verslag van de Commissie begrotingscontrole (A9-0086/2024),</w:t>
      </w:r>
    </w:p>
    <w:p w:rsidR="00224915" w:rsidRPr="003A1FCD" w:rsidRDefault="00224915" w:rsidP="00224915">
      <w:pPr>
        <w:pStyle w:val="NormalHanging12a"/>
        <w:rPr>
          <w:szCs w:val="24"/>
        </w:rPr>
      </w:pPr>
      <w:r w:rsidRPr="003A1FCD">
        <w:t>A.</w:t>
      </w:r>
      <w:r w:rsidRPr="003A1FCD">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rsidR="00224915" w:rsidRPr="003A1FCD" w:rsidRDefault="00224915" w:rsidP="00224915">
      <w:pPr>
        <w:pStyle w:val="NormalHanging12a"/>
        <w:rPr>
          <w:szCs w:val="24"/>
        </w:rPr>
      </w:pPr>
      <w:r w:rsidRPr="003A1FCD">
        <w:t>B.</w:t>
      </w:r>
      <w:r w:rsidRPr="003A1FCD">
        <w:tab/>
        <w:t>overwegende dat het recht op bescherming van persoonsgegevens een grondrecht is, dat wordt beschermd door de Europese wetgeving en is verankerd in artikel 8 van het Handvest van de grondrechten van de Europese Unie;</w:t>
      </w:r>
    </w:p>
    <w:p w:rsidR="00224915" w:rsidRPr="003A1FCD" w:rsidRDefault="00224915" w:rsidP="00224915">
      <w:pPr>
        <w:pStyle w:val="NormalHanging12a"/>
        <w:rPr>
          <w:szCs w:val="24"/>
        </w:rPr>
      </w:pPr>
      <w:r w:rsidRPr="003A1FCD">
        <w:t>C.</w:t>
      </w:r>
      <w:r w:rsidRPr="003A1FCD">
        <w:tab/>
        <w:t>overwegende dat in artikel 16 van het Verdrag betreffende de werking van de Europese Unie is bepaald dat op de naleving van de regels inzake de bescherming van natuurlijke personen ten aanzien van de verwerking van persoonsgegevens die op hen betrekking hebben, toezicht wordt uitgeoefend door een onafhankelijke autoriteit;</w:t>
      </w:r>
    </w:p>
    <w:p w:rsidR="00224915" w:rsidRPr="003A1FCD" w:rsidRDefault="00224915" w:rsidP="00224915">
      <w:pPr>
        <w:pStyle w:val="NormalHanging12a"/>
        <w:rPr>
          <w:szCs w:val="24"/>
        </w:rPr>
      </w:pPr>
      <w:r w:rsidRPr="003A1FCD">
        <w:t>D.</w:t>
      </w:r>
      <w:r w:rsidRPr="003A1FCD">
        <w:tab/>
        <w:t>overwegende dat in Verordening (EU) 2018/1725 wordt voorzien in de oprichting van een onafhankelijke autoriteit, de Europese Toezichthouder voor gegevensbescherming (de EDPS), die verantwoordelijk is voor de bescherming en waarborging van het recht op gegevensbescherming en privacy, en tot taak heeft ervoor te zorgen dat de instellingen, organen en instanties van de Unie een sterke gegevensbeschermingscultuur handhaven;</w:t>
      </w:r>
    </w:p>
    <w:p w:rsidR="00224915" w:rsidRPr="003A1FCD" w:rsidRDefault="00224915" w:rsidP="00224915">
      <w:pPr>
        <w:pStyle w:val="NormalHanging12a"/>
        <w:rPr>
          <w:szCs w:val="24"/>
        </w:rPr>
      </w:pPr>
      <w:r w:rsidRPr="003A1FCD">
        <w:t>E.</w:t>
      </w:r>
      <w:r w:rsidRPr="003A1FCD">
        <w:tab/>
        <w:t>overwegende dat de EDPS zijn taken uitvoert in nauwe samenwerking met andere gegevensbeschermingsautoriteiten als onderdeel van het Europees Comité voor gegevensbescherming (EDPB), en dat de EDPS het openbaar belang dient en zich daarbij laat leiden door de beginselen van onpartijdigheid, integriteit, transparantie en pragmatisme;</w:t>
      </w:r>
    </w:p>
    <w:p w:rsidR="00224915" w:rsidRPr="003A1FCD" w:rsidRDefault="00224915" w:rsidP="00224915">
      <w:pPr>
        <w:pStyle w:val="NormalHanging12a"/>
        <w:rPr>
          <w:szCs w:val="24"/>
        </w:rPr>
      </w:pPr>
      <w:r w:rsidRPr="003A1FCD">
        <w:t>F.</w:t>
      </w:r>
      <w:r w:rsidRPr="003A1FCD">
        <w:tab/>
        <w:t xml:space="preserve">overwegende dat de EDPS de bevoegdheden van ordonnateur tot 13 november 2022 aan de directeur had gedelegeerd, en daarna aan het hoofd administratie, overeenkomstig de krachtens artikel 72, lid 2, van Verordening (EU, Euratom) 2018/1046 van het Europees Parlement en de Raad vastgestelde dienstorder met een beschrijving van de taken en </w:t>
      </w:r>
      <w:r w:rsidRPr="003A1FCD">
        <w:lastRenderedPageBreak/>
        <w:t>verantwoordelijkheden met betrekking tot de begroting en het beheer van de EDPS, terwijl de functie van de rekenplichtige van de EDPS wordt uitgeoefend door de rekenplichtige van de Commissie overeenkomstig het besluit van de EDPS van 1 maart 2017;</w:t>
      </w:r>
    </w:p>
    <w:p w:rsidR="00224915" w:rsidRPr="003A1FCD" w:rsidRDefault="00224915" w:rsidP="00224915">
      <w:pPr>
        <w:pStyle w:val="NormalHanging12a"/>
        <w:rPr>
          <w:szCs w:val="24"/>
        </w:rPr>
      </w:pPr>
      <w:r w:rsidRPr="003A1FCD">
        <w:t>1.</w:t>
      </w:r>
      <w:r w:rsidRPr="003A1FCD">
        <w:tab/>
        <w:t>merkt op dat de begroting van de EDPS valt onder MFK-rubriek 7, “Europees openbaar bestuur”, die in 2022 in totaal 11,6 miljard EUR bedroeg, oftewel 5,9 % van de begrotingsuitgaven van de Unie; merkt op dat de begroting van de EDPS goed was voor 0,17 % van de kredieten van rubriek 7 van het MFK;</w:t>
      </w:r>
    </w:p>
    <w:p w:rsidR="00224915" w:rsidRPr="003A1FCD" w:rsidRDefault="00224915" w:rsidP="00224915">
      <w:pPr>
        <w:pStyle w:val="NormalHanging12a"/>
        <w:rPr>
          <w:szCs w:val="24"/>
        </w:rPr>
      </w:pPr>
      <w:r w:rsidRPr="003A1FCD">
        <w:t>2.</w:t>
      </w:r>
      <w:r w:rsidRPr="003A1FCD">
        <w:tab/>
        <w:t>neemt er nota van dat de Europese Rekenkamer (de “Rekenkamer”) in haar jaarverslag over het begrotingsjaar 2022 een steekproef van zestig verrichtingen onder beheer heeft onderzocht, hetzelfde aantal als voor 2021; merkt voorts op dat de administratieve uitgaven volgens de Rekenkamer uitgaven voor personele middelen omvatten, met inbegrip van pensioenen, die in 2022 goed waren voor ongeveer 70 % van de totale administratieve uitgaven, en voor gebouwen, uitrusting, energie, communicatie en informatietechnologie, en dat de al vele jaren verrichte werkzaamheden erop wijzen dat deze uitgaven over het algemeen een laag risico inhouden;</w:t>
      </w:r>
    </w:p>
    <w:p w:rsidR="00224915" w:rsidRPr="003A1FCD" w:rsidRDefault="00224915" w:rsidP="00224915">
      <w:pPr>
        <w:pStyle w:val="NormalHanging12a"/>
        <w:rPr>
          <w:szCs w:val="24"/>
        </w:rPr>
      </w:pPr>
      <w:r w:rsidRPr="003A1FCD">
        <w:t>3.</w:t>
      </w:r>
      <w:r w:rsidRPr="003A1FCD">
        <w:tab/>
        <w:t>neemt er nota van dat de Rekenkamer in het kader van de controle van 2022 de toezicht- en controlesystemen van de EDPS heeft onderzocht, met name de toepassing van de internecontrolenormen, het risicobeheer en de werking van de in het Financieel Reglement omschreven essentiële controles, met inbegrip van de controles vooraf en achteraf van de betalingen;</w:t>
      </w:r>
    </w:p>
    <w:p w:rsidR="00224915" w:rsidRPr="003A1FCD" w:rsidRDefault="00224915" w:rsidP="00224915">
      <w:pPr>
        <w:pStyle w:val="NormalHanging12a"/>
        <w:rPr>
          <w:szCs w:val="24"/>
        </w:rPr>
      </w:pPr>
      <w:r w:rsidRPr="003A1FCD">
        <w:t>4.</w:t>
      </w:r>
      <w:r w:rsidRPr="003A1FCD">
        <w:tab/>
        <w:t>merkt op dat 14 (23 %) van de 60 verrichtingen fouten bevatten, maar dat de Rekenkamer op basis van de 5 gekwantificeerde fouten inschat dat het foutenpercentage onder de materialiteitsdrempel ligt;</w:t>
      </w:r>
    </w:p>
    <w:p w:rsidR="00224915" w:rsidRPr="003A1FCD" w:rsidRDefault="00224915" w:rsidP="00224915">
      <w:pPr>
        <w:pStyle w:val="NormalHanging12a"/>
        <w:rPr>
          <w:szCs w:val="24"/>
        </w:rPr>
      </w:pPr>
      <w:r w:rsidRPr="003A1FCD">
        <w:t>5.</w:t>
      </w:r>
      <w:r w:rsidRPr="003A1FCD">
        <w:tab/>
        <w:t>merkt met tevredenheid op dat de Rekenkamer in haar jaarverslag over het begrotingsjaar 2022 verklaart dat zij geen specifieke kwesties met betrekking tot de EDPS heeft vastgesteld;</w:t>
      </w:r>
    </w:p>
    <w:p w:rsidR="00224915" w:rsidRPr="003A1FCD" w:rsidRDefault="00224915" w:rsidP="00224915">
      <w:pPr>
        <w:pStyle w:val="NormalHanging12a"/>
        <w:rPr>
          <w:b/>
          <w:i/>
          <w:szCs w:val="24"/>
        </w:rPr>
      </w:pPr>
      <w:r w:rsidRPr="003A1FCD">
        <w:rPr>
          <w:b/>
          <w:i/>
        </w:rPr>
        <w:t>Begrotings- en financieel beheer</w:t>
      </w:r>
    </w:p>
    <w:p w:rsidR="00224915" w:rsidRPr="003A1FCD" w:rsidRDefault="00224915" w:rsidP="00224915">
      <w:pPr>
        <w:pStyle w:val="NormalHanging12a"/>
        <w:rPr>
          <w:szCs w:val="24"/>
        </w:rPr>
      </w:pPr>
      <w:r w:rsidRPr="003A1FCD">
        <w:t>6.</w:t>
      </w:r>
      <w:r w:rsidRPr="003A1FCD">
        <w:tab/>
        <w:t>stelt vast dat de definitieve begroting voor 2022 van de EDPS 20 266 000 EUR bedroeg, een stijging van 4,12 % ten opzichte van 2021; merkt op dat de EDPS 50 000 EUR aan bestemmingsontvangsten heeft ontvangen in verband met diensten die aan de toezichthoudende autoriteit van de EVA zijn verleend in het kader van een dienstenniveauovereenkomst; merkt op dat de begroting van de EDPS ook betrekking heeft op de werkzaamheden van het onafhankelijke secretariaat van het Europees Comité voor gegevensbescherming (het “Comité”);</w:t>
      </w:r>
    </w:p>
    <w:p w:rsidR="00224915" w:rsidRPr="003A1FCD" w:rsidRDefault="00224915" w:rsidP="00224915">
      <w:pPr>
        <w:pStyle w:val="NormalHanging12a"/>
        <w:rPr>
          <w:szCs w:val="24"/>
        </w:rPr>
      </w:pPr>
      <w:r w:rsidRPr="003A1FCD">
        <w:t>7.</w:t>
      </w:r>
      <w:r w:rsidRPr="003A1FCD">
        <w:tab/>
        <w:t>merkt op dat het uitvoeringspercentage van de begroting voor 2022 98 % bedroeg, wat hoger was dan het jaar daarvoor, toen het uitvoeringspercentage 86 % bedroeg;</w:t>
      </w:r>
    </w:p>
    <w:p w:rsidR="00224915" w:rsidRPr="003A1FCD" w:rsidRDefault="00224915" w:rsidP="00224915">
      <w:pPr>
        <w:pStyle w:val="NormalHanging12a"/>
        <w:rPr>
          <w:szCs w:val="24"/>
        </w:rPr>
      </w:pPr>
      <w:r w:rsidRPr="003A1FCD">
        <w:t>8.</w:t>
      </w:r>
      <w:r w:rsidRPr="003A1FCD">
        <w:tab/>
        <w:t xml:space="preserve">merkt op dat de Russische aanvalsoorlog tegen Oekraïne heeft gezorgd voor een grotere druk op de begroting van de EDPS, onder meer door stijgende inflatie en salarisaanpassingen, een sterke stijging van de energiekosten en de kosten van goederen en diensten via overheidsopdrachten en dienstenniveauovereenkomsten met andere instellingen; is ingenomen met de interne herschikkingen binnen de </w:t>
      </w:r>
      <w:r w:rsidRPr="003A1FCD">
        <w:lastRenderedPageBreak/>
        <w:t>begrotingshoofdstukken die in de loop van 2022 zijn doorgevoerd om de uitvoering van de begroting te optimaliseren;</w:t>
      </w:r>
    </w:p>
    <w:p w:rsidR="00224915" w:rsidRPr="003A1FCD" w:rsidRDefault="00224915" w:rsidP="00224915">
      <w:pPr>
        <w:pStyle w:val="NormalHanging12a"/>
        <w:rPr>
          <w:szCs w:val="24"/>
        </w:rPr>
      </w:pPr>
      <w:r w:rsidRPr="003A1FCD">
        <w:t>9.</w:t>
      </w:r>
      <w:r w:rsidRPr="003A1FCD">
        <w:tab/>
        <w:t>merkt op dat in 2022 de gemiddelde tijd voor het verrichten van betalingen 21,54 dagen bedroeg, een stijging ten opzichte van 2021, toen de gemiddelde tijd 19,98 dagen bedroeg; is ingenomen met de invoering van een nieuw elektronisch betalingssysteem voor de verwerking van facturen in verband met door het reisbureau vooruitbetaalde dienstreiskosten, wat naar verwachting zal helpen om de tijd die nodig is voor het verrichten van betalingen te verkorten zodra het systeem volledig operationeel is; verzoekt de EDPS de mogelijkheid te overwegen om dit systeem uit te breiden tot andere soorten betalingen;</w:t>
      </w:r>
    </w:p>
    <w:p w:rsidR="00224915" w:rsidRPr="003A1FCD" w:rsidRDefault="00224915" w:rsidP="00224915">
      <w:pPr>
        <w:pStyle w:val="NormalHanging12a"/>
        <w:rPr>
          <w:szCs w:val="24"/>
        </w:rPr>
      </w:pPr>
      <w:r w:rsidRPr="003A1FCD">
        <w:t>10.</w:t>
      </w:r>
      <w:r w:rsidRPr="003A1FCD">
        <w:tab/>
        <w:t>merkt op dat de begroting van de EDPS voor dienstreizen van het personeel is gestegen van 41 000 EUR in 2021 tot 251 000 EUR in 2022, wat neerkomt op een stijging met 512 % en een gevolg is van het feit dat er na de COVID-19-pandemie weer kon worden gereisd; merkt voorts op dat de EDPS binnen deze algemene begroting in 2022 een specifieke begroting voor dienstreizen van de toezichthouder had van 33 000 EUR, vergeleken met 5 000 EUR in 2021, wat neerkomt op een stijging van 560 %; merkt op dat de stijging van de inflatie en de aanzienlijke stijging van de energieprijzen in 2022 vanwege de Russische aanvalsoorlog tegen Oekraïne negatieve gevolgen hebben gehad voor vliegtickets en hotelkosten, waardoor de kosten van dienstreizen zijn gestegen;</w:t>
      </w:r>
    </w:p>
    <w:p w:rsidR="00224915" w:rsidRPr="003A1FCD" w:rsidRDefault="00224915" w:rsidP="00224915">
      <w:pPr>
        <w:pStyle w:val="NormalHanging12a"/>
        <w:rPr>
          <w:b/>
          <w:i/>
          <w:szCs w:val="24"/>
        </w:rPr>
      </w:pPr>
      <w:r w:rsidRPr="003A1FCD">
        <w:rPr>
          <w:b/>
          <w:i/>
        </w:rPr>
        <w:t>Intern beheer, prestaties en interne controle</w:t>
      </w:r>
    </w:p>
    <w:p w:rsidR="00224915" w:rsidRPr="003A1FCD" w:rsidRDefault="00224915" w:rsidP="00224915">
      <w:pPr>
        <w:pStyle w:val="NormalHanging12a"/>
        <w:rPr>
          <w:szCs w:val="24"/>
        </w:rPr>
      </w:pPr>
      <w:r w:rsidRPr="003A1FCD">
        <w:t>11.</w:t>
      </w:r>
      <w:r w:rsidRPr="003A1FCD">
        <w:tab/>
        <w:t>merkt op dat de EDPS in 2022 een tussentijdse evaluatie van zijn strategie 2020-2024 heeft uitgevoerd, die zich op drie pijlers richt (prognoses, actie en solidariteit), en dat de EDPS daarbij zijn visie en prioriteiten voor de periode 2022-2024 heeft geheroriënteerd met het oog op de doelstelling “een veiliger digitale toekomst vormgeven”;</w:t>
      </w:r>
    </w:p>
    <w:p w:rsidR="00224915" w:rsidRPr="003A1FCD" w:rsidRDefault="00224915" w:rsidP="00224915">
      <w:pPr>
        <w:pStyle w:val="NormalHanging12a"/>
        <w:rPr>
          <w:szCs w:val="24"/>
        </w:rPr>
      </w:pPr>
      <w:r w:rsidRPr="003A1FCD">
        <w:t>12.</w:t>
      </w:r>
      <w:r w:rsidRPr="003A1FCD">
        <w:tab/>
        <w:t>onderkent de grote organisatorische veranderingen en de overeenkomstige herziening van het reglement van orde die de EDPS in 2022 heeft doorgevoerd om de uitvoering van nieuwe taken te ondersteunen en de efficiëntie van zijn processen te verbeteren in het licht van de snel veranderende internationale omgeving; merkt met name op dat de EDPS als gevolg van deze veranderingen een nieuwe functie van hoofd van het secretariaat van de EDPS heeft gecreëerd op het niveau van secretaris-generaal, alsmede een specifieke juridische dienst, een sector bestuur en interne naleving, twee nieuwe operationele sectoren in de eenheid Toezicht en handhaving, een nieuwe financiële sector in de afdeling Personeelszaken, Begroting en Administratie en een bijkantoor in Straatsburg;</w:t>
      </w:r>
    </w:p>
    <w:p w:rsidR="00224915" w:rsidRPr="003A1FCD" w:rsidRDefault="00224915" w:rsidP="00224915">
      <w:pPr>
        <w:pStyle w:val="NormalHanging12a"/>
        <w:rPr>
          <w:szCs w:val="24"/>
        </w:rPr>
      </w:pPr>
      <w:r w:rsidRPr="003A1FCD">
        <w:t>13.</w:t>
      </w:r>
      <w:r w:rsidRPr="003A1FCD">
        <w:tab/>
        <w:t>merkt op dat met de inwerkingtreding op 28 juni 2022 van Verordening (EU) 2022/991 van het Europees Parlement en de Raad</w:t>
      </w:r>
      <w:r w:rsidRPr="003A1FCD">
        <w:rPr>
          <w:szCs w:val="24"/>
          <w:vertAlign w:val="superscript"/>
        </w:rPr>
        <w:footnoteReference w:id="6"/>
      </w:r>
      <w:r w:rsidRPr="003A1FCD">
        <w:t xml:space="preserve"> tot wijziging van Verordening (EU) 2016/794 </w:t>
      </w:r>
      <w:r w:rsidRPr="003A1FCD">
        <w:lastRenderedPageBreak/>
        <w:t>van het Europees Parlement en de Raad</w:t>
      </w:r>
      <w:r w:rsidRPr="003A1FCD">
        <w:rPr>
          <w:szCs w:val="24"/>
          <w:vertAlign w:val="superscript"/>
        </w:rPr>
        <w:footnoteReference w:id="7"/>
      </w:r>
      <w:r w:rsidRPr="003A1FCD">
        <w:t xml:space="preserve"> tot oprichting van Europol, de toezichtfuncties van de EDPS met betrekking tot de operationele persoonsgegevens die Europol in het kader van zijn mandaat verwerkt, inderdaad zijn versterkt; merkt op dat de organisatorische veranderingen die in 2022 zijn doorgevoerd, met name de oprichting van een nieuwe subsector in de afdeling Toezicht en Handhaving met gespecialiseerd personeel, vooral bedoeld waren om in te spelen op de specifieke bevoegdheden van de EDPS met betrekking tot het toezicht op de agentschappen van de ruimte van vrijheid, veiligheid en recht (“RVVR”), waarbij ook rekening werd gehouden met de nieuwe controlebevoegdheden van de EDPS met betrekking tot Europol; verzoekt de EDPS de kwijtingsautoriteit op de hoogte te houden van elke verdere uitbreiding van zijn mandaat en de gevolgen daarvan voor de benodigde middelen;</w:t>
      </w:r>
    </w:p>
    <w:p w:rsidR="00224915" w:rsidRPr="003A1FCD" w:rsidRDefault="00224915" w:rsidP="00224915">
      <w:pPr>
        <w:pStyle w:val="NormalHanging12a"/>
        <w:rPr>
          <w:szCs w:val="24"/>
        </w:rPr>
      </w:pPr>
      <w:r w:rsidRPr="003A1FCD">
        <w:t>14.</w:t>
      </w:r>
      <w:r w:rsidRPr="003A1FCD">
        <w:tab/>
        <w:t>merkt op dat de in 2022 door de EDPS doorgevoerde wijzigingen tot doel hadden de interne procedures met betrekking tot onderzoeken te stroomlijnen en gespecialiseerd personeel te herschikken; wijst erop dat het onderzoek van klachten in een rechtshandhavingscontext, bijvoorbeeld klachten teg</w:t>
      </w:r>
      <w:r w:rsidR="00EC56BD" w:rsidRPr="003A1FCD">
        <w:t xml:space="preserve">en de antwoorden van Europol en </w:t>
      </w:r>
      <w:r w:rsidRPr="003A1FCD">
        <w:t>verzoeken van burgers om toegang tot persoonsgegevens, vaak zeer complex is en gemiddeld langer duurt dan ander onderzoek, gezien de betrokkenheid van meerdere belanghebbenden bij het proces;</w:t>
      </w:r>
    </w:p>
    <w:p w:rsidR="00224915" w:rsidRPr="003A1FCD" w:rsidRDefault="00224915" w:rsidP="00224915">
      <w:pPr>
        <w:pStyle w:val="NormalHanging12a"/>
      </w:pPr>
      <w:r w:rsidRPr="003A1FCD">
        <w:t>15.</w:t>
      </w:r>
      <w:r w:rsidRPr="003A1FCD">
        <w:tab/>
        <w:t>merkt op dat de EDPS in 2022 367 klachten heeft ontvangen, oftewel 47 meer dan in 2021, en dat er daarvan 65 ontvankelijk en 302 niet-ontvankelijk waren, naast de in 2022 nog lopende 129 ontvankelijke klachten; is ingenomen met de inspanningen van de EDPS om het grote aantal niet-ontvankelijke klachten, dat sinds 2019 is verdubbeld, waardoor er meer middelen nodig zijn voor de behandeling ervan, te verlagen; merkt op dat de EDPS ter zake van 23 van de 65 in 2022 ontvangen klachten gemiddeld binnen 42 dagen een definitief besluit, advies of antwoord heeft uitgebracht; merkt voorts op dat de behandeling van klachten over antwoorden van Europol op verzoeken van burgers om toegang tot persoonsgegevens gemiddeld tussen vijf en twaalf maanden in beslag nam; merkt op dat de EDPS zijn procedures voortdurend herevalueert en waar nodig verbeteringen doorvoert op basis van lessen uit het verleden om zijn klachtenbehandeling verder te stroomlijnen met het oog op een snellere afhandeling van klachten, ondanks beperkte middelen;</w:t>
      </w:r>
    </w:p>
    <w:p w:rsidR="00224915" w:rsidRPr="003A1FCD" w:rsidRDefault="00224915" w:rsidP="00224915">
      <w:pPr>
        <w:pStyle w:val="NormalHanging12a"/>
        <w:rPr>
          <w:szCs w:val="24"/>
        </w:rPr>
      </w:pPr>
      <w:r w:rsidRPr="003A1FCD">
        <w:t>16.</w:t>
      </w:r>
      <w:r w:rsidRPr="003A1FCD">
        <w:tab/>
        <w:t xml:space="preserve">merkt op dat de EDPS in 2022 twee vooronderzoeken heeft uitgevoerd met betrekking tot gevallen waarin er bezorgdheid bestond over mogelijke inbreuken op de gegevensbeschermingsregels door een instelling van de Unie, en drie lopende formele onderzoeken heeft uitgevoerd in de vorm van gegevensbeschermingsaudits, waarvan er één in april 2022 werd afgerond; merkt voorts op dat de EDPS ook vier onderzoeken in de vorm van gegevensbeschermingsaudits heeft ingesteld naar aanleiding van klachten over websites van bepaalde instellingen, organen en instanties van de Unie (EUI’s), alsmede een onderzoek met betrekking tot de RVVR-sector, en de lopende onderzoeken die in voorgaande jaren waren gestart, heeft voortgezet; neemt er kennis van dat de controle door de EDPS van de verwerking door Europol van door derde landen en internationale organisaties verstrekte persoonsgegevens van minderjarigen jonger dan </w:t>
      </w:r>
      <w:r w:rsidRPr="003A1FCD">
        <w:lastRenderedPageBreak/>
        <w:t>15 jaar die als verdachte zijn aangemerkt, in september 2023 is afgerond na een onderzoek van bijna 10 maanden en nadat het onderwerp aanvankelijk reeds in december 2018 door de EDPS aan de orde was gesteld met aan Europol gerichte aanbevelingen over de verwerking van gevoelige gegevens;</w:t>
      </w:r>
    </w:p>
    <w:p w:rsidR="00224915" w:rsidRPr="003A1FCD" w:rsidRDefault="00224915" w:rsidP="00224915">
      <w:pPr>
        <w:pStyle w:val="NormalHanging12a"/>
        <w:rPr>
          <w:szCs w:val="24"/>
        </w:rPr>
      </w:pPr>
      <w:r w:rsidRPr="003A1FCD">
        <w:t>17.</w:t>
      </w:r>
      <w:r w:rsidRPr="003A1FCD">
        <w:tab/>
        <w:t>verzoekt de EDPS de procedure te verbeteren en prioriteit te geven aan de verwerking van persoonsgegevens van minderjarigen jonger dan 15 jaar, aangezien het gaat om kwetsbare groepen die meer bescherming behoeven en daarom een prioritaire status verdienen;</w:t>
      </w:r>
    </w:p>
    <w:p w:rsidR="00224915" w:rsidRPr="003A1FCD" w:rsidRDefault="00224915" w:rsidP="00224915">
      <w:pPr>
        <w:pStyle w:val="NormalHanging12a"/>
        <w:rPr>
          <w:szCs w:val="24"/>
        </w:rPr>
      </w:pPr>
      <w:r w:rsidRPr="003A1FCD">
        <w:t>18.</w:t>
      </w:r>
      <w:r w:rsidRPr="003A1FCD">
        <w:tab/>
        <w:t>merkt op dat de EDPS op 16 september 2022 bij het Hof van Justitie van de Europese Unie (HvJ-EU) een beroep tot nietigverklaring van twee bepalingen van de gewijzigde Europol-verordening heeft ingesteld, dat later door het HvJ-EU is verworpen; onderstreept dat het feit dat belangrijke juridische kwesties door de EDPS in zijn toezichthoudende rol aan het HvJ-EU worden voorgelegd, niet mag worden beschouwd als een aantasting van de loyale samenwerking en goede betrekkingen tussen de EDPS en de entiteiten waarop hij toezicht houdt;</w:t>
      </w:r>
    </w:p>
    <w:p w:rsidR="00224915" w:rsidRPr="003A1FCD" w:rsidRDefault="00224915" w:rsidP="00224915">
      <w:pPr>
        <w:pStyle w:val="NormalHanging12a"/>
        <w:rPr>
          <w:szCs w:val="24"/>
        </w:rPr>
      </w:pPr>
      <w:r w:rsidRPr="003A1FCD">
        <w:t>19.</w:t>
      </w:r>
      <w:r w:rsidRPr="003A1FCD">
        <w:tab/>
        <w:t>stelt met tevredenheid vast dat de EDPS eind 2022 een nieuw kader voor risicobeheer heeft ontwikkeld, waarmee zijn internecontrolekader is versterkt en het uitvoeren van risicoanalyses in zijn jaarlijkse planning is opgenomen en waarin de input voor de prioriteiten van de EDPS jaarlijks moet worden bepaald;</w:t>
      </w:r>
    </w:p>
    <w:p w:rsidR="00224915" w:rsidRPr="003A1FCD" w:rsidRDefault="00224915" w:rsidP="00224915">
      <w:pPr>
        <w:pStyle w:val="NormalHanging12a"/>
        <w:rPr>
          <w:szCs w:val="24"/>
        </w:rPr>
      </w:pPr>
      <w:r w:rsidRPr="003A1FCD">
        <w:t>20.</w:t>
      </w:r>
      <w:r w:rsidRPr="003A1FCD">
        <w:tab/>
        <w:t>waardeert het dat de EDPS in het wetgevingsproces een belangrijke rol speelt op het gebied van raadpleging en advisering; merkt op dat de EDPS in 2022 27 adviezen (12 in 2021), 49 formele opmerkingen (76 in 2021) en 30 informele opmerkingen (29 in 2021) heeft doen toekomen aan de Commissie en de medewetgevers naar aanleiding van verzoeken om raadpleging van wetgevende aard;</w:t>
      </w:r>
    </w:p>
    <w:p w:rsidR="00224915" w:rsidRPr="003A1FCD" w:rsidRDefault="00224915" w:rsidP="00224915">
      <w:pPr>
        <w:pStyle w:val="NormalHanging12a"/>
        <w:rPr>
          <w:szCs w:val="24"/>
        </w:rPr>
      </w:pPr>
      <w:r w:rsidRPr="003A1FCD">
        <w:t>21.</w:t>
      </w:r>
      <w:r w:rsidRPr="003A1FCD">
        <w:tab/>
        <w:t>verzoekt de EDPS zijn procedureregels voor het waarborgen en tijdig behandelen van klachten van burgers te herzien, rekening houdend met alle relevante informatie, en de kwijtingsautoriteit te informeren over de vooruitgang die op dit vlak is geboekt;</w:t>
      </w:r>
    </w:p>
    <w:p w:rsidR="00224915" w:rsidRPr="003A1FCD" w:rsidRDefault="00224915" w:rsidP="00224915">
      <w:pPr>
        <w:pStyle w:val="NormalHanging12a"/>
        <w:rPr>
          <w:b/>
          <w:i/>
          <w:szCs w:val="24"/>
        </w:rPr>
      </w:pPr>
      <w:r w:rsidRPr="003A1FCD">
        <w:rPr>
          <w:b/>
          <w:i/>
        </w:rPr>
        <w:t>Personele middelen, gelijkheid en welzijn van het personeel</w:t>
      </w:r>
    </w:p>
    <w:p w:rsidR="00224915" w:rsidRPr="003A1FCD" w:rsidRDefault="00224915" w:rsidP="00224915">
      <w:pPr>
        <w:pStyle w:val="NormalHanging12a"/>
        <w:rPr>
          <w:szCs w:val="24"/>
        </w:rPr>
      </w:pPr>
      <w:r w:rsidRPr="003A1FCD">
        <w:t>22.</w:t>
      </w:r>
      <w:r w:rsidRPr="003A1FCD">
        <w:tab/>
        <w:t>merkt op dat de EDPS eind 2022 over 127 personeelsleden beschikte, tegenover 124 eind 2021 en 114 eind 2020; merkt op dat de EDPS 52 arbeidscontractanten in dienst had als bedoeld in artikel 3, punt b), van het Statuut van de ambtenaren en de Regeling welke van toepassing is op de andere personeelsleden, en 6 tijdelijke functionarissen als bedoeld in artikel 2, punten b) en c); merkt voorts op dat de EDPS in 2022 acht externe dienstverleners in dienst had die ter plaatse werkten; verzoekt de EDPS de kwijtingsautoriteit in kennis te stellen van de maatregelen die zijn genomen om ervoor te zorgen dat bij de toegang tot informatie door externe dienstverleners een niveau van vertrouwelijkheid wordt gewaarborgd dat vereist is voor de aangelegenheden in kwestie;</w:t>
      </w:r>
    </w:p>
    <w:p w:rsidR="00224915" w:rsidRPr="003A1FCD" w:rsidRDefault="00224915" w:rsidP="00224915">
      <w:pPr>
        <w:pStyle w:val="NormalHanging12a"/>
        <w:rPr>
          <w:szCs w:val="24"/>
        </w:rPr>
      </w:pPr>
      <w:r w:rsidRPr="003A1FCD">
        <w:t>23.</w:t>
      </w:r>
      <w:r w:rsidRPr="003A1FCD">
        <w:tab/>
        <w:t xml:space="preserve">is van mening dat de Toezichthouder, gezien de toename van de werklast als gevolg van de nieuwe taken en verantwoordelijkheden die aan de EDPS zijn toegewezen en het veel grotere aantal raadplegingen over wetgeving en gegevensreeksen die moeten worden gemonitord, een evenredige personeelsuitbreiding nodig heeft om efficiënte werkstromen met redelijke responstijden in stand te houden; spoort de EDPS aan te </w:t>
      </w:r>
      <w:r w:rsidRPr="003A1FCD">
        <w:lastRenderedPageBreak/>
        <w:t>voorzien in vaste contracten voor zijn werknemers om de continuïteit van de werkzaamheden en de werkzekerheid te waarborgen;</w:t>
      </w:r>
    </w:p>
    <w:p w:rsidR="00224915" w:rsidRPr="003A1FCD" w:rsidRDefault="00224915" w:rsidP="00224915">
      <w:pPr>
        <w:pStyle w:val="NormalHanging12a"/>
        <w:rPr>
          <w:szCs w:val="24"/>
        </w:rPr>
      </w:pPr>
      <w:r w:rsidRPr="003A1FCD">
        <w:t>24.</w:t>
      </w:r>
      <w:r w:rsidRPr="003A1FCD">
        <w:tab/>
        <w:t>merkt op dat eind 2022 de bezettingsgraad van de personeelsformatie 86,9 % bedroeg; betreurt dat de bezettingsgraad van de personeelsformatie lager is dan het streefcijfer voor 2022; erkent dat er onvoldoende gekwalificeerde professionals zijn; moedigt de EDPS aan bruikbare strategieën te onderzoeken om de zichtbaarheid van zijn vacatures te vergroten; merkt op dat de EDPS in 2022 een externe selectieprocedure heeft georganiseerd om een reservelijst van gespecialiseerde kandidaten op te stellen met het oog op de aanwervingsbehoeften vanaf 2022;</w:t>
      </w:r>
    </w:p>
    <w:p w:rsidR="00224915" w:rsidRPr="003A1FCD" w:rsidRDefault="00224915" w:rsidP="00224915">
      <w:pPr>
        <w:pStyle w:val="NormalHanging12a"/>
        <w:rPr>
          <w:szCs w:val="24"/>
        </w:rPr>
      </w:pPr>
      <w:r w:rsidRPr="003A1FCD">
        <w:t>25.</w:t>
      </w:r>
      <w:r w:rsidRPr="003A1FCD">
        <w:tab/>
        <w:t>merkt op dat de EDPS, rekening houdend met de lessen die zijn getrokken uit de COVID-19-pandemie, in mei 2022 een nieuw besluit inzake arbeidstijd en telewerken heeft vastgesteld, op grond waarvan personeelsleden hun arbeidstijd kunnen variëren volgens een flexibele werktijdregeling en tot drie dagen per week kunnen telewerken; is ingenomen met de resultaten van de personeelsenquête na de goedkeuring van dat besluit, waaruit bleek dat een meerderheid van het personeel tevreden was met de nieuwe werkregelingen;</w:t>
      </w:r>
    </w:p>
    <w:p w:rsidR="00224915" w:rsidRPr="003A1FCD" w:rsidRDefault="00224915" w:rsidP="00224915">
      <w:pPr>
        <w:pStyle w:val="NormalHanging12a"/>
        <w:rPr>
          <w:b/>
          <w:i/>
          <w:szCs w:val="24"/>
        </w:rPr>
      </w:pPr>
      <w:r w:rsidRPr="003A1FCD">
        <w:t>26.</w:t>
      </w:r>
      <w:r w:rsidRPr="003A1FCD">
        <w:tab/>
        <w:t>complimenteert de EDPS met het feit dat in 2022 zijn personeel 22 nationaliteiten telde, wat een verbetering is ten opzichte van de 21 nationaliteiten in 2021 en ondanks de oververtegenwoordiging van 5 nationaliteiten een goede score is voor een dergelijke kleine instelling; verzoekt de EDPS te streven naar een eerlijkere geografische vertegenwoordiging van alle lidstaten en daarbij bijzondere aandacht te besteden aan de aanpak van de ondervertegenwoordiging van bepaalde landen;</w:t>
      </w:r>
    </w:p>
    <w:p w:rsidR="00224915" w:rsidRPr="003A1FCD" w:rsidRDefault="00224915" w:rsidP="00224915">
      <w:pPr>
        <w:pStyle w:val="NormalHanging12a"/>
        <w:rPr>
          <w:szCs w:val="24"/>
        </w:rPr>
      </w:pPr>
      <w:r w:rsidRPr="003A1FCD">
        <w:t>27.</w:t>
      </w:r>
      <w:r w:rsidRPr="003A1FCD">
        <w:tab/>
        <w:t>merkt op dat de EDPS in 2022 in totaal 64 % vrouwen en 36 % mannen in dienst had, wat een voortzetting was van de trend van de voorgaande jaren, toen de verdeling tussen vrouwen en mannen respectievelijk 63 % en 37 % bedroeg; betreurt dat er in 2022 geen vrouwen waren in hogere managementfuncties, terwijl de genderverhouding van vier functies in het middenkader in de loop van het jaar een evenwicht bereikte; verzoekt de EDPS zich te blijven inspannen om binnen het personeelsbestand een genderevenwicht te bereiken;</w:t>
      </w:r>
    </w:p>
    <w:p w:rsidR="00224915" w:rsidRPr="003A1FCD" w:rsidRDefault="00224915" w:rsidP="00224915">
      <w:pPr>
        <w:pStyle w:val="NormalHanging12a"/>
        <w:rPr>
          <w:szCs w:val="24"/>
        </w:rPr>
      </w:pPr>
      <w:r w:rsidRPr="003A1FCD">
        <w:t>28.</w:t>
      </w:r>
      <w:r w:rsidRPr="003A1FCD">
        <w:tab/>
        <w:t>stelt met tevredenheid vast dat er in 2022 geen gevallen van burn-out of intimidatie onder het personeel van de EDPS zijn gemeld; verwelkomt het feit dat de EDPS een werkgroep heeft opgericht om kwesties in verband met de verdeling en toewijzing van de werkzaamheden te bespreken, naar aanleiding van de resultaten van de in juni 2022 gehouden tweejaarlijkse enquête naar de tevredenheid van het personeel, waaruit blijkt dat sommige personeelsleden van de EDPS van mening waren dat de werklast niet gelijk verdeeld was over teams en collega’s; verzoekt de EDPS de kwijtingsautoriteit op de hoogte te houden van het resultaat van de besprekingen in de werkgroep en van de details van het actieplan dat in voorbereiding is;</w:t>
      </w:r>
    </w:p>
    <w:p w:rsidR="00224915" w:rsidRPr="003A1FCD" w:rsidRDefault="00224915" w:rsidP="00224915">
      <w:pPr>
        <w:pStyle w:val="NormalHanging12a"/>
        <w:rPr>
          <w:szCs w:val="24"/>
        </w:rPr>
      </w:pPr>
      <w:r w:rsidRPr="003A1FCD">
        <w:t>29.</w:t>
      </w:r>
      <w:r w:rsidRPr="003A1FCD">
        <w:tab/>
        <w:t>is ingenomen met de aanhoudende inspanningen van de EDPS om het lichamelijk en geestelijk welzijn van zijn personeel te verbeteren;</w:t>
      </w:r>
    </w:p>
    <w:p w:rsidR="00224915" w:rsidRPr="003A1FCD" w:rsidRDefault="00224915" w:rsidP="00224915">
      <w:pPr>
        <w:pStyle w:val="NormalHanging12a"/>
        <w:rPr>
          <w:szCs w:val="24"/>
        </w:rPr>
      </w:pPr>
      <w:r w:rsidRPr="003A1FCD">
        <w:t>30.</w:t>
      </w:r>
      <w:r w:rsidRPr="003A1FCD">
        <w:tab/>
        <w:t>stelt met tevredenheid vast dat de EDPS in 2022 18 stagiairs heeft aangeworven, die werden bezoldigd en voor wie dezelfde werkregelingen golden als voor de rest van het personeel;</w:t>
      </w:r>
    </w:p>
    <w:p w:rsidR="00224915" w:rsidRPr="003A1FCD" w:rsidRDefault="00224915" w:rsidP="00224915">
      <w:pPr>
        <w:pStyle w:val="NormalHanging12a"/>
        <w:rPr>
          <w:b/>
          <w:i/>
          <w:szCs w:val="24"/>
        </w:rPr>
      </w:pPr>
      <w:r w:rsidRPr="003A1FCD">
        <w:rPr>
          <w:b/>
          <w:i/>
        </w:rPr>
        <w:lastRenderedPageBreak/>
        <w:t>Ethisch kader en transparantie</w:t>
      </w:r>
    </w:p>
    <w:p w:rsidR="00224915" w:rsidRPr="003A1FCD" w:rsidRDefault="00224915" w:rsidP="00224915">
      <w:pPr>
        <w:pStyle w:val="NormalHanging12a"/>
        <w:rPr>
          <w:szCs w:val="24"/>
        </w:rPr>
      </w:pPr>
      <w:r w:rsidRPr="003A1FCD">
        <w:t>31.</w:t>
      </w:r>
      <w:r w:rsidRPr="003A1FCD">
        <w:tab/>
        <w:t>merkt op dat de EDPS in 2022 zich heeft gericht op het vergroten van het bewustzijn van het personeel omtrent het ethisch kader van de EDPS/EDPB door het organiseren van verplichte specifieke opleidingssessies voor alle personeelsleden en introductiecursussen voor nieuwe werknemers van de EDPS/EDPB; moedigt de EDPS aan het bewustzijn te blijven vergroten en enquêtes te organiseren om na te gaan in hoeverre het ethisch kader van de EDPS/EDPB onder het personeel bekend is;</w:t>
      </w:r>
    </w:p>
    <w:p w:rsidR="00224915" w:rsidRPr="003A1FCD" w:rsidRDefault="00224915" w:rsidP="00224915">
      <w:pPr>
        <w:pStyle w:val="NormalHanging12a"/>
        <w:rPr>
          <w:szCs w:val="24"/>
        </w:rPr>
      </w:pPr>
      <w:r w:rsidRPr="003A1FCD">
        <w:t>32.</w:t>
      </w:r>
      <w:r w:rsidRPr="003A1FCD">
        <w:tab/>
        <w:t>is ingenomen met het algemene hoge niveau van transparantie dat de EDPS heeft bereikt met betrekking tot zijn activiteiten, met name wat betreft de publicatie van de agenda en de belangenverklaring van de toezichthouder en het hoofd administratie van de EDPS, in overeenstemming met de gedragscode van de toezichthouder van 2019; betreurt dat de EDPS heeft besloten de gedragscode van de toezichthouder toe te passen op het hoofd van de administratie van de EDPS in plaats van een specifieke gedragscode voor hogere managementfuncties vast te stellen;</w:t>
      </w:r>
    </w:p>
    <w:p w:rsidR="00224915" w:rsidRPr="003A1FCD" w:rsidRDefault="00224915" w:rsidP="00224915">
      <w:pPr>
        <w:pStyle w:val="NormalHanging12a"/>
        <w:rPr>
          <w:szCs w:val="24"/>
        </w:rPr>
      </w:pPr>
      <w:r w:rsidRPr="003A1FCD">
        <w:t>33.</w:t>
      </w:r>
      <w:r w:rsidRPr="003A1FCD">
        <w:tab/>
        <w:t>stelt met tevredenheid vast dat de EDPS sinds zijn oprichting nooit betrokken is geweest bij onderzoeken van het Europees Bureau voor fraudebestrijding (OLAF);</w:t>
      </w:r>
    </w:p>
    <w:p w:rsidR="00224915" w:rsidRPr="003A1FCD" w:rsidRDefault="00224915" w:rsidP="00224915">
      <w:pPr>
        <w:pStyle w:val="NormalHanging12a"/>
        <w:rPr>
          <w:szCs w:val="24"/>
        </w:rPr>
      </w:pPr>
      <w:r w:rsidRPr="003A1FCD">
        <w:t>34.</w:t>
      </w:r>
      <w:r w:rsidRPr="003A1FCD">
        <w:tab/>
        <w:t>stelt met tevredenheid vast dat twee onderzoeken die de Ombudsman in 2022 met betrekking tot de EDPS heeft geopend, zijn afgesloten zonder dat wanbeheer is vastgesteld;</w:t>
      </w:r>
    </w:p>
    <w:p w:rsidR="00224915" w:rsidRPr="003A1FCD" w:rsidRDefault="00224915" w:rsidP="00224915">
      <w:pPr>
        <w:pStyle w:val="NormalHanging12a"/>
        <w:rPr>
          <w:b/>
          <w:i/>
          <w:szCs w:val="24"/>
        </w:rPr>
      </w:pPr>
      <w:r w:rsidRPr="003A1FCD">
        <w:t>35.</w:t>
      </w:r>
      <w:r w:rsidRPr="003A1FCD">
        <w:tab/>
        <w:t>betreurt dat de EDPS zich nog steeds niet formeel heeft aangesloten bij het transparantieregister; is niettemin ingenomen met de afstemming van de transparantieregels van de EDPS op de beginselen van het transparantieregister wat betreft verplichte voorafgaande controles in het transparantieregister voor vergaderingen van derden met de toezichthouder en het hoofd van de administratie van de EDPS; benadrukt dat de transparantie beter kan worden gehandhaafd als de EDPS zich actief inschrijft in het transparantieregister; herhaalt de oproepen aan de EDPS om zich aan te sluiten bij het transparantieregister van de EU;</w:t>
      </w:r>
    </w:p>
    <w:p w:rsidR="00224915" w:rsidRPr="003A1FCD" w:rsidRDefault="00224915" w:rsidP="00224915">
      <w:pPr>
        <w:pStyle w:val="NormalHanging12a"/>
        <w:rPr>
          <w:szCs w:val="24"/>
        </w:rPr>
      </w:pPr>
      <w:r w:rsidRPr="003A1FCD">
        <w:t>36.</w:t>
      </w:r>
      <w:r w:rsidRPr="003A1FCD">
        <w:tab/>
        <w:t>merkt op dat de EDPS een kader heeft opgezet om belangenconflicten op het niveau van het hoger management en het personeel te voorkomen door middel van gedragscodes, bewustmaking en verklaringen; stelt met tevredenheid vast dat er in 2022 geen gevallen van belangenconflicten zijn geconstateerd;</w:t>
      </w:r>
    </w:p>
    <w:p w:rsidR="00224915" w:rsidRPr="003A1FCD" w:rsidRDefault="00224915" w:rsidP="00224915">
      <w:pPr>
        <w:pStyle w:val="NormalHanging12a"/>
        <w:rPr>
          <w:szCs w:val="24"/>
        </w:rPr>
      </w:pPr>
      <w:r w:rsidRPr="003A1FCD">
        <w:t>37.</w:t>
      </w:r>
      <w:r w:rsidRPr="003A1FCD">
        <w:tab/>
        <w:t>merkt op dat de EDPS interne regels heeft inzake klokkenluiden, waarin veilige procedures en kanalen zijn vastgesteld die personeelsleden de mogelijkheid bieden hun bezorgdheid te uiten over fraude, corruptie of andere ernstige wanpraktijken, zonder dat de vertrouwelijkheid van de identiteit van de klokkenluider en de gemelde informatie in gevaar komt; wijst erop dat er in 2022 geen gevallen van klokkenluiden zijn gemeld;</w:t>
      </w:r>
    </w:p>
    <w:p w:rsidR="00224915" w:rsidRPr="003A1FCD" w:rsidRDefault="00224915" w:rsidP="00224915">
      <w:pPr>
        <w:pStyle w:val="NormalHanging12a"/>
        <w:keepNext/>
        <w:keepLines/>
        <w:widowControl/>
        <w:rPr>
          <w:b/>
          <w:i/>
          <w:szCs w:val="24"/>
        </w:rPr>
      </w:pPr>
      <w:r w:rsidRPr="003A1FCD">
        <w:rPr>
          <w:b/>
          <w:i/>
        </w:rPr>
        <w:t>Digitalisering, cyberbeveiliging en gegevensbescherming</w:t>
      </w:r>
    </w:p>
    <w:p w:rsidR="00224915" w:rsidRPr="003A1FCD" w:rsidRDefault="00224915" w:rsidP="00224915">
      <w:pPr>
        <w:pStyle w:val="NormalHanging12a"/>
        <w:rPr>
          <w:szCs w:val="24"/>
        </w:rPr>
      </w:pPr>
      <w:r w:rsidRPr="003A1FCD">
        <w:t>38.</w:t>
      </w:r>
      <w:r w:rsidRPr="003A1FCD">
        <w:tab/>
        <w:t>merkt op dat de begroting 2022 voor IT-apparatuur en -projecten 21 % hoger lag dan in 2021; merkt op dat dit moet worden beoordeeld in het licht van het feit dat in 2021 de begroting voor IT ook al 20 % hoger lag dan in 2020;</w:t>
      </w:r>
    </w:p>
    <w:p w:rsidR="00224915" w:rsidRPr="003A1FCD" w:rsidRDefault="00224915" w:rsidP="00224915">
      <w:pPr>
        <w:pStyle w:val="NormalHanging12a"/>
        <w:rPr>
          <w:szCs w:val="24"/>
        </w:rPr>
      </w:pPr>
      <w:r w:rsidRPr="003A1FCD">
        <w:t>39.</w:t>
      </w:r>
      <w:r w:rsidRPr="003A1FCD">
        <w:tab/>
        <w:t xml:space="preserve">merkt op dat de EDPS in 2022 de IT-strategieën van verschillende EUI’s tegen het licht heeft gehouden in het kader van een omvangrijke haalbaarheidsstudie op het gebied van </w:t>
      </w:r>
      <w:r w:rsidRPr="003A1FCD">
        <w:lastRenderedPageBreak/>
        <w:t>IT, wat als basis heeft gediend voor de vaststelling van de IT-strategie van de EDPS voor de komende jaren; verzoekt de EDPS de kwijtingsautoriteit op de hoogte te houden van de resultaten van deze analyse en van de gevolgen daarvan voor de benodigde middelen;</w:t>
      </w:r>
    </w:p>
    <w:p w:rsidR="00224915" w:rsidRPr="003A1FCD" w:rsidRDefault="00224915" w:rsidP="00224915">
      <w:pPr>
        <w:pStyle w:val="NormalHanging12a"/>
        <w:rPr>
          <w:szCs w:val="24"/>
        </w:rPr>
      </w:pPr>
      <w:r w:rsidRPr="003A1FCD">
        <w:t>40.</w:t>
      </w:r>
      <w:r w:rsidRPr="003A1FCD">
        <w:tab/>
        <w:t>merkt op dat het Parlement IT-apparatuur en -diensten verstrekt aan de EDPS, als aanbieder van zakelijke diensten; is ingenomen met de inspanningen van de EDPS om de doeltreffendheid en veiligheid van zijn digitale werkomgeving verder te verbeteren, op een wijze die verder gaat dan wat door het Parlement wordt geboden; merkt op dat dit heeft geleid tot een verbetering van de kwaliteit en de prestaties van de computers die, in samenwerking met het Parlement, aan het personeel van de EDPS ter beschikking worden gesteld met het oog op de uitbreiding van hybride werkvormen;</w:t>
      </w:r>
    </w:p>
    <w:p w:rsidR="00224915" w:rsidRPr="003A1FCD" w:rsidRDefault="00224915" w:rsidP="00224915">
      <w:pPr>
        <w:pStyle w:val="NormalHanging12a"/>
        <w:rPr>
          <w:szCs w:val="24"/>
        </w:rPr>
      </w:pPr>
      <w:r w:rsidRPr="003A1FCD">
        <w:t>41.</w:t>
      </w:r>
      <w:r w:rsidRPr="003A1FCD">
        <w:tab/>
        <w:t>erkent de leidende rol van de EDPS bij het verbeteren van de paraatheid van de EUI’s op het gebied van cyberbeveiliging; merkt op dat de EDPS in 2022 zijn paraatheid om persoonsgegevens en gevoelige informatie te beschermen tegen cyberaanvallen is blijven versterken in het licht van de snel veranderende situatie wat betreft bedreigingen op het gebied van cyberbeveiliging; complimenteert de EDPS met de herziening van zijn beveiligingsbeleid en -methoden en de aanpassing van zijn contractuele vereisten inzake cyberbeveiliging aan de richtsnoeren van CERT-EU, voorafgaand aan de inwerkingtreding van de EU-cyberbeveiligingswet, waar alle instellingen voordeel bij hebben; stelt vast dat er in 2022 geen cyberaanvallen bij de EDPS hebben plaatsgevonden;</w:t>
      </w:r>
    </w:p>
    <w:p w:rsidR="00224915" w:rsidRPr="003A1FCD" w:rsidRDefault="00224915" w:rsidP="00224915">
      <w:pPr>
        <w:pStyle w:val="NormalHanging12a"/>
        <w:rPr>
          <w:szCs w:val="24"/>
        </w:rPr>
      </w:pPr>
      <w:r w:rsidRPr="003A1FCD">
        <w:t>42.</w:t>
      </w:r>
      <w:r w:rsidRPr="003A1FCD">
        <w:tab/>
        <w:t>merkt op dat de EDPS bezig is met de tests en de ontwikkeling van innovatieve en privacyvriendelijke opensource-IT-oplossingen; is van mening dat de EDPS deze ervaringen moet delen met de andere EUI’s;</w:t>
      </w:r>
    </w:p>
    <w:p w:rsidR="00224915" w:rsidRPr="003A1FCD" w:rsidRDefault="00224915" w:rsidP="00224915">
      <w:pPr>
        <w:pStyle w:val="NormalHanging12a"/>
        <w:rPr>
          <w:szCs w:val="24"/>
        </w:rPr>
      </w:pPr>
      <w:r w:rsidRPr="003A1FCD">
        <w:t>43.</w:t>
      </w:r>
      <w:r w:rsidRPr="003A1FCD">
        <w:tab/>
        <w:t>is ingenomen met de vervolgmaatregelen van de EDPS naar aanleiding van het Schrems II-arrest, die zich in 2022 met name hebben gericht op de contracten van de EUI’s met particuliere entiteiten, in het bijzonder grote ICT-aanbieders, en op regelingen tussen de EUI’s en niet-EU/EER-overheidsorganen of internationale organisaties;</w:t>
      </w:r>
    </w:p>
    <w:p w:rsidR="00224915" w:rsidRPr="003A1FCD" w:rsidRDefault="00224915" w:rsidP="00224915">
      <w:pPr>
        <w:pStyle w:val="NormalHanging12a"/>
        <w:ind w:left="0" w:firstLine="0"/>
        <w:rPr>
          <w:b/>
          <w:i/>
          <w:szCs w:val="24"/>
        </w:rPr>
      </w:pPr>
      <w:r w:rsidRPr="003A1FCD">
        <w:rPr>
          <w:b/>
          <w:i/>
        </w:rPr>
        <w:t>Gebouwen</w:t>
      </w:r>
    </w:p>
    <w:p w:rsidR="00224915" w:rsidRPr="003A1FCD" w:rsidRDefault="00224915" w:rsidP="00224915">
      <w:pPr>
        <w:pStyle w:val="NormalHanging12a"/>
        <w:rPr>
          <w:szCs w:val="24"/>
        </w:rPr>
      </w:pPr>
      <w:r w:rsidRPr="003A1FCD">
        <w:t>44.</w:t>
      </w:r>
      <w:r w:rsidRPr="003A1FCD">
        <w:tab/>
        <w:t>merkt op dat de EDPS en het EDPB in 2022 de enige huurders waren van het gebouw van het Parlement waar zij zich bevonden, na de verhuizing van de Ombudsman eind 2021; merkt op dat na deze verhuizing drie verdiepingen van het gebouw volledig zijn gerenoveerd om het personeel van de EDPS en het EDPB te huisvesten en de gebouwen aan te passen aan de nieuwe arbeidsomstandigheden na de COVID-19-pandemie;</w:t>
      </w:r>
    </w:p>
    <w:p w:rsidR="00224915" w:rsidRPr="003A1FCD" w:rsidRDefault="00224915" w:rsidP="00224915">
      <w:pPr>
        <w:pStyle w:val="NormalHanging12a"/>
        <w:rPr>
          <w:szCs w:val="24"/>
        </w:rPr>
      </w:pPr>
      <w:r w:rsidRPr="003A1FCD">
        <w:t>45.</w:t>
      </w:r>
      <w:r w:rsidRPr="003A1FCD">
        <w:tab/>
        <w:t>merkt op dat de EDPS, wat de toegankelijkheid van zijn gebouw betreft, de besluiten die het Parlement heeft genomen en ten uitvoer legt, toepast in het kader van zijn gebouwenbeleid; verzoekt de EDPS er alles aan te doen om tegemoet te komen aan de behoeften van personen met beperkte mobiliteit of een handicap en de kwijtingsautoriteit in kennis te stellen van alle nieuwe besluiten die in dit verband worden genomen;</w:t>
      </w:r>
    </w:p>
    <w:p w:rsidR="00224915" w:rsidRPr="003A1FCD" w:rsidRDefault="00224915" w:rsidP="00224915">
      <w:pPr>
        <w:pStyle w:val="NormalHanging12a"/>
        <w:ind w:left="0" w:firstLine="0"/>
        <w:rPr>
          <w:b/>
          <w:i/>
          <w:szCs w:val="24"/>
        </w:rPr>
      </w:pPr>
      <w:r w:rsidRPr="003A1FCD">
        <w:rPr>
          <w:b/>
          <w:i/>
        </w:rPr>
        <w:t>Milieu en duurzaamheid</w:t>
      </w:r>
    </w:p>
    <w:p w:rsidR="00224915" w:rsidRPr="003A1FCD" w:rsidRDefault="00224915" w:rsidP="00224915">
      <w:pPr>
        <w:pStyle w:val="NormalHanging12a"/>
        <w:rPr>
          <w:szCs w:val="24"/>
        </w:rPr>
      </w:pPr>
      <w:r w:rsidRPr="003A1FCD">
        <w:lastRenderedPageBreak/>
        <w:t>46.</w:t>
      </w:r>
      <w:r w:rsidRPr="003A1FCD">
        <w:tab/>
        <w:t>merkt op dat de EDPS zich niet heeft aangesloten bij het milieubeheer- en milieuauditsysteem (EMAS), maar verschillende maatregelen heeft genomen om zijn ecologische voetafdruk te verkleinen, zoals de vermindering van het papiergebruik na de digitalisering van HR-processen, of afvalrecycling; merkt op dat er op het door het Parlement gehuurde gebouw geen zonnepanelen zijn geïnstalleerd; verzoekt de EDPS de kwijtingsautoriteit in kennis te stellen van elk nieuw besluit om zonnepanelen op zijn gebouw te installeren;</w:t>
      </w:r>
    </w:p>
    <w:p w:rsidR="00224915" w:rsidRPr="003A1FCD" w:rsidRDefault="00224915" w:rsidP="00224915">
      <w:pPr>
        <w:pStyle w:val="NormalHanging12a"/>
        <w:rPr>
          <w:szCs w:val="24"/>
        </w:rPr>
      </w:pPr>
      <w:r w:rsidRPr="003A1FCD">
        <w:t>47.</w:t>
      </w:r>
      <w:r w:rsidRPr="003A1FCD">
        <w:tab/>
        <w:t>is ingenomen met het feit dat de EDPS duurzame mobiliteit van zijn personeel blijft aanmoedigen door 50 % van de kosten van maandelijkse/jaarlijkse abonnementen voor het openbaar vervoer te vergoeden en te voorzien in voldoende ruimte in zijn garagefaciliteiten waar personeelsleden hun fiets kunnen stallen;</w:t>
      </w:r>
    </w:p>
    <w:p w:rsidR="00224915" w:rsidRPr="003A1FCD" w:rsidRDefault="00224915" w:rsidP="00224915">
      <w:pPr>
        <w:pStyle w:val="NormalHanging12a"/>
        <w:rPr>
          <w:b/>
          <w:i/>
          <w:szCs w:val="24"/>
        </w:rPr>
      </w:pPr>
      <w:r w:rsidRPr="003A1FCD">
        <w:rPr>
          <w:b/>
          <w:i/>
        </w:rPr>
        <w:t>Interinstitutionele samenwerking</w:t>
      </w:r>
    </w:p>
    <w:p w:rsidR="00224915" w:rsidRPr="003A1FCD" w:rsidRDefault="00224915" w:rsidP="00224915">
      <w:pPr>
        <w:pStyle w:val="NormalHanging12a"/>
        <w:rPr>
          <w:szCs w:val="24"/>
        </w:rPr>
      </w:pPr>
      <w:r w:rsidRPr="003A1FCD">
        <w:t>48.</w:t>
      </w:r>
      <w:r w:rsidRPr="003A1FCD">
        <w:tab/>
        <w:t>is ingenomen met de budgettaire en administratieve besparingen die zijn gerealiseerd door interinstitutionele samenwerking, met name de sluiting van dienstenniveauovereenkomsten met het Parlement voor de huur van zijn gebouwen en het gebruik van zijn IT-toepassingen, hardwarebenodigdheden en -onderhoud, en met de Commissie voor ICT-diensten;</w:t>
      </w:r>
    </w:p>
    <w:p w:rsidR="00224915" w:rsidRPr="003A1FCD" w:rsidRDefault="00224915" w:rsidP="00224915">
      <w:pPr>
        <w:pStyle w:val="NormalHanging12a"/>
        <w:rPr>
          <w:szCs w:val="24"/>
        </w:rPr>
      </w:pPr>
      <w:r w:rsidRPr="003A1FCD">
        <w:t>49.</w:t>
      </w:r>
      <w:r w:rsidRPr="003A1FCD">
        <w:tab/>
        <w:t>merkt op dat de EDPS nauw, zij het informeel, samenwerkt met en advies verstrekt aan OLAF, het EOM en de Rekenkamer over specifieke projecten en vragen, in aanvulling op zijn toezichthoudende rol; is met name ingenomen met de regelmatige dialoog in 2022 met het kortgeleden opgerichte EOM; is ingenomen met het feit dat de EDPS een meer gestructureerde samenwerking met de Ombudsman heeft ingevoerd door middel van een memorandum van overeenstemming dat tot doel heeft de regelingen voor zijn samenwerking op het gebied van de behandeling van klachten vast te stellen;</w:t>
      </w:r>
    </w:p>
    <w:p w:rsidR="00224915" w:rsidRPr="003A1FCD" w:rsidRDefault="00224915" w:rsidP="00224915">
      <w:pPr>
        <w:pStyle w:val="NormalHanging12a"/>
        <w:rPr>
          <w:szCs w:val="24"/>
        </w:rPr>
      </w:pPr>
      <w:r w:rsidRPr="003A1FCD">
        <w:t>50.</w:t>
      </w:r>
      <w:r w:rsidRPr="003A1FCD">
        <w:tab/>
        <w:t>merkt op dat interinstitutionele samenwerking met de EDPS, in zijn toezichthoudende rol, van cruciaal belang is voor de andere EUI’s om hun niveau van naleving van het rechtskader inzake gegevensbescherming te verbeteren; complimenteert de EDPS met het nemen van het voortouw bij de gunning van een interinstitutioneel contract voor de levering van Nextclouddiensten aan de EUI’s die hieraan deelnemen;</w:t>
      </w:r>
    </w:p>
    <w:p w:rsidR="00224915" w:rsidRPr="003A1FCD" w:rsidRDefault="00224915" w:rsidP="00224915">
      <w:pPr>
        <w:pStyle w:val="NormalHanging12a"/>
        <w:rPr>
          <w:szCs w:val="24"/>
        </w:rPr>
      </w:pPr>
      <w:r w:rsidRPr="003A1FCD">
        <w:t>51.</w:t>
      </w:r>
      <w:r w:rsidRPr="003A1FCD">
        <w:tab/>
        <w:t>is ingenomen met de centrale rol die de EDPS in 2022 heeft gespeeld bij de coördinatie van de gegevensbeschermingsautoriteiten (DPA’s) van de in het EDPB vertegenwoordigde lidstaten om een consistente gegevensbescherming in de hele Unie te bevorderen; merkt op dat de EDPS in 2022 heeft deelgenomen aan de gecoördineerde handhavingsactie van het EDPB met betrekking tot het gebruik van clouddiensten in de Unie, die tot doel had kennis en goede praktijken uit te wisselen tussen de EDPS, EUI’s en gegevensbeschermingsautoriteiten;</w:t>
      </w:r>
    </w:p>
    <w:p w:rsidR="00224915" w:rsidRPr="003A1FCD" w:rsidRDefault="00224915" w:rsidP="00224915">
      <w:pPr>
        <w:pStyle w:val="NormalHanging12a"/>
        <w:rPr>
          <w:b/>
          <w:i/>
          <w:szCs w:val="24"/>
        </w:rPr>
      </w:pPr>
      <w:r w:rsidRPr="003A1FCD">
        <w:rPr>
          <w:b/>
          <w:i/>
        </w:rPr>
        <w:t>Communicatie</w:t>
      </w:r>
    </w:p>
    <w:p w:rsidR="00224915" w:rsidRPr="003A1FCD" w:rsidRDefault="00224915" w:rsidP="00224915">
      <w:pPr>
        <w:pStyle w:val="NormalHanging12a"/>
        <w:rPr>
          <w:szCs w:val="24"/>
        </w:rPr>
      </w:pPr>
      <w:r w:rsidRPr="003A1FCD">
        <w:t>52.</w:t>
      </w:r>
      <w:r w:rsidRPr="003A1FCD">
        <w:tab/>
        <w:t>stelt vast dat in 2022 de begroting voor openbare communicatie en promotionele activiteiten 304 665 EUR bedroeg, een stijging van 19 % ten opzichte van 2021; is ingenomen met de alomvattende communicatiestrategie die tot doel heeft het bewustzijn te vergroten over zijn rol en het belang van de naleving van de gegevensbeschermingsregels van de Unie, en die gericht is op de EUI’s, EU-deskundigen op het gebied van gegevensbescherming en het grote publiek;</w:t>
      </w:r>
    </w:p>
    <w:p w:rsidR="00224915" w:rsidRPr="003A1FCD" w:rsidRDefault="00224915" w:rsidP="00224915">
      <w:pPr>
        <w:pStyle w:val="NormalHanging12a"/>
        <w:rPr>
          <w:szCs w:val="24"/>
        </w:rPr>
      </w:pPr>
      <w:r w:rsidRPr="003A1FCD">
        <w:lastRenderedPageBreak/>
        <w:t>53.</w:t>
      </w:r>
      <w:r w:rsidRPr="003A1FCD">
        <w:tab/>
        <w:t>stelt met tevredenheid vast dat de EDPS in 2022 verschillende communicatie-evenementen in hybride vorm heeft georganiseerd, met name een grote internationale conferentie over “De toekomst van gegevensbescherming: Doeltreffende handhaving in de digitale wereld” met meer dan 2 000 deelnemers, zowel ter plaatse als op afstand;</w:t>
      </w:r>
    </w:p>
    <w:p w:rsidR="00224915" w:rsidRPr="003A1FCD" w:rsidRDefault="00224915" w:rsidP="00224915">
      <w:pPr>
        <w:pStyle w:val="NormalHanging12a"/>
        <w:rPr>
          <w:szCs w:val="24"/>
        </w:rPr>
      </w:pPr>
      <w:r w:rsidRPr="003A1FCD">
        <w:t>54.</w:t>
      </w:r>
      <w:r w:rsidRPr="003A1FCD">
        <w:tab/>
        <w:t>wijst erop dat de EDPS via zijn website en socialemedia-accounts online aanwezig is op X (ex-Twitter) (29 100 volgers), LinkedIn (63 000 volgers), YouTube (275 000 volgers), EU-Voice (5 100 volgers) en EU-Video (690 volgers); merkt op dat de EDPS in 2022 verschillende socialemediacampagnes heeft gelanceerd die gericht zijn op het bevorderen van specifieke initiatieven of die in partnerschap met andere EUI’s worden uitgevoerd om het bereik te vergroten en zijn publiek goed op de hoogte te houden van zijn activiteiten;</w:t>
      </w:r>
    </w:p>
    <w:p w:rsidR="00224915" w:rsidRPr="003A1FCD" w:rsidRDefault="00224915" w:rsidP="00224915">
      <w:pPr>
        <w:pStyle w:val="NormalHanging12a"/>
        <w:rPr>
          <w:szCs w:val="24"/>
        </w:rPr>
      </w:pPr>
      <w:r w:rsidRPr="003A1FCD">
        <w:t>55.</w:t>
      </w:r>
      <w:r w:rsidRPr="003A1FCD">
        <w:tab/>
        <w:t>neemt kennis van de leidende rol van de EDPS bij het testen en promoten van socialemediakanalen die bijdragen aan de strategie van de Unie voor gegevens en digitale soevereiniteit, in overeenstemming met het rechtskader voor gegevensbescherming;</w:t>
      </w:r>
    </w:p>
    <w:p w:rsidR="00224915" w:rsidRPr="003A1FCD" w:rsidRDefault="00224915" w:rsidP="008E301E">
      <w:pPr>
        <w:pStyle w:val="NormalHanging12a"/>
      </w:pPr>
      <w:r w:rsidRPr="003A1FCD">
        <w:t>56.</w:t>
      </w:r>
      <w:r w:rsidRPr="003A1FCD">
        <w:tab/>
        <w:t>herhaalt zijn steun voor de inspanningen van de EDPS om bijvoorbeeld via de verslagen TechDispatch en TechSonar nieuwe technologische ontwikkelingen en de mogelijke gevolgen daarvan voor de gegevensbescherming en privacy te monitoren en aan het grote publiek uit te leggen; spoort de EDPS verder aan zijn capaciteit op het gebied van technologiemonitoring op te bouwen en voorlichtingscampagnes te voeren over zijn bevindingen en aanbevelingen.</w:t>
      </w:r>
    </w:p>
    <w:p w:rsidR="00E365E1" w:rsidRPr="003A1FCD" w:rsidRDefault="00E365E1" w:rsidP="008F7FD8">
      <w:bookmarkStart w:id="9" w:name="TextBodyEnd"/>
      <w:bookmarkEnd w:id="9"/>
    </w:p>
    <w:sectPr w:rsidR="00E365E1" w:rsidRPr="003A1FCD" w:rsidSect="002B0BF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FD8" w:rsidRPr="002B0BFD" w:rsidRDefault="008F7FD8">
      <w:r w:rsidRPr="002B0BFD">
        <w:separator/>
      </w:r>
    </w:p>
  </w:endnote>
  <w:endnote w:type="continuationSeparator" w:id="0">
    <w:p w:rsidR="008F7FD8" w:rsidRPr="002B0BFD" w:rsidRDefault="008F7FD8">
      <w:r w:rsidRPr="002B0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915" w:rsidRPr="002B0BFD" w:rsidRDefault="00224915" w:rsidP="0044141D">
    <w:pPr>
      <w:pStyle w:val="EPFooter"/>
    </w:pPr>
    <w:r w:rsidRPr="002B0BFD">
      <w:t>PE</w:t>
    </w:r>
    <w:r w:rsidRPr="002B0BFD">
      <w:rPr>
        <w:rStyle w:val="HideTWBExt"/>
      </w:rPr>
      <w:t>&lt;NoPE&gt;</w:t>
    </w:r>
    <w:r w:rsidRPr="002B0BFD">
      <w:t>753.487</w:t>
    </w:r>
    <w:r w:rsidRPr="002B0BFD">
      <w:rPr>
        <w:rStyle w:val="HideTWBExt"/>
      </w:rPr>
      <w:t>&lt;/NoPE&gt;&lt;Version&gt;</w:t>
    </w:r>
    <w:r w:rsidRPr="002B0BFD">
      <w:t>v02-00</w:t>
    </w:r>
    <w:r w:rsidRPr="002B0BFD">
      <w:rPr>
        <w:rStyle w:val="HideTWBExt"/>
      </w:rPr>
      <w:t>&lt;/Version&gt;</w:t>
    </w:r>
    <w:r w:rsidRPr="002B0BFD">
      <w:tab/>
    </w:r>
    <w:r w:rsidRPr="002B0BFD">
      <w:fldChar w:fldCharType="begin"/>
    </w:r>
    <w:r w:rsidRPr="002B0BFD">
      <w:instrText xml:space="preserve"> PAGE  \* MERGEFORMAT </w:instrText>
    </w:r>
    <w:r w:rsidRPr="002B0BFD">
      <w:fldChar w:fldCharType="separate"/>
    </w:r>
    <w:r w:rsidR="002B0BFD" w:rsidRPr="002B0BFD">
      <w:rPr>
        <w:noProof/>
      </w:rPr>
      <w:t>2</w:t>
    </w:r>
    <w:r w:rsidRPr="002B0BFD">
      <w:fldChar w:fldCharType="end"/>
    </w:r>
    <w:r w:rsidRPr="002B0BFD">
      <w:t>/</w:t>
    </w:r>
    <w:fldSimple w:instr=" NUMPAGES  \* MERGEFORMAT ">
      <w:r w:rsidR="002B0BFD" w:rsidRPr="002B0BFD">
        <w:rPr>
          <w:noProof/>
        </w:rPr>
        <w:t>3</w:t>
      </w:r>
    </w:fldSimple>
    <w:r w:rsidRPr="002B0BFD">
      <w:tab/>
    </w:r>
    <w:r w:rsidRPr="002B0BFD">
      <w:rPr>
        <w:rStyle w:val="HideTWBExt"/>
      </w:rPr>
      <w:t>&lt;PathFdR&gt;</w:t>
    </w:r>
    <w:r w:rsidRPr="002B0BFD">
      <w:t>RR\1298695NL.docx</w:t>
    </w:r>
    <w:r w:rsidRPr="002B0BFD">
      <w:rPr>
        <w:rStyle w:val="HideTWBExt"/>
      </w:rPr>
      <w:t>&lt;/PathFdR&gt;</w:t>
    </w:r>
  </w:p>
  <w:p w:rsidR="00224915" w:rsidRPr="002B0BFD" w:rsidRDefault="00224915" w:rsidP="0044141D">
    <w:pPr>
      <w:pStyle w:val="EPFooter2"/>
    </w:pPr>
    <w:r w:rsidRPr="002B0BF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915" w:rsidRPr="002B0BFD" w:rsidRDefault="00224915" w:rsidP="0044141D">
    <w:pPr>
      <w:pStyle w:val="EPFooter"/>
    </w:pPr>
    <w:r w:rsidRPr="002B0BFD">
      <w:rPr>
        <w:rStyle w:val="HideTWBExt"/>
      </w:rPr>
      <w:t>&lt;PathFdR&gt;</w:t>
    </w:r>
    <w:r w:rsidRPr="002B0BFD">
      <w:t>RR\1298695NL.docx</w:t>
    </w:r>
    <w:r w:rsidRPr="002B0BFD">
      <w:rPr>
        <w:rStyle w:val="HideTWBExt"/>
      </w:rPr>
      <w:t>&lt;/PathFdR&gt;</w:t>
    </w:r>
    <w:r w:rsidRPr="002B0BFD">
      <w:tab/>
    </w:r>
    <w:r w:rsidRPr="002B0BFD">
      <w:tab/>
      <w:t>PE</w:t>
    </w:r>
    <w:r w:rsidRPr="002B0BFD">
      <w:rPr>
        <w:rStyle w:val="HideTWBExt"/>
      </w:rPr>
      <w:t>&lt;NoPE&gt;</w:t>
    </w:r>
    <w:r w:rsidRPr="002B0BFD">
      <w:t>753.487</w:t>
    </w:r>
    <w:r w:rsidRPr="002B0BFD">
      <w:rPr>
        <w:rStyle w:val="HideTWBExt"/>
      </w:rPr>
      <w:t>&lt;/NoPE&gt;&lt;Version&gt;</w:t>
    </w:r>
    <w:r w:rsidRPr="002B0BFD">
      <w:t>v02-00</w:t>
    </w:r>
    <w:r w:rsidRPr="002B0BFD">
      <w:rPr>
        <w:rStyle w:val="HideTWBExt"/>
      </w:rPr>
      <w:t>&lt;/Version&gt;</w:t>
    </w:r>
  </w:p>
  <w:p w:rsidR="00224915" w:rsidRPr="002B0BFD" w:rsidRDefault="00224915" w:rsidP="0044141D">
    <w:pPr>
      <w:pStyle w:val="EPFooter2"/>
    </w:pPr>
    <w:r w:rsidRPr="002B0BFD">
      <w:t>NL</w:t>
    </w:r>
    <w:r w:rsidRPr="002B0BFD">
      <w:tab/>
    </w:r>
    <w:r w:rsidRPr="002B0BFD">
      <w:rPr>
        <w:b w:val="0"/>
        <w:i/>
        <w:color w:val="C0C0C0"/>
        <w:sz w:val="22"/>
      </w:rPr>
      <w:t>In verscheidenheid verenigd</w:t>
    </w:r>
    <w:r w:rsidRPr="002B0BF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F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F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FD8" w:rsidRPr="002B0BFD" w:rsidRDefault="008F7FD8">
      <w:r w:rsidRPr="002B0BFD">
        <w:separator/>
      </w:r>
    </w:p>
  </w:footnote>
  <w:footnote w:type="continuationSeparator" w:id="0">
    <w:p w:rsidR="008F7FD8" w:rsidRPr="002B0BFD" w:rsidRDefault="008F7FD8">
      <w:r w:rsidRPr="002B0BFD">
        <w:continuationSeparator/>
      </w:r>
    </w:p>
  </w:footnote>
  <w:footnote w:id="1">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PB L 45 van 24.2.2022.</w:t>
      </w:r>
    </w:p>
  </w:footnote>
  <w:footnote w:id="2">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PB C, C/2023/2, 12.10.2023.</w:t>
      </w:r>
    </w:p>
  </w:footnote>
  <w:footnote w:id="3">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PB C, C/2023/103, 4.10.2023.</w:t>
      </w:r>
    </w:p>
  </w:footnote>
  <w:footnote w:id="4">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PB C, C/2023/112, 12.10.2023.</w:t>
      </w:r>
    </w:p>
  </w:footnote>
  <w:footnote w:id="5">
    <w:p w:rsidR="00224915" w:rsidRPr="002B0BFD" w:rsidRDefault="00224915" w:rsidP="002B0BFD">
      <w:pPr>
        <w:pStyle w:val="FootnoteText"/>
        <w:ind w:left="567" w:hanging="567"/>
        <w:rPr>
          <w:sz w:val="24"/>
          <w:szCs w:val="24"/>
          <w:lang w:val="nl-NL"/>
        </w:rPr>
      </w:pPr>
      <w:r w:rsidRPr="002B0BFD">
        <w:rPr>
          <w:rStyle w:val="FootnoteReference"/>
          <w:sz w:val="24"/>
          <w:lang w:val="nl-NL"/>
        </w:rPr>
        <w:footnoteRef/>
      </w:r>
      <w:r w:rsidR="002B0BFD" w:rsidRPr="002B0BFD">
        <w:rPr>
          <w:sz w:val="24"/>
          <w:lang w:val="nl-NL"/>
        </w:rPr>
        <w:tab/>
      </w:r>
      <w:r w:rsidRPr="002B0BFD">
        <w:rPr>
          <w:sz w:val="24"/>
          <w:lang w:val="nl-NL"/>
        </w:rPr>
        <w:t>PB L 193 van 30.7.2018, blz. 1.</w:t>
      </w:r>
    </w:p>
  </w:footnote>
  <w:footnote w:id="6">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Verordening (EU) 2022/991 van het Europees Parlement en de Raad van 8 juni 2022 tot wijziging van Verordening (EU) 2016/794, wat betreft de samenwerking van Europol met particuliere partijen, de verwerking van persoonsgegevens door Europol ter ondersteuning van strafrechtelijke onderzoeken, en de rol van Europol bij onderzoek en innovatie (PB L 169 van 27.6.2022, blz. 1).</w:t>
      </w:r>
    </w:p>
  </w:footnote>
  <w:footnote w:id="7">
    <w:p w:rsidR="00224915" w:rsidRPr="002B0BFD" w:rsidRDefault="00224915" w:rsidP="002B0BFD">
      <w:pPr>
        <w:pStyle w:val="FootnoteText"/>
        <w:ind w:left="567" w:hanging="567"/>
        <w:rPr>
          <w:sz w:val="24"/>
          <w:lang w:val="nl-NL"/>
        </w:rPr>
      </w:pPr>
      <w:r w:rsidRPr="002B0BFD">
        <w:rPr>
          <w:rStyle w:val="FootnoteReference"/>
          <w:sz w:val="24"/>
          <w:lang w:val="nl-NL"/>
        </w:rPr>
        <w:footnoteRef/>
      </w:r>
      <w:r w:rsidR="002B0BFD" w:rsidRPr="002B0BFD">
        <w:rPr>
          <w:sz w:val="24"/>
          <w:lang w:val="nl-NL"/>
        </w:rPr>
        <w:tab/>
      </w:r>
      <w:r w:rsidRPr="002B0BFD">
        <w:rPr>
          <w:sz w:val="24"/>
          <w:lang w:val="nl-NL"/>
        </w:rPr>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6BD" w:rsidRDefault="00064002" w:rsidP="00EC5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NL"/>
    <w:docVar w:name="dvnumam" w:val="0"/>
    <w:docVar w:name="dvpe" w:val="753.487"/>
    <w:docVar w:name="dvrapporteur" w:val="Rapporteur: "/>
    <w:docVar w:name="dvtitre" w:val="Besluit van het Europees Parlement van xx april 2024 over het verlenen van kwijting voor de uitvoering van de algemene begroting van de Europese Unie voor het begrotingsjaar 2022, afdeling IX – Europese Toezichthouder voor gegevensbescherming(2023/2138(DEC))"/>
  </w:docVars>
  <w:rsids>
    <w:rsidRoot w:val="008F7FD8"/>
    <w:rsid w:val="00002272"/>
    <w:rsid w:val="00064002"/>
    <w:rsid w:val="000677B9"/>
    <w:rsid w:val="000831BA"/>
    <w:rsid w:val="000A42CC"/>
    <w:rsid w:val="000E7DD9"/>
    <w:rsid w:val="0010095E"/>
    <w:rsid w:val="00125B37"/>
    <w:rsid w:val="00187494"/>
    <w:rsid w:val="001F32AE"/>
    <w:rsid w:val="00224915"/>
    <w:rsid w:val="002767FF"/>
    <w:rsid w:val="002B0BFD"/>
    <w:rsid w:val="002B18FE"/>
    <w:rsid w:val="002B5493"/>
    <w:rsid w:val="00343214"/>
    <w:rsid w:val="00361C00"/>
    <w:rsid w:val="00395FA1"/>
    <w:rsid w:val="003A1FCD"/>
    <w:rsid w:val="003E15D4"/>
    <w:rsid w:val="00411CCE"/>
    <w:rsid w:val="0041666E"/>
    <w:rsid w:val="00421060"/>
    <w:rsid w:val="00471C19"/>
    <w:rsid w:val="004867E3"/>
    <w:rsid w:val="00494A28"/>
    <w:rsid w:val="004C0004"/>
    <w:rsid w:val="004C5D52"/>
    <w:rsid w:val="004E0F2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01E"/>
    <w:rsid w:val="008F7FD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6B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CBCF4"/>
  <w15:chartTrackingRefBased/>
  <w15:docId w15:val="{C2FD0EB1-B758-47F5-A8DD-2AC97C81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49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4915"/>
    <w:pPr>
      <w:spacing w:before="480" w:after="240"/>
    </w:pPr>
  </w:style>
  <w:style w:type="paragraph" w:customStyle="1" w:styleId="PageHeading">
    <w:name w:val="PageHeading"/>
    <w:basedOn w:val="Normal"/>
    <w:rsid w:val="00224915"/>
    <w:pPr>
      <w:keepNext/>
      <w:spacing w:after="480"/>
      <w:jc w:val="center"/>
    </w:pPr>
    <w:rPr>
      <w:rFonts w:ascii="Arial" w:hAnsi="Arial" w:cs="Arial"/>
      <w:b/>
    </w:rPr>
  </w:style>
  <w:style w:type="paragraph" w:customStyle="1" w:styleId="NormalBold">
    <w:name w:val="NormalBold"/>
    <w:basedOn w:val="Normal"/>
    <w:rsid w:val="00224915"/>
    <w:rPr>
      <w:b/>
    </w:rPr>
  </w:style>
  <w:style w:type="paragraph" w:customStyle="1" w:styleId="NormalHanging12a">
    <w:name w:val="NormalHanging12a"/>
    <w:basedOn w:val="Normal"/>
    <w:link w:val="NormalHanging12aChar"/>
    <w:qFormat/>
    <w:rsid w:val="00224915"/>
    <w:pPr>
      <w:spacing w:after="240"/>
      <w:ind w:left="567" w:hanging="567"/>
    </w:pPr>
  </w:style>
  <w:style w:type="paragraph" w:styleId="Header">
    <w:name w:val="header"/>
    <w:basedOn w:val="Normal"/>
    <w:link w:val="HeaderChar"/>
    <w:rsid w:val="00224915"/>
    <w:pPr>
      <w:tabs>
        <w:tab w:val="center" w:pos="4513"/>
        <w:tab w:val="right" w:pos="9026"/>
      </w:tabs>
    </w:pPr>
  </w:style>
  <w:style w:type="character" w:customStyle="1" w:styleId="HeaderChar">
    <w:name w:val="Header Char"/>
    <w:basedOn w:val="DefaultParagraphFont"/>
    <w:link w:val="Header"/>
    <w:rsid w:val="00224915"/>
    <w:rPr>
      <w:sz w:val="24"/>
      <w:lang w:val="nl-NL"/>
    </w:rPr>
  </w:style>
  <w:style w:type="paragraph" w:customStyle="1" w:styleId="EPFooter">
    <w:name w:val="EPFooter"/>
    <w:basedOn w:val="Normal"/>
    <w:rsid w:val="0022491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24915"/>
    <w:rPr>
      <w:sz w:val="24"/>
      <w:lang w:val="nl-NL"/>
    </w:rPr>
  </w:style>
  <w:style w:type="paragraph" w:styleId="Footer">
    <w:name w:val="footer"/>
    <w:basedOn w:val="Normal"/>
    <w:link w:val="FooterChar"/>
    <w:rsid w:val="008E301E"/>
    <w:pPr>
      <w:tabs>
        <w:tab w:val="center" w:pos="4513"/>
        <w:tab w:val="right" w:pos="9026"/>
      </w:tabs>
    </w:pPr>
  </w:style>
  <w:style w:type="character" w:customStyle="1" w:styleId="FooterChar">
    <w:name w:val="Footer Char"/>
    <w:basedOn w:val="DefaultParagraphFont"/>
    <w:link w:val="Footer"/>
    <w:rsid w:val="008E301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C6D39-E939-43A9-9DE1-2800BBD0C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4967</Words>
  <Characters>27830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2024-05-15T11:03:00Z</dcterms:created>
  <dcterms:modified xsi:type="dcterms:W3CDTF">2024-05-15T11:03:00Z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P9_TA(2024)0235_</vt:lpwstr>
  </property>
  <property fmtid="{D5CDD505-2E9C-101B-9397-08002B2CF9AE}" pid="4" name="&lt;Type&gt;">
    <vt:lpwstr>RR</vt:lpwstr>
  </property>
</Properties>
</file>