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24EC" w:rsidTr="0010095E">
        <w:trPr>
          <w:trHeight w:hRule="exact" w:val="1418"/>
        </w:trPr>
        <w:tc>
          <w:tcPr>
            <w:tcW w:w="6804" w:type="dxa"/>
            <w:shd w:val="clear" w:color="auto" w:fill="auto"/>
            <w:vAlign w:val="center"/>
          </w:tcPr>
          <w:p w:rsidR="00751A4A" w:rsidRPr="00D824EC" w:rsidRDefault="00911177" w:rsidP="0010095E">
            <w:pPr>
              <w:pStyle w:val="EPName"/>
            </w:pPr>
            <w:r w:rsidRPr="00D824EC">
              <w:t>Parlamentul European</w:t>
            </w:r>
          </w:p>
          <w:p w:rsidR="00751A4A" w:rsidRPr="00D824EC" w:rsidRDefault="00817416" w:rsidP="00756632">
            <w:pPr>
              <w:pStyle w:val="EPTerm"/>
              <w:rPr>
                <w:rStyle w:val="HideTWBExt"/>
                <w:noProof w:val="0"/>
                <w:vanish w:val="0"/>
                <w:color w:val="auto"/>
              </w:rPr>
            </w:pPr>
            <w:r w:rsidRPr="00D824EC">
              <w:t>2019-2024</w:t>
            </w:r>
          </w:p>
        </w:tc>
        <w:tc>
          <w:tcPr>
            <w:tcW w:w="2268" w:type="dxa"/>
            <w:shd w:val="clear" w:color="auto" w:fill="auto"/>
          </w:tcPr>
          <w:p w:rsidR="00751A4A" w:rsidRPr="00D824EC" w:rsidRDefault="00187494" w:rsidP="0010095E">
            <w:pPr>
              <w:pStyle w:val="EPLogo"/>
            </w:pPr>
            <w:r w:rsidRPr="00D824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24EC" w:rsidRDefault="00D058B8" w:rsidP="004C5D52">
      <w:pPr>
        <w:pStyle w:val="LineTop"/>
      </w:pPr>
    </w:p>
    <w:p w:rsidR="00680577" w:rsidRPr="00D824EC" w:rsidRDefault="00911177" w:rsidP="00680577">
      <w:pPr>
        <w:pStyle w:val="EPBodyTA1"/>
      </w:pPr>
      <w:r w:rsidRPr="00D824EC">
        <w:t>TEXTE ADOPTATE</w:t>
      </w:r>
    </w:p>
    <w:p w:rsidR="00D058B8" w:rsidRPr="00D824EC" w:rsidRDefault="00D058B8" w:rsidP="00D058B8">
      <w:pPr>
        <w:pStyle w:val="LineBottom"/>
      </w:pPr>
    </w:p>
    <w:p w:rsidR="00911177" w:rsidRPr="00D824EC" w:rsidRDefault="00911177" w:rsidP="00911177">
      <w:pPr>
        <w:pStyle w:val="ATHeading1"/>
      </w:pPr>
      <w:bookmarkStart w:id="0" w:name="TANumber"/>
      <w:r w:rsidRPr="00D824EC">
        <w:t>P9_TA(2024)0</w:t>
      </w:r>
      <w:bookmarkEnd w:id="0"/>
      <w:r w:rsidR="00D824EC" w:rsidRPr="00D824EC">
        <w:t>235</w:t>
      </w:r>
    </w:p>
    <w:p w:rsidR="00911177" w:rsidRPr="00D824EC" w:rsidRDefault="00911177" w:rsidP="00911177">
      <w:pPr>
        <w:pStyle w:val="ATHeading2"/>
      </w:pPr>
      <w:bookmarkStart w:id="1" w:name="title"/>
      <w:r w:rsidRPr="00D824EC">
        <w:t>Descărcarea de gestiune 2022: bugetul general al UE - Autoritatea Europeană pentru Protecția Datelor</w:t>
      </w:r>
      <w:bookmarkEnd w:id="1"/>
    </w:p>
    <w:p w:rsidR="00911177" w:rsidRPr="00D824EC" w:rsidRDefault="00911177" w:rsidP="00911177">
      <w:pPr>
        <w:rPr>
          <w:i/>
          <w:vanish/>
        </w:rPr>
      </w:pPr>
      <w:r w:rsidRPr="00D824EC">
        <w:rPr>
          <w:i/>
        </w:rPr>
        <w:fldChar w:fldCharType="begin"/>
      </w:r>
      <w:r w:rsidRPr="00D824EC">
        <w:rPr>
          <w:i/>
        </w:rPr>
        <w:instrText xml:space="preserve"> TC"(</w:instrText>
      </w:r>
      <w:bookmarkStart w:id="2" w:name="DocNumber"/>
      <w:r w:rsidRPr="00D824EC">
        <w:rPr>
          <w:i/>
        </w:rPr>
        <w:instrText>A9-0086/2024</w:instrText>
      </w:r>
      <w:bookmarkEnd w:id="2"/>
      <w:r w:rsidRPr="00D824EC">
        <w:rPr>
          <w:i/>
        </w:rPr>
        <w:instrText xml:space="preserve"> - Raportor: Luke Ming Flanagan)"\l3 \n&gt; \* MERGEFORMAT </w:instrText>
      </w:r>
      <w:r w:rsidRPr="00D824EC">
        <w:rPr>
          <w:i/>
        </w:rPr>
        <w:fldChar w:fldCharType="end"/>
      </w:r>
    </w:p>
    <w:p w:rsidR="00911177" w:rsidRPr="00D824EC" w:rsidRDefault="00911177" w:rsidP="00911177">
      <w:pPr>
        <w:rPr>
          <w:vanish/>
        </w:rPr>
      </w:pPr>
      <w:bookmarkStart w:id="3" w:name="Commission"/>
      <w:r w:rsidRPr="00D824EC">
        <w:rPr>
          <w:vanish/>
        </w:rPr>
        <w:t>Comisia pentru control bugetar</w:t>
      </w:r>
      <w:bookmarkEnd w:id="3"/>
    </w:p>
    <w:p w:rsidR="00911177" w:rsidRPr="00D824EC" w:rsidRDefault="00911177" w:rsidP="00911177">
      <w:pPr>
        <w:rPr>
          <w:vanish/>
        </w:rPr>
      </w:pPr>
      <w:bookmarkStart w:id="4" w:name="PE"/>
      <w:r w:rsidRPr="00D824EC">
        <w:rPr>
          <w:vanish/>
        </w:rPr>
        <w:t>PE753.487</w:t>
      </w:r>
      <w:bookmarkEnd w:id="4"/>
    </w:p>
    <w:p w:rsidR="00911177" w:rsidRPr="00D824EC" w:rsidRDefault="00911177" w:rsidP="00D75181">
      <w:pPr>
        <w:pStyle w:val="ATHeading3"/>
      </w:pPr>
      <w:bookmarkStart w:id="5" w:name="Sujet"/>
      <w:r w:rsidRPr="00D824EC">
        <w:t>1. Decizia Parlamentului European din 11 aprilie 2024 privind descărcarea de gestiune pentru execuția bugetului general al Uniunii Europene aferent exercițiului financiar 2022, secțiunea IX – Autoritatea Europeană pentru Protecția Datelor</w:t>
      </w:r>
      <w:bookmarkEnd w:id="5"/>
      <w:r w:rsidRPr="00D824EC">
        <w:t xml:space="preserve"> </w:t>
      </w:r>
      <w:bookmarkStart w:id="6" w:name="References"/>
      <w:r w:rsidRPr="00D824EC">
        <w:t>(2023/2138(DEC))</w:t>
      </w:r>
      <w:bookmarkEnd w:id="6"/>
    </w:p>
    <w:p w:rsidR="00FD1623" w:rsidRPr="00D824EC" w:rsidRDefault="00FD1623" w:rsidP="00FD1623">
      <w:pPr>
        <w:pStyle w:val="EPComma"/>
      </w:pPr>
      <w:bookmarkStart w:id="7" w:name="TextBodyBegin"/>
      <w:bookmarkEnd w:id="7"/>
      <w:r w:rsidRPr="00D824EC">
        <w:rPr>
          <w:i/>
        </w:rPr>
        <w:t>Parlamentul European</w:t>
      </w:r>
      <w:r w:rsidRPr="00D824EC">
        <w:t>,</w:t>
      </w:r>
    </w:p>
    <w:p w:rsidR="00FD1623" w:rsidRPr="00D824EC" w:rsidRDefault="00FD1623" w:rsidP="00FD1623">
      <w:pPr>
        <w:pStyle w:val="NormalHanging12a"/>
      </w:pPr>
      <w:r w:rsidRPr="00D824EC">
        <w:t>–</w:t>
      </w:r>
      <w:r w:rsidRPr="00D824EC">
        <w:tab/>
        <w:t>având în vedere bugetul general al Uniunii Europene aferent exercițiului financiar 2022</w:t>
      </w:r>
      <w:r w:rsidRPr="00D824EC">
        <w:rPr>
          <w:rStyle w:val="FootnoteReference"/>
        </w:rPr>
        <w:footnoteReference w:id="1"/>
      </w:r>
      <w:r w:rsidRPr="00D824EC">
        <w:t>,</w:t>
      </w:r>
    </w:p>
    <w:p w:rsidR="00FD1623" w:rsidRPr="00D824EC" w:rsidRDefault="00FD1623" w:rsidP="00FD1623">
      <w:pPr>
        <w:pStyle w:val="NormalHanging12a"/>
      </w:pPr>
      <w:r w:rsidRPr="00D824EC">
        <w:t>–</w:t>
      </w:r>
      <w:r w:rsidRPr="00D824EC">
        <w:tab/>
        <w:t>având în vedere conturile anuale consolidate ale Uniunii Europene pentru exercițiul financiar 2022 (COM(2023)0391 – C9</w:t>
      </w:r>
      <w:r w:rsidRPr="00D824EC">
        <w:noBreakHyphen/>
        <w:t>0257/2023)</w:t>
      </w:r>
      <w:r w:rsidRPr="00D824EC">
        <w:rPr>
          <w:rStyle w:val="FootnoteReference"/>
        </w:rPr>
        <w:footnoteReference w:id="2"/>
      </w:r>
      <w:r w:rsidRPr="00D824EC">
        <w:t>,</w:t>
      </w:r>
    </w:p>
    <w:p w:rsidR="00FD1623" w:rsidRPr="00D824EC" w:rsidRDefault="00FD1623" w:rsidP="00FD1623">
      <w:pPr>
        <w:pStyle w:val="NormalHanging12a"/>
      </w:pPr>
      <w:r w:rsidRPr="00D824EC">
        <w:t>–</w:t>
      </w:r>
      <w:r w:rsidRPr="00D824EC">
        <w:tab/>
        <w:t>având în vedere raportul anual al Autorității Europene pentru Protecția Datelor pentru 2022,</w:t>
      </w:r>
    </w:p>
    <w:p w:rsidR="00FD1623" w:rsidRPr="00D824EC" w:rsidRDefault="00FD1623" w:rsidP="00FD1623">
      <w:pPr>
        <w:pStyle w:val="NormalHanging12a"/>
      </w:pPr>
      <w:r w:rsidRPr="00D824EC">
        <w:t>–</w:t>
      </w:r>
      <w:r w:rsidRPr="00D824EC">
        <w:tab/>
        <w:t>având în vedere raportul anual al Curții de Conturi referitor la execuția bugetului privind exercițiul financiar 2022, însoțit de răspunsurile instituțiilor</w:t>
      </w:r>
      <w:r w:rsidRPr="00D824EC">
        <w:rPr>
          <w:rStyle w:val="FootnoteReference"/>
        </w:rPr>
        <w:footnoteReference w:id="3"/>
      </w:r>
      <w:r w:rsidRPr="00D824EC">
        <w:t>,</w:t>
      </w:r>
    </w:p>
    <w:p w:rsidR="00FD1623" w:rsidRPr="00D824EC" w:rsidRDefault="00FD1623" w:rsidP="00FD1623">
      <w:pPr>
        <w:pStyle w:val="NormalHanging12a"/>
      </w:pPr>
      <w:r w:rsidRPr="00D824EC">
        <w:t>–</w:t>
      </w:r>
      <w:r w:rsidRPr="00D824EC">
        <w:tab/>
        <w:t>având în vedere declarația de asigurare</w:t>
      </w:r>
      <w:r w:rsidRPr="00D824EC">
        <w:rPr>
          <w:rStyle w:val="FootnoteReference"/>
        </w:rPr>
        <w:footnoteReference w:id="4"/>
      </w:r>
      <w:r w:rsidRPr="00D824EC">
        <w:t xml:space="preserve"> privind fiabilitatea conturilor și legalitatea și regularitatea operațiunilor subiacente întocmită de Curtea de Conturi pentru exercițiul 2022 în temeiul articolului 287 din Tratatul privind funcționarea Uniunii Europene,</w:t>
      </w:r>
    </w:p>
    <w:p w:rsidR="00FD1623" w:rsidRPr="00D824EC" w:rsidRDefault="00FD1623" w:rsidP="00FD1623">
      <w:pPr>
        <w:pStyle w:val="NormalHanging12a"/>
      </w:pPr>
      <w:r w:rsidRPr="00D824EC">
        <w:t>–</w:t>
      </w:r>
      <w:r w:rsidRPr="00D824EC">
        <w:tab/>
        <w:t>având în vedere articolul 314 alineatul (10) și articolele 317, 318 și 319 din Tratatul privind funcționarea Uniunii Europene,</w:t>
      </w:r>
    </w:p>
    <w:p w:rsidR="00FD1623" w:rsidRPr="00D824EC" w:rsidRDefault="00FD1623" w:rsidP="00FD1623">
      <w:pPr>
        <w:pStyle w:val="NormalHanging12a"/>
      </w:pPr>
      <w:r w:rsidRPr="00D824EC">
        <w:t>–</w:t>
      </w:r>
      <w:r w:rsidRPr="00D824EC">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D824EC">
        <w:lastRenderedPageBreak/>
        <w:t>Regulamentului (UE, Euratom) nr. 966/2012</w:t>
      </w:r>
      <w:r w:rsidRPr="00D824EC">
        <w:rPr>
          <w:rStyle w:val="FootnoteReference"/>
        </w:rPr>
        <w:footnoteReference w:id="5"/>
      </w:r>
      <w:r w:rsidRPr="00D824EC">
        <w:t>, în special articolele 59, 118, 260, 261 și 262,</w:t>
      </w:r>
    </w:p>
    <w:p w:rsidR="00FD1623" w:rsidRPr="00D824EC" w:rsidRDefault="00FD1623" w:rsidP="00FD1623">
      <w:pPr>
        <w:pStyle w:val="NormalHanging12a"/>
      </w:pPr>
      <w:r w:rsidRPr="00D824EC">
        <w:t>–</w:t>
      </w:r>
      <w:r w:rsidRPr="00D824EC">
        <w:tab/>
      </w:r>
      <w:r w:rsidRPr="00D824EC">
        <w:rPr>
          <w:snapToGrid w:val="0"/>
        </w:rPr>
        <w:t>având în vedere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în special articolul 54,</w:t>
      </w:r>
    </w:p>
    <w:p w:rsidR="00FD1623" w:rsidRPr="00D824EC" w:rsidRDefault="00FD1623" w:rsidP="00FD1623">
      <w:pPr>
        <w:pStyle w:val="NormalHanging12a"/>
      </w:pPr>
      <w:r w:rsidRPr="00D824EC">
        <w:t>–</w:t>
      </w:r>
      <w:r w:rsidRPr="00D824EC">
        <w:tab/>
        <w:t>având în vedere articolul 100 și anexa V la Regulamentul său de procedură,</w:t>
      </w:r>
    </w:p>
    <w:p w:rsidR="00FD1623" w:rsidRPr="00D824EC" w:rsidRDefault="00FD1623" w:rsidP="00FD1623">
      <w:pPr>
        <w:pStyle w:val="NormalHanging12a"/>
      </w:pPr>
      <w:r w:rsidRPr="00D824EC">
        <w:t>–</w:t>
      </w:r>
      <w:r w:rsidRPr="00D824EC">
        <w:tab/>
        <w:t>având în vedere avizul Comisiei pentru libertăți civile, justiție și afaceri interne,</w:t>
      </w:r>
    </w:p>
    <w:p w:rsidR="00FD1623" w:rsidRPr="00D824EC" w:rsidRDefault="00FD1623" w:rsidP="00FD1623">
      <w:pPr>
        <w:pStyle w:val="NormalHanging12a"/>
      </w:pPr>
      <w:r w:rsidRPr="00D824EC">
        <w:t>–</w:t>
      </w:r>
      <w:r w:rsidRPr="00D824EC">
        <w:tab/>
        <w:t>având în vedere raportul Comisiei pentru control bugetar (A9-0086/2024),</w:t>
      </w:r>
    </w:p>
    <w:p w:rsidR="00FD1623" w:rsidRPr="00D824EC" w:rsidRDefault="00FD1623" w:rsidP="00FD1623">
      <w:pPr>
        <w:pStyle w:val="NormalHanging12a"/>
      </w:pPr>
      <w:r w:rsidRPr="00D824EC">
        <w:t>1.</w:t>
      </w:r>
      <w:r w:rsidRPr="00D824EC">
        <w:tab/>
        <w:t>acordă Autorității Europene pentru Protecția Datelor descărcarea de gestiune pentru execuția bugetului său aferent exercițiului financiar 2022;</w:t>
      </w:r>
    </w:p>
    <w:p w:rsidR="00FD1623" w:rsidRPr="00D824EC" w:rsidRDefault="00FD1623" w:rsidP="00FD1623">
      <w:pPr>
        <w:pStyle w:val="NormalHanging12a"/>
      </w:pPr>
      <w:r w:rsidRPr="00D824EC">
        <w:t>2.</w:t>
      </w:r>
      <w:r w:rsidRPr="00D824EC">
        <w:tab/>
        <w:t>își prezintă observațiile în cadrul rezoluției de mai jos;</w:t>
      </w:r>
    </w:p>
    <w:p w:rsidR="00FD1623" w:rsidRPr="00D824EC" w:rsidRDefault="00FD1623" w:rsidP="00FD1623">
      <w:pPr>
        <w:pStyle w:val="NormalHanging12a"/>
      </w:pPr>
      <w:r w:rsidRPr="00D824EC">
        <w:t>3.</w:t>
      </w:r>
      <w:r w:rsidRPr="00D824EC">
        <w:tab/>
        <w:t xml:space="preserve">încredințează Președintei sarcina de a transmite prezenta decizie împreună cu rezoluția Parlamentului, ca parte integrantă a acesteia, Autorității Europene pentru Protecția Datelor, Consiliului European, Consiliului, Comisiei, Curții de Conturi, Curții de Justiție a Uniunii Europene, Ombudsmanului European și Serviciului European de Acțiune Externă și de a asigura publicarea acestora în </w:t>
      </w:r>
      <w:r w:rsidRPr="00D824EC">
        <w:rPr>
          <w:i/>
        </w:rPr>
        <w:t>Jurnalul Oficial al Uniunii Europene</w:t>
      </w:r>
      <w:r w:rsidRPr="00D824EC">
        <w:t xml:space="preserve"> (seria L).</w:t>
      </w:r>
    </w:p>
    <w:p w:rsidR="00FD1623" w:rsidRPr="00D824EC" w:rsidRDefault="00FD1623" w:rsidP="00FD1623"/>
    <w:p w:rsidR="00FD1623" w:rsidRPr="00D824EC" w:rsidRDefault="00FD1623" w:rsidP="00FD1623">
      <w:pPr>
        <w:pStyle w:val="PageHeading"/>
        <w:sectPr w:rsidR="00FD1623" w:rsidRPr="00D824EC" w:rsidSect="008A596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D1623" w:rsidRPr="00D824EC" w:rsidRDefault="00D75181" w:rsidP="00D824EC">
      <w:pPr>
        <w:pStyle w:val="ATHeading3"/>
      </w:pPr>
      <w:r w:rsidRPr="00D824EC">
        <w:lastRenderedPageBreak/>
        <w:t xml:space="preserve">2. Rezoluția Parlamentului European din 11 aprilie 2024 </w:t>
      </w:r>
      <w:r w:rsidR="00FD1623" w:rsidRPr="00D824EC">
        <w:t>conținând observațiile care fac parte integrantă din decizia privind descărcarea de gestiune pentru execuția bugetului general al Uniunii Europene aferent exercițiului financiar 2022, secțiunea IX – Autoritatea Europeană pentru Protecția Datelor</w:t>
      </w:r>
      <w:r w:rsidRPr="00D824EC">
        <w:t xml:space="preserve"> </w:t>
      </w:r>
      <w:r w:rsidR="00FD1623" w:rsidRPr="00D824EC">
        <w:t>(2023/2138(DEC))</w:t>
      </w:r>
    </w:p>
    <w:p w:rsidR="00FD1623" w:rsidRPr="00D824EC" w:rsidRDefault="00FD1623" w:rsidP="00FD1623">
      <w:pPr>
        <w:pStyle w:val="EPComma"/>
      </w:pPr>
      <w:r w:rsidRPr="00D824EC">
        <w:rPr>
          <w:i/>
        </w:rPr>
        <w:t>Parlamentul European</w:t>
      </w:r>
      <w:r w:rsidRPr="00D824EC">
        <w:t>,</w:t>
      </w:r>
    </w:p>
    <w:p w:rsidR="00FD1623" w:rsidRPr="00D824EC" w:rsidRDefault="00FD1623" w:rsidP="00FD1623">
      <w:pPr>
        <w:pStyle w:val="NormalHanging12a"/>
        <w:rPr>
          <w:szCs w:val="24"/>
        </w:rPr>
      </w:pPr>
      <w:r w:rsidRPr="00D824EC">
        <w:t>–</w:t>
      </w:r>
      <w:r w:rsidRPr="00D824EC">
        <w:tab/>
        <w:t>având în vedere Decizia sa privind descărcarea de gestiune pentru execuția bugetului general al Uniunii Europene aferent exercițiului financiar 2022, secțiunea IX – Autoritatea Europeană pentru Protecția Datelor,</w:t>
      </w:r>
    </w:p>
    <w:p w:rsidR="00FD1623" w:rsidRPr="00D824EC" w:rsidRDefault="00FD1623" w:rsidP="00FD1623">
      <w:pPr>
        <w:pStyle w:val="NormalHanging12a"/>
        <w:rPr>
          <w:szCs w:val="24"/>
        </w:rPr>
      </w:pPr>
      <w:r w:rsidRPr="00D824EC">
        <w:t>–</w:t>
      </w:r>
      <w:r w:rsidRPr="00D824EC">
        <w:tab/>
        <w:t>având în vedere articolul 100 și anexa V la Regulamentul său de procedură,</w:t>
      </w:r>
    </w:p>
    <w:p w:rsidR="00FD1623" w:rsidRPr="00D824EC" w:rsidRDefault="00FD1623" w:rsidP="00FD1623">
      <w:pPr>
        <w:pStyle w:val="NormalHanging12a"/>
        <w:rPr>
          <w:szCs w:val="24"/>
        </w:rPr>
      </w:pPr>
      <w:r w:rsidRPr="00D824EC">
        <w:t>–</w:t>
      </w:r>
      <w:r w:rsidRPr="00D824EC">
        <w:tab/>
        <w:t>având în vedere avizul Comisiei pentru libertăți civile, justiție și afaceri interne,</w:t>
      </w:r>
    </w:p>
    <w:p w:rsidR="00FD1623" w:rsidRPr="00D824EC" w:rsidRDefault="00FD1623" w:rsidP="00FD1623">
      <w:pPr>
        <w:pStyle w:val="NormalHanging12a"/>
        <w:rPr>
          <w:szCs w:val="24"/>
        </w:rPr>
      </w:pPr>
      <w:r w:rsidRPr="00D824EC">
        <w:t>–</w:t>
      </w:r>
      <w:r w:rsidRPr="00D824EC">
        <w:tab/>
        <w:t>având în vedere raportul Comisiei pentru control bugetar (A9-0086/2024),</w:t>
      </w:r>
    </w:p>
    <w:p w:rsidR="00FD1623" w:rsidRPr="00D824EC" w:rsidRDefault="00FD1623" w:rsidP="00FD1623">
      <w:pPr>
        <w:pStyle w:val="NormalHanging12a"/>
        <w:rPr>
          <w:szCs w:val="24"/>
        </w:rPr>
      </w:pPr>
      <w:r w:rsidRPr="00D824EC">
        <w:t>A.</w:t>
      </w:r>
      <w:r w:rsidRPr="00D824EC">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rsidR="00FD1623" w:rsidRPr="00D824EC" w:rsidRDefault="00FD1623" w:rsidP="00FD1623">
      <w:pPr>
        <w:pStyle w:val="NormalHanging12a"/>
        <w:rPr>
          <w:szCs w:val="24"/>
        </w:rPr>
      </w:pPr>
      <w:r w:rsidRPr="00D824EC">
        <w:t>B.</w:t>
      </w:r>
      <w:r w:rsidRPr="00D824EC">
        <w:tab/>
        <w:t>întrucât protecția datelor este un drept fundamental, protejat de legislația europeană și consacrat la articolul 8 din Carta drepturilor fundamentale a Uniunii Europene;</w:t>
      </w:r>
    </w:p>
    <w:p w:rsidR="00FD1623" w:rsidRPr="00D824EC" w:rsidRDefault="00FD1623" w:rsidP="00FD1623">
      <w:pPr>
        <w:pStyle w:val="NormalHanging12a"/>
        <w:rPr>
          <w:szCs w:val="24"/>
        </w:rPr>
      </w:pPr>
      <w:r w:rsidRPr="00D824EC">
        <w:t>C.</w:t>
      </w:r>
      <w:r w:rsidRPr="00D824EC">
        <w:tab/>
        <w:t>întrucât articolul 16 din Tratatul privind funcționarea Uniunii Europene prevede că respectarea normelor referitoare la protecția persoanelor fizice în ceea ce privește prelucrarea datelor cu caracter personal care le privesc face obiectul controlului unei autorități independente;</w:t>
      </w:r>
    </w:p>
    <w:p w:rsidR="00FD1623" w:rsidRPr="00D824EC" w:rsidRDefault="00FD1623" w:rsidP="00FD1623">
      <w:pPr>
        <w:pStyle w:val="NormalHanging12a"/>
        <w:rPr>
          <w:szCs w:val="24"/>
        </w:rPr>
      </w:pPr>
      <w:r w:rsidRPr="00D824EC">
        <w:t>D.</w:t>
      </w:r>
      <w:r w:rsidRPr="00D824EC">
        <w:tab/>
        <w:t>întrucât Regulamentul (UE) 2018/1725 prevede instituirea unei autorități independente, respectiv Autoritatea Europeană pentru Protecția Datelor („AEPD”), care să fie responsabilă cu protejarea și garantarea dreptului la protecția datelor și la viață privată și să fie însărcinată să asigure adoptarea de către instituțiile, organele, oficiile și agențiile Uniunii a unei culturi puternice a protecției datelor;</w:t>
      </w:r>
    </w:p>
    <w:p w:rsidR="00FD1623" w:rsidRPr="00D824EC" w:rsidRDefault="00FD1623" w:rsidP="00FD1623">
      <w:pPr>
        <w:pStyle w:val="NormalHanging12a"/>
        <w:rPr>
          <w:szCs w:val="24"/>
        </w:rPr>
      </w:pPr>
      <w:r w:rsidRPr="00D824EC">
        <w:t>E.</w:t>
      </w:r>
      <w:r w:rsidRPr="00D824EC">
        <w:tab/>
        <w:t>întrucât AEPD își îndeplinește atribuțiile în strânsă cooperare cu autoritățile similare pentru protecția datelor (APD) în cadrul Comitetului european pentru protecția datelor (CEPD) și servește interesului public, ghidându-se totodată după principiul imparțialității, al integrității, al transparenței și al pragmatismului;</w:t>
      </w:r>
    </w:p>
    <w:p w:rsidR="00FD1623" w:rsidRPr="00D824EC" w:rsidRDefault="00FD1623" w:rsidP="00FD1623">
      <w:pPr>
        <w:pStyle w:val="NormalHanging12a"/>
        <w:rPr>
          <w:szCs w:val="24"/>
        </w:rPr>
      </w:pPr>
      <w:r w:rsidRPr="00D824EC">
        <w:t>F.</w:t>
      </w:r>
      <w:r w:rsidRPr="00D824EC">
        <w:tab/>
        <w:t>întrucât, până la 13 noiembrie 2022, AEPD a delegat directorului și, ulterior, șefului administrației competențele de ordonator de credite în conformitate cu carta sarcinilor și responsabilităților privind bugetul și administrarea Autorității, prevăzută la articolul 72 alineatul (2) din Regulamentul (UE, Euratom) 2018/1046 al Parlamentului European și al Consiliului, în timp ce funcția de contabil al AEPD este îndeplinită de contabilul Comisiei în conformitate cu Decizia Autorității Europene pentru Protecția Datelor din 1 martie 2017,</w:t>
      </w:r>
    </w:p>
    <w:p w:rsidR="00FD1623" w:rsidRPr="00D824EC" w:rsidRDefault="00FD1623" w:rsidP="00FD1623">
      <w:pPr>
        <w:pStyle w:val="NormalHanging12a"/>
        <w:rPr>
          <w:szCs w:val="24"/>
        </w:rPr>
      </w:pPr>
      <w:r w:rsidRPr="00D824EC">
        <w:t>1.</w:t>
      </w:r>
      <w:r w:rsidRPr="00D824EC">
        <w:tab/>
        <w:t xml:space="preserve">constată că bugetul AEPD se încadrează la rubrica 7 din CFM, „Administrația publică europeană”, care a totalizat 11,6 miliarde EUR, și anume 5,9 % din cheltuielile de la </w:t>
      </w:r>
      <w:r w:rsidRPr="00D824EC">
        <w:lastRenderedPageBreak/>
        <w:t>bugetul Uniunii în 2022; constată că bugetul AEPD a reprezentat 0,17 % din creditele de la rubrica 7 din CFM;</w:t>
      </w:r>
    </w:p>
    <w:p w:rsidR="00FD1623" w:rsidRPr="00D824EC" w:rsidRDefault="00FD1623" w:rsidP="00FD1623">
      <w:pPr>
        <w:pStyle w:val="NormalHanging12a"/>
        <w:rPr>
          <w:szCs w:val="24"/>
        </w:rPr>
      </w:pPr>
      <w:r w:rsidRPr="00D824EC">
        <w:t>2.</w:t>
      </w:r>
      <w:r w:rsidRPr="00D824EC">
        <w:tab/>
        <w:t>constată că în raportul său anual pentru exercițiul financiar 2022, Curtea de Conturi („Curtea”) a examinat un eșantion de 60 de operațiuni de la rubrica „Administrație”, același număr ca și în 2021; ia act, de asemenea, de constatarea Curții potrivit căreia cheltuielile administrative cuprind cheltuielile cu resursele umane, inclusiv pensiile, care în 2022 au reprezentat aproximativ 70 % din totalul cheltuielilor administrative, și cheltuielile pentru clădiri, echipamente, energie, comunicații și tehnologia informației, precum și că activitatea desfășurată de-a lungul mai multor ani indică faptul că, în general, aceste cheltuieli prezintă un risc scăzut;</w:t>
      </w:r>
    </w:p>
    <w:p w:rsidR="00FD1623" w:rsidRPr="00D824EC" w:rsidRDefault="00FD1623" w:rsidP="00FD1623">
      <w:pPr>
        <w:pStyle w:val="NormalHanging12a"/>
        <w:rPr>
          <w:szCs w:val="24"/>
        </w:rPr>
      </w:pPr>
      <w:r w:rsidRPr="00D824EC">
        <w:t>3.</w:t>
      </w:r>
      <w:r w:rsidRPr="00D824EC">
        <w:tab/>
        <w:t>constată că Curtea, ca parte a auditului pentru 2022, a examinat sistemele de supraveghere și de control ale AEPD, în special punerea în aplicare a standardelor de control intern, gestionarea riscurilor și funcționarea controalelor-cheie definite în Regulamentul financiar, inclusiv controalele ex ante și ex post cu privire la plăți;</w:t>
      </w:r>
    </w:p>
    <w:p w:rsidR="00FD1623" w:rsidRPr="00D824EC" w:rsidRDefault="00FD1623" w:rsidP="00FD1623">
      <w:pPr>
        <w:pStyle w:val="NormalHanging12a"/>
        <w:rPr>
          <w:szCs w:val="24"/>
        </w:rPr>
      </w:pPr>
      <w:r w:rsidRPr="00D824EC">
        <w:t>4.</w:t>
      </w:r>
      <w:r w:rsidRPr="00D824EC">
        <w:tab/>
        <w:t>constată că 14 (23 %) dintre cele 60 de operațiuni conțineau erori, dar că, pe baza celor cinci erori cuantificate, Curtea estimează că nivelul de eroare se situează sub pragul de semnificație;</w:t>
      </w:r>
    </w:p>
    <w:p w:rsidR="00FD1623" w:rsidRPr="00D824EC" w:rsidRDefault="00FD1623" w:rsidP="00FD1623">
      <w:pPr>
        <w:pStyle w:val="NormalHanging12a"/>
        <w:rPr>
          <w:szCs w:val="24"/>
        </w:rPr>
      </w:pPr>
      <w:r w:rsidRPr="00D824EC">
        <w:t>5.</w:t>
      </w:r>
      <w:r w:rsidRPr="00D824EC">
        <w:tab/>
        <w:t>remarcă cu satisfacție că în raportul său anual pentru exercițiul financiar 2022, Curtea menționează că nu a depistat probleme speciale referitoare la AEPD;</w:t>
      </w:r>
    </w:p>
    <w:p w:rsidR="00FD1623" w:rsidRPr="00D824EC" w:rsidRDefault="00FD1623" w:rsidP="00FD1623">
      <w:pPr>
        <w:pStyle w:val="NormalHanging12a"/>
        <w:rPr>
          <w:b/>
          <w:i/>
          <w:szCs w:val="24"/>
        </w:rPr>
      </w:pPr>
      <w:r w:rsidRPr="00D824EC">
        <w:rPr>
          <w:b/>
          <w:i/>
        </w:rPr>
        <w:t>Gestiunea bugetară și financiară</w:t>
      </w:r>
    </w:p>
    <w:p w:rsidR="00FD1623" w:rsidRPr="00D824EC" w:rsidRDefault="00FD1623" w:rsidP="00FD1623">
      <w:pPr>
        <w:pStyle w:val="NormalHanging12a"/>
        <w:rPr>
          <w:szCs w:val="24"/>
        </w:rPr>
      </w:pPr>
      <w:r w:rsidRPr="00D824EC">
        <w:t>6.</w:t>
      </w:r>
      <w:r w:rsidRPr="00D824EC">
        <w:tab/>
        <w:t>ia act de faptul că bugetul final adoptat al AEPD s-a ridicat la 20 266 000 EUR în 2022, ceea ce a reprezentat o creștere cu 4,12 % față de 2021; ia act de faptul că AEPD a primit venituri alocate în valoare de 50 000 EUR legate de serviciile furnizate Autorității de supraveghere a AELS prin intermediul unui acord privind nivelul serviciilor; constată că bugetul AEPD acoperă, de asemenea, activitatea secretariatului independent al Comitetului european pentru protecția datelor („Comitetul”);</w:t>
      </w:r>
    </w:p>
    <w:p w:rsidR="00FD1623" w:rsidRPr="00D824EC" w:rsidRDefault="00FD1623" w:rsidP="00FD1623">
      <w:pPr>
        <w:pStyle w:val="NormalHanging12a"/>
        <w:rPr>
          <w:szCs w:val="24"/>
        </w:rPr>
      </w:pPr>
      <w:r w:rsidRPr="00D824EC">
        <w:t>7.</w:t>
      </w:r>
      <w:r w:rsidRPr="00D824EC">
        <w:tab/>
        <w:t>constată cu satisfacție că rata de execuție bugetară a fost de 98 % în 2022, fiind mai mare decât în exercițiul precedent, când rata de execuție bugetară a fost de 86 %;</w:t>
      </w:r>
    </w:p>
    <w:p w:rsidR="00FD1623" w:rsidRPr="00D824EC" w:rsidRDefault="00FD1623" w:rsidP="00FD1623">
      <w:pPr>
        <w:pStyle w:val="NormalHanging12a"/>
        <w:rPr>
          <w:szCs w:val="24"/>
        </w:rPr>
      </w:pPr>
      <w:r w:rsidRPr="00D824EC">
        <w:t>8.</w:t>
      </w:r>
      <w:r w:rsidRPr="00D824EC">
        <w:tab/>
        <w:t>ia act de faptul că războiul de agresiune al Rusiei împotriva Ucrainei a creat o presiune bugetară pentru AEPD, inclusiv prin creșterea inflației și a ajustărilor salariale, prin creșterea puternică a costurilor energiei și a costului bunurilor și serviciilor prin achiziții publice și acorduri privind nivelul serviciilor cu alte instituții; salută realocările interne în cadrul capitolelor bugetare efectuate în cursul anului 2022 pentru a optimiza execuția bugetară;</w:t>
      </w:r>
    </w:p>
    <w:p w:rsidR="00FD1623" w:rsidRPr="00D824EC" w:rsidRDefault="00FD1623" w:rsidP="00FD1623">
      <w:pPr>
        <w:pStyle w:val="NormalHanging12a"/>
        <w:rPr>
          <w:szCs w:val="24"/>
        </w:rPr>
      </w:pPr>
      <w:r w:rsidRPr="00D824EC">
        <w:t>9.</w:t>
      </w:r>
      <w:r w:rsidRPr="00D824EC">
        <w:tab/>
        <w:t>constată că termenul mediu de plată a fost de 21,54 zile în 2022, ceea ce a reprezentat o creștere față de 2021, când durata medie a fost de 19,98 zile; salută introducerea unui nou sistem electronic de plată pentru procesarea facturilor legate de costurile de misiune plătite în avans de agenția de voiaj, care se preconizează că va contribui la reducerea timpului necesar pentru efectuarea plăților odată ce va fi pe deplin operațional; invită AEPD să ia în considerare posibilitatea de a extinde acest sistem la alte tipuri de plăți;</w:t>
      </w:r>
    </w:p>
    <w:p w:rsidR="00FD1623" w:rsidRPr="00D824EC" w:rsidRDefault="00FD1623" w:rsidP="00FD1623">
      <w:pPr>
        <w:pStyle w:val="NormalHanging12a"/>
        <w:rPr>
          <w:szCs w:val="24"/>
        </w:rPr>
      </w:pPr>
      <w:r w:rsidRPr="00D824EC">
        <w:t>10.</w:t>
      </w:r>
      <w:r w:rsidRPr="00D824EC">
        <w:tab/>
        <w:t xml:space="preserve">constată că bugetul AEPD pentru misiunile personalului a crescut de la 41 000 EUR la 251 000 EUR, ceea ce reprezintă o creștere de 512 % între 2021 și 2022, în urma reluării călătoriilor după pandemia de COVID-19; constată, de asemenea, că, în cadrul </w:t>
      </w:r>
      <w:r w:rsidRPr="00D824EC">
        <w:lastRenderedPageBreak/>
        <w:t>acestui buget global, AEPD a avut un buget dedicat misiunilor pentru Autoritate de 33 000 EUR în 2022, comparativ cu 5 000 EUR în 2021, ceea ce reprezintă o creștere de 560 %; observă că creșterea inflației și creșterea substanțială a prețurilor la energie în 2022 legate de războiul de agresiune al Rusiei împotriva Ucrainei au avut un efect negativ asupra biletelor de avion și a costurilor de hotel, conducând astfel la o creștere a costurilor de misiune;</w:t>
      </w:r>
    </w:p>
    <w:p w:rsidR="00FD1623" w:rsidRPr="00D824EC" w:rsidRDefault="00FD1623" w:rsidP="00FD1623">
      <w:pPr>
        <w:pStyle w:val="NormalHanging12a"/>
        <w:rPr>
          <w:b/>
          <w:i/>
          <w:szCs w:val="24"/>
        </w:rPr>
      </w:pPr>
      <w:r w:rsidRPr="00D824EC">
        <w:rPr>
          <w:b/>
          <w:i/>
        </w:rPr>
        <w:t>Gestiunea internă, performanța și controlul intern</w:t>
      </w:r>
    </w:p>
    <w:p w:rsidR="00FD1623" w:rsidRPr="00D824EC" w:rsidRDefault="00FD1623" w:rsidP="00FD1623">
      <w:pPr>
        <w:pStyle w:val="NormalHanging12a"/>
        <w:rPr>
          <w:szCs w:val="24"/>
        </w:rPr>
      </w:pPr>
      <w:r w:rsidRPr="00D824EC">
        <w:t>11.</w:t>
      </w:r>
      <w:r w:rsidRPr="00D824EC">
        <w:tab/>
        <w:t>ia act de faptul că, în 2022, AEPD a efectuat o evaluare la jumătatea perioadei a strategiei sale pentru perioada 2020-2024, axată pe trei piloni, „Analiză prospectivă, acțiune și solidaritate”, stabilind viziunea și prioritățile reorientate ale AEPD pentru perioada 2022-2024 în vederea „conturării unui viitor digital mai sigur”;</w:t>
      </w:r>
    </w:p>
    <w:p w:rsidR="00FD1623" w:rsidRPr="00D824EC" w:rsidRDefault="00FD1623" w:rsidP="00FD1623">
      <w:pPr>
        <w:pStyle w:val="NormalHanging12a"/>
        <w:rPr>
          <w:szCs w:val="24"/>
        </w:rPr>
      </w:pPr>
      <w:r w:rsidRPr="00D824EC">
        <w:t>12.</w:t>
      </w:r>
      <w:r w:rsidRPr="00D824EC">
        <w:tab/>
        <w:t>ia act de schimbările organizaționale majore și revizuirea corespunzătoare a regulamentului său de procedură, întreprinse de AEPD în 2022 pentru a sprijini evoluția sarcinilor sale și pentru a îmbunătăți eficiența proceselor sale, având în vedere evoluția rapidă a mediului internațional; remarcă mai ales că, ca urmare a acestor schimbări, AEPD a creat o nouă funcție de șef al Secretariatului AEPD la nivelul unui secretar general, o funcție de serviciu juridic special, un sector care se ocupă de guvernanță și conformitatea internă, două noi departamente operaționale în unitatea de supraveghere și sancțiuni, un nou departament financiar în Unitatea pentru resurse umane, buget și administrație și o antenă la Strasbourg;</w:t>
      </w:r>
    </w:p>
    <w:p w:rsidR="00FD1623" w:rsidRPr="00D824EC" w:rsidRDefault="00FD1623" w:rsidP="00FD1623">
      <w:pPr>
        <w:pStyle w:val="NormalHanging12a"/>
        <w:rPr>
          <w:szCs w:val="24"/>
        </w:rPr>
      </w:pPr>
      <w:r w:rsidRPr="00D824EC">
        <w:t>13.</w:t>
      </w:r>
      <w:r w:rsidRPr="00D824EC">
        <w:tab/>
        <w:t>constată că, odată cu intrarea în vigoare, la 28 iunie 2022, a Regulamentului (UE) 2022/991 al Parlamentului European și al Consiliului</w:t>
      </w:r>
      <w:r w:rsidRPr="00D824EC">
        <w:rPr>
          <w:szCs w:val="24"/>
          <w:vertAlign w:val="superscript"/>
        </w:rPr>
        <w:footnoteReference w:id="6"/>
      </w:r>
      <w:r w:rsidRPr="00D824EC">
        <w:t xml:space="preserve"> de modificare a Regulamentului (UE) 2016/794 al Parlamentului European și al Consiliului</w:t>
      </w:r>
      <w:r w:rsidRPr="00D824EC">
        <w:rPr>
          <w:szCs w:val="24"/>
          <w:vertAlign w:val="superscript"/>
        </w:rPr>
        <w:footnoteReference w:id="7"/>
      </w:r>
      <w:r w:rsidRPr="00D824EC">
        <w:t xml:space="preserve"> de instituire a Europol, s-a conferit într-adevăr mai multă putere funcțiilor de supraveghere ale AEPD în raport cu datele operaționale cu caracter personal prelucrate de Europol în cadrul mandatului său; ia act de faptul că modificările organizaționale introduse în 2022, în special crearea unui nou </w:t>
      </w:r>
      <w:proofErr w:type="spellStart"/>
      <w:r w:rsidRPr="00D824EC">
        <w:t>subsector</w:t>
      </w:r>
      <w:proofErr w:type="spellEnd"/>
      <w:r w:rsidRPr="00D824EC">
        <w:t xml:space="preserve"> în unitatea de supraveghere și punere în aplicare cu personal specializat, au urmărit în special să reflecteze asupra competențelor specifice ale AEPD în ceea ce privește supravegherea agențiilor din spațiul de libertate, securitate și justiție (SLSJ), ținând seama, de asemenea, de noile competențe de supraveghere ale AEPD în ceea ce privește Europol; invită AEPD să informeze autoritatea care acordă descărcarea de gestiune cu privire la orice nouă prelungire a mandatului său și la impactul asupra resurselor;</w:t>
      </w:r>
    </w:p>
    <w:p w:rsidR="00FD1623" w:rsidRPr="00D824EC" w:rsidRDefault="00FD1623" w:rsidP="00FD1623">
      <w:pPr>
        <w:pStyle w:val="NormalHanging12a"/>
        <w:rPr>
          <w:szCs w:val="24"/>
        </w:rPr>
      </w:pPr>
      <w:r w:rsidRPr="00D824EC">
        <w:t>14.</w:t>
      </w:r>
      <w:r w:rsidRPr="00D824EC">
        <w:tab/>
        <w:t xml:space="preserve">ia act de faptul că, în cadrul modificărilor puse în aplicare în 2022, AEPD s-a străduit să își raționalizeze procedurile interne pentru a trata mai riguros anchetele și pentru a redistribui personalul specializat; constată că investigarea plângerilor în contextul </w:t>
      </w:r>
      <w:r w:rsidRPr="00D824EC">
        <w:lastRenderedPageBreak/>
        <w:t>aplicării legii, de exemplu a plângerilor împotriva răspunsurilor de la Europol, la cererile cetățenilor de acces în calitate de persoane vizate, implică adesea un grad ridicat de complexitate și necesită, în medie, mai mult timp decât alte plângeri, dată fiind implicarea mai multor părți interesate în proces;</w:t>
      </w:r>
    </w:p>
    <w:p w:rsidR="00FD1623" w:rsidRPr="00D824EC" w:rsidRDefault="00FD1623" w:rsidP="00FD1623">
      <w:pPr>
        <w:pStyle w:val="NormalHanging12a"/>
      </w:pPr>
      <w:r w:rsidRPr="00D824EC">
        <w:t>15.</w:t>
      </w:r>
      <w:r w:rsidRPr="00D824EC">
        <w:tab/>
        <w:t>reține că AEPD a primit 367 de plângeri în 2022, adică cu 47 mai multe decât în 2021, dintre care 65 au fost admisibile, iar 302 au fost inadmisibile, pe lângă cele 129 de plângeri admisibile aflate în curs în 2022; apreciază eforturile depuse de AEPD pentru a reduce numărul mare de plângeri inadmisibile, care s-au dublat din 2019, și a reduce implicit resursele necesare pentru tratarea acestora; reține că AEPD a emis o decizie/un aviz/răspuns final în 23 din cele 65 de plângeri primite în 2022, în medie în termen de 42 de zile; constată, de asemenea, că plângerile referitoare la răspunsurile de la Europol la cererile cetățenilor de acces în calitate de persoane vizate au fost tratate, în medie, în 5-12 luni; constată că AEPD își reevaluează în permanență procedurile și introduce îmbunătățiri, unde este necesar, pe baza lecțiilor învățate din trecut, pentru a-și fluidiza și mai mult procesul de tratare a plângerilor, astfel încât să rezolve mai repede plângerile, în pofida constrângerilor impuse de resurse;</w:t>
      </w:r>
    </w:p>
    <w:p w:rsidR="00FD1623" w:rsidRPr="00D824EC" w:rsidRDefault="00FD1623" w:rsidP="00FD1623">
      <w:pPr>
        <w:pStyle w:val="NormalHanging12a"/>
        <w:rPr>
          <w:szCs w:val="24"/>
        </w:rPr>
      </w:pPr>
      <w:r w:rsidRPr="00D824EC">
        <w:t>16.</w:t>
      </w:r>
      <w:r w:rsidRPr="00D824EC">
        <w:tab/>
        <w:t>ia act de faptul că, în 2022, AEPD a efectuat două anchete preliminare în care au existat preocupări cu privire la posibile încălcări ale normelor de protecție a datelor de către o instituție a Uniunii și a continuat trei anchete oficiale în curs sub forma unor audituri privind protecția datelor, dintre care una a fost încheiată în aprilie 2022; constată, de asemenea, că AEPD a lansat, de asemenea, patru anchete sub forma unor audituri privind protecția datelor bazate pe plângeri referitoare la site-urile anumitor instituții, organe, oficii și agenții ale Uniunii (IUE) și o anchetă în sectorul SLSJ și a continuat anchetele în curs lansate în anii precedenți; află că auditul efectuat de AEPD referitor la modul în care a prelucrat Europol datele personale ale minorilor mai mici de 15 ani marcați ca suspecți, furnizate Agenției de țări terțe și organizații internaționale, s-a încheiat în septembrie 2023, după o anchetă de aproape 10 luni și după ce subiectul fusese deja tratat inițial de AEPD, care în decembrie 2018 a adresat recomandări Europol cu privire la prelucrarea datelor sensibile;</w:t>
      </w:r>
    </w:p>
    <w:p w:rsidR="00FD1623" w:rsidRPr="00D824EC" w:rsidRDefault="00FD1623" w:rsidP="00FD1623">
      <w:pPr>
        <w:pStyle w:val="NormalHanging12a"/>
        <w:rPr>
          <w:szCs w:val="24"/>
        </w:rPr>
      </w:pPr>
      <w:r w:rsidRPr="00D824EC">
        <w:t>17.</w:t>
      </w:r>
      <w:r w:rsidRPr="00D824EC">
        <w:tab/>
        <w:t>invită AEPD să optimizeze procedura și să acorde prioritate prelucrării datelor cu caracter personal ale minorilor sub 15 ani, pentru că acesta este un grup vulnerabil care are nevoie de o protecție sporită, și așadar merită să i se acorde un statut prioritar;</w:t>
      </w:r>
    </w:p>
    <w:p w:rsidR="00FD1623" w:rsidRPr="00D824EC" w:rsidRDefault="00FD1623" w:rsidP="00FD1623">
      <w:pPr>
        <w:pStyle w:val="NormalHanging12a"/>
        <w:rPr>
          <w:szCs w:val="24"/>
        </w:rPr>
      </w:pPr>
      <w:r w:rsidRPr="00D824EC">
        <w:t>18.</w:t>
      </w:r>
      <w:r w:rsidRPr="00D824EC">
        <w:tab/>
        <w:t>ia act de faptul că, la 16 septembrie 2022, AEPD a introdus o acțiune în anularea a două dispoziții din Regulamentul modificat privind Europol în fața Curții de Justiție a Uniunii Europene (CJUE), care a fost ulterior respinsă de CJUE; subliniază că faptul că AEPD aduce în fața CJUE chestiuni juridice importante în rolul său de supraveghere nu ar trebui considerat ca afectând cooperarea loială și bunele relații dintre AEPD și entitățile pe care le supraveghează;</w:t>
      </w:r>
    </w:p>
    <w:p w:rsidR="00FD1623" w:rsidRPr="00D824EC" w:rsidRDefault="00FD1623" w:rsidP="00FD1623">
      <w:pPr>
        <w:pStyle w:val="NormalHanging12a"/>
        <w:rPr>
          <w:szCs w:val="24"/>
        </w:rPr>
      </w:pPr>
      <w:r w:rsidRPr="00D824EC">
        <w:t>19.</w:t>
      </w:r>
      <w:r w:rsidRPr="00D824EC">
        <w:tab/>
        <w:t>constată cu satisfacție că AEPD a elaborat un nou cadru de gestionare a riscurilor la sfârșitul anului 2022, înăsprindu-și astfel cadrul de control intern și integrând analiza riscurilor în planificarea sa anuală, care ar trebui să determine contribuția la prioritățile AEPD an de an;</w:t>
      </w:r>
    </w:p>
    <w:p w:rsidR="00FD1623" w:rsidRPr="00D824EC" w:rsidRDefault="00FD1623" w:rsidP="00FD1623">
      <w:pPr>
        <w:pStyle w:val="NormalHanging12a"/>
        <w:rPr>
          <w:szCs w:val="24"/>
        </w:rPr>
      </w:pPr>
      <w:r w:rsidRPr="00D824EC">
        <w:t>20.</w:t>
      </w:r>
      <w:r w:rsidRPr="00D824EC">
        <w:tab/>
        <w:t xml:space="preserve">apreciază rolul important al consultării și consilierii AEPD în procesul legislativ; ia act de faptul că avizul AEPD a luat forma a 27 de avize (12 în 2021), a 49 de observații oficiale (76 în 2021) și a 30 de observații informale (29 în 2021) adresate Comisiei și </w:t>
      </w:r>
      <w:proofErr w:type="spellStart"/>
      <w:r w:rsidRPr="00D824EC">
        <w:t>colegiuitorilor</w:t>
      </w:r>
      <w:proofErr w:type="spellEnd"/>
      <w:r w:rsidRPr="00D824EC">
        <w:t xml:space="preserve"> ca răspuns la solicitările de consultare legislativă din 2022;</w:t>
      </w:r>
    </w:p>
    <w:p w:rsidR="00FD1623" w:rsidRPr="00D824EC" w:rsidRDefault="00FD1623" w:rsidP="00FD1623">
      <w:pPr>
        <w:pStyle w:val="NormalHanging12a"/>
        <w:rPr>
          <w:szCs w:val="24"/>
        </w:rPr>
      </w:pPr>
      <w:r w:rsidRPr="00D824EC">
        <w:lastRenderedPageBreak/>
        <w:t>21.</w:t>
      </w:r>
      <w:r w:rsidRPr="00D824EC">
        <w:tab/>
        <w:t>invită AEPD să își revizuiască regulamentul de procedură pentru a se asigura că plângerile cetățenilor sunt examinate în timp util, ținând seama de toate informațiile relevante, și să informeze autoritatea care acordă descărcarea de gestiune cu privire la progresele înregistrate în acest domeniu;</w:t>
      </w:r>
    </w:p>
    <w:p w:rsidR="00FD1623" w:rsidRPr="00D824EC" w:rsidRDefault="00FD1623" w:rsidP="00FD1623">
      <w:pPr>
        <w:pStyle w:val="NormalHanging12a"/>
        <w:rPr>
          <w:b/>
          <w:i/>
          <w:szCs w:val="24"/>
        </w:rPr>
      </w:pPr>
      <w:r w:rsidRPr="00D824EC">
        <w:rPr>
          <w:b/>
          <w:i/>
        </w:rPr>
        <w:t>Resursele umane, egalitatea și starea de bine a personalului</w:t>
      </w:r>
    </w:p>
    <w:p w:rsidR="00FD1623" w:rsidRPr="00D824EC" w:rsidRDefault="00FD1623" w:rsidP="00FD1623">
      <w:pPr>
        <w:pStyle w:val="NormalHanging12a"/>
        <w:rPr>
          <w:szCs w:val="24"/>
        </w:rPr>
      </w:pPr>
      <w:r w:rsidRPr="00D824EC">
        <w:t>22.</w:t>
      </w:r>
      <w:r w:rsidRPr="00D824EC">
        <w:tab/>
        <w:t>ia act de faptul că, la sfârșitul anului 2022, AEPD avea 127 de membri ai personalului, față de 124 la sfârșitul anului 2021 și 114 la sfârșitul anului 2020; ia act de faptul că AEPD a angajat 52 de agenți contractuali în temeiul articolului 3 litera (b) din Statutul funcționarilor și Regimul aplicabil celorlalți agenți și 6 agenți temporari în temeiul articolului 2 litera (b) și al articolului 2 litera (c); constată, de asemenea, că AEPD a angajat 8 prestatori externi de servicii care lucrau la fața locului în 2022; invită AEPD să informeze autoritatea care acordă descărcarea de gestiune cu privire la măsurile instituite pentru a se asigura că accesul la informații al prestatorilor externi de servicii este gestionat în conformitate cu nivelul de confidențialitate impus de chestiunile în cauză;</w:t>
      </w:r>
    </w:p>
    <w:p w:rsidR="00FD1623" w:rsidRPr="00D824EC" w:rsidRDefault="00FD1623" w:rsidP="00FD1623">
      <w:pPr>
        <w:pStyle w:val="NormalHanging12a"/>
        <w:rPr>
          <w:szCs w:val="24"/>
        </w:rPr>
      </w:pPr>
      <w:r w:rsidRPr="00D824EC">
        <w:t>23.</w:t>
      </w:r>
      <w:r w:rsidRPr="00D824EC">
        <w:tab/>
        <w:t>crede că, cum i-a crescut volumul de muncă odată cu noile sarcini și responsabilități atribuite, AEPD, care mai trebuie să monitorizeze și multe alte consultări legislative și seturi de date, ar avea nevoie de o suplimentare proporțională a personalului pentru a menține fluxuri de lucru eficiente și timpi de răspuns rezonabili; încurajează AEPD să le ofere contracte permanente angajaților săi, pentru a garanta continuitatea activității și securitatea muncii;</w:t>
      </w:r>
    </w:p>
    <w:p w:rsidR="00FD1623" w:rsidRPr="00D824EC" w:rsidRDefault="00FD1623" w:rsidP="00FD1623">
      <w:pPr>
        <w:pStyle w:val="NormalHanging12a"/>
        <w:rPr>
          <w:szCs w:val="24"/>
        </w:rPr>
      </w:pPr>
      <w:r w:rsidRPr="00D824EC">
        <w:t>24.</w:t>
      </w:r>
      <w:r w:rsidRPr="00D824EC">
        <w:tab/>
        <w:t>constată că la sfârșitul anului 2022 rata de ocupare a schemei de personal era de 86,9 %; regretă că rata de ocupare a schemei de personal este mai mică decât obiectivul pe 2022; recunoaște deficitul de profesioniști calificați; încurajează Autoritatea să vadă ce strategii ar putea aplica pentru a-și face mai bine cunoscute posturile vacante; ia act de faptul că, în 2022, AEPD a organizat o procedură de selecție externă pentru a crea o listă de rezervă de candidați specializați, având în vedere nevoile de recrutare începând din 2022;</w:t>
      </w:r>
    </w:p>
    <w:p w:rsidR="00FD1623" w:rsidRPr="00D824EC" w:rsidRDefault="00FD1623" w:rsidP="00FD1623">
      <w:pPr>
        <w:pStyle w:val="NormalHanging12a"/>
        <w:rPr>
          <w:szCs w:val="24"/>
        </w:rPr>
      </w:pPr>
      <w:r w:rsidRPr="00D824EC">
        <w:t>25.</w:t>
      </w:r>
      <w:r w:rsidRPr="00D824EC">
        <w:tab/>
        <w:t>constată că, ținând seama de lecțiile învățate în urma pandemiei de COVID-19, AEPD a adoptat o nouă decizie privind timpul de lucru și munca hibridă în mai 2022, în temeiul căreia merită remarcat îndeosebi că personalul își poate modifica timpul de lucru după un program de lucru flexibil și poate lucra de acasă până la trei zile pe săptămână; se bucură să afle rezultatele sondajului în rândul personalului efectuat după adoptarea deciziei respective, care a indicat că majoritatea membrilor personalului sunt mulțumiți de noul regim de lucru;</w:t>
      </w:r>
    </w:p>
    <w:p w:rsidR="00FD1623" w:rsidRPr="00D824EC" w:rsidRDefault="00FD1623" w:rsidP="00FD1623">
      <w:pPr>
        <w:pStyle w:val="NormalHanging12a"/>
        <w:rPr>
          <w:b/>
          <w:i/>
          <w:szCs w:val="24"/>
        </w:rPr>
      </w:pPr>
      <w:r w:rsidRPr="00D824EC">
        <w:t>26.</w:t>
      </w:r>
      <w:r w:rsidRPr="00D824EC">
        <w:tab/>
        <w:t>felicită AEPD pentru că în 2022 în rândul personalului său erau reprezentate 22 de naționalități, ceea ce reprezintă o îmbunătățire față de 21 în 2021 și este, cu toate că 5 naționalități sunt supra-reprezentate, un punctaj excelent pentru o instituție atât de mică; invită AEPD să se străduiască să ajungă la o reprezentare geografică mai echitabilă a tuturor statelor membre, ocupându-se cu predilecție de faptul că unele țări sunt subreprezentate;</w:t>
      </w:r>
    </w:p>
    <w:p w:rsidR="00FD1623" w:rsidRPr="00D824EC" w:rsidRDefault="00FD1623" w:rsidP="00FD1623">
      <w:pPr>
        <w:pStyle w:val="NormalHanging12a"/>
        <w:rPr>
          <w:szCs w:val="24"/>
        </w:rPr>
      </w:pPr>
      <w:r w:rsidRPr="00D824EC">
        <w:t>27.</w:t>
      </w:r>
      <w:r w:rsidRPr="00D824EC">
        <w:tab/>
        <w:t xml:space="preserve">constată că, în 2022, AEPD a angajat în total 64 % femei și 36 % bărbați, urmând aceeași tendință ca în anii precedenți, când distribuția între femei și bărbați a fost de 63 % și, respectiv, 37 %; regretă că în 2022 nu au existat femei în posturi de conducere de nivel superior, în timp ce proporția de gen a patru cadre de conducere de nivel mediu </w:t>
      </w:r>
      <w:r w:rsidRPr="00D824EC">
        <w:lastRenderedPageBreak/>
        <w:t>a atins un echilibru în cursul anului; invită AEPD să își continue eforturile de realizare a unei reprezentări echilibrate din punctul de vedere al genului a personalului;</w:t>
      </w:r>
    </w:p>
    <w:p w:rsidR="00FD1623" w:rsidRPr="00D824EC" w:rsidRDefault="00FD1623" w:rsidP="00FD1623">
      <w:pPr>
        <w:pStyle w:val="NormalHanging12a"/>
        <w:rPr>
          <w:szCs w:val="24"/>
        </w:rPr>
      </w:pPr>
      <w:r w:rsidRPr="00D824EC">
        <w:t>28.</w:t>
      </w:r>
      <w:r w:rsidRPr="00D824EC">
        <w:tab/>
        <w:t xml:space="preserve">constată cu satisfacție că, în 2022, nu a fost raportat niciun caz de </w:t>
      </w:r>
      <w:proofErr w:type="spellStart"/>
      <w:r w:rsidRPr="00D824EC">
        <w:t>burnout</w:t>
      </w:r>
      <w:proofErr w:type="spellEnd"/>
      <w:r w:rsidRPr="00D824EC">
        <w:t xml:space="preserve"> sau hărțuire în rândul personalului AEPD; salută faptul că AEPD a înființat un grup de lucru pentru a discuta aspecte legate de distribuirea și alocarea activităților în urma rezultatelor sondajului bienal privind satisfacția personalului, realizat în iunie 2022, conform căruia unii membri ai personalului AEPD au considerat că volumul de muncă nu a fost împărțit în mod egal sau bine distribuit între echipe și colegi; solicită AEPD să informeze autoritatea care acordă descărcarea de gestiune cu privire la rezultatul discuțiilor din cadrul grupului de lucru și la detaliile planului de acțiune în curs de elaborare;</w:t>
      </w:r>
    </w:p>
    <w:p w:rsidR="00FD1623" w:rsidRPr="00D824EC" w:rsidRDefault="00FD1623" w:rsidP="00FD1623">
      <w:pPr>
        <w:pStyle w:val="NormalHanging12a"/>
        <w:rPr>
          <w:szCs w:val="24"/>
        </w:rPr>
      </w:pPr>
      <w:r w:rsidRPr="00D824EC">
        <w:t>29.</w:t>
      </w:r>
      <w:r w:rsidRPr="00D824EC">
        <w:tab/>
        <w:t>salută eforturile susținute depuse de AEPD pentru a îmbunătăți activ starea de bine fizică și mentală a personalului său;</w:t>
      </w:r>
    </w:p>
    <w:p w:rsidR="00FD1623" w:rsidRPr="00D824EC" w:rsidRDefault="00FD1623" w:rsidP="00FD1623">
      <w:pPr>
        <w:pStyle w:val="NormalHanging12a"/>
        <w:rPr>
          <w:szCs w:val="24"/>
        </w:rPr>
      </w:pPr>
      <w:r w:rsidRPr="00D824EC">
        <w:t>30.</w:t>
      </w:r>
      <w:r w:rsidRPr="00D824EC">
        <w:tab/>
        <w:t>constată cu satisfacție că AEPD a recrutat 18 stagiari în 2022, care au fost remunerați și au beneficiat de aceleași formule de lucru ca și restul personalului;</w:t>
      </w:r>
    </w:p>
    <w:p w:rsidR="00FD1623" w:rsidRPr="00D824EC" w:rsidRDefault="00FD1623" w:rsidP="00FD1623">
      <w:pPr>
        <w:pStyle w:val="NormalHanging12a"/>
        <w:rPr>
          <w:b/>
          <w:i/>
          <w:szCs w:val="24"/>
        </w:rPr>
      </w:pPr>
      <w:r w:rsidRPr="00D824EC">
        <w:rPr>
          <w:b/>
          <w:i/>
        </w:rPr>
        <w:t>Cadrul de etică și transparența</w:t>
      </w:r>
    </w:p>
    <w:p w:rsidR="00FD1623" w:rsidRPr="00D824EC" w:rsidRDefault="00FD1623" w:rsidP="00FD1623">
      <w:pPr>
        <w:pStyle w:val="NormalHanging12a"/>
        <w:rPr>
          <w:szCs w:val="24"/>
        </w:rPr>
      </w:pPr>
      <w:r w:rsidRPr="00D824EC">
        <w:t>31.</w:t>
      </w:r>
      <w:r w:rsidRPr="00D824EC">
        <w:tab/>
        <w:t>ia act de faptul că, în 2022, AEPD și-a concentrat eforturile pe creșterea gradului de sensibilizare a personalului cu privire la cadrul etic al AEPD/CEPD prin organizarea de sesiuni de formare specifice obligatorii pentru toți membrii personalului și de formare introductivă pentru nou-veniții AEPD/CEPD; încurajează AEPD să continue sensibilizarea și organizarea de sondaje pentru a evalua nivelul de sensibilizare a personalului cu privire la cadrul etic al AEPD/CEPD;</w:t>
      </w:r>
    </w:p>
    <w:p w:rsidR="00FD1623" w:rsidRPr="00D824EC" w:rsidRDefault="00FD1623" w:rsidP="00FD1623">
      <w:pPr>
        <w:pStyle w:val="NormalHanging12a"/>
        <w:rPr>
          <w:szCs w:val="24"/>
        </w:rPr>
      </w:pPr>
      <w:r w:rsidRPr="00D824EC">
        <w:t>32.</w:t>
      </w:r>
      <w:r w:rsidRPr="00D824EC">
        <w:tab/>
        <w:t>salută nivelul general ridicat de transparență atins de AEPD în ceea ce privește activitățile sale, în special în ceea ce privește publicarea ordinii de zi și a declarației de interese a Autorității și a șefului administrației AEPD, în conformitate cu Codul de conduită al Autorității din 2019; regretă că AEPD a decis să aplice Codul de conduită al Autorității în cazul șefului administrației AEPD în loc să adopte un cod de conduită special pentru posturile de conducere de nivel superior;</w:t>
      </w:r>
    </w:p>
    <w:p w:rsidR="00FD1623" w:rsidRPr="00D824EC" w:rsidRDefault="00FD1623" w:rsidP="00FD1623">
      <w:pPr>
        <w:pStyle w:val="NormalHanging12a"/>
        <w:rPr>
          <w:szCs w:val="24"/>
        </w:rPr>
      </w:pPr>
      <w:r w:rsidRPr="00D824EC">
        <w:t>33.</w:t>
      </w:r>
      <w:r w:rsidRPr="00D824EC">
        <w:tab/>
        <w:t>constată cu satisfacție că AEPD nu a fost implicată niciodată în vreo investigație a Oficiului European de Luptă Antifraudă (OLAF) de la înființarea sa;</w:t>
      </w:r>
    </w:p>
    <w:p w:rsidR="00FD1623" w:rsidRPr="00D824EC" w:rsidRDefault="00FD1623" w:rsidP="00FD1623">
      <w:pPr>
        <w:pStyle w:val="NormalHanging12a"/>
        <w:rPr>
          <w:szCs w:val="24"/>
        </w:rPr>
      </w:pPr>
      <w:r w:rsidRPr="00D824EC">
        <w:t>34.</w:t>
      </w:r>
      <w:r w:rsidRPr="00D824EC">
        <w:tab/>
        <w:t>constată cu satisfacție că două anchete deschise de Ombudsman în 2022 cu privire la AEPD au fost închise fără constatări de administrare defectuoasă;</w:t>
      </w:r>
    </w:p>
    <w:p w:rsidR="00FD1623" w:rsidRPr="00D824EC" w:rsidRDefault="00FD1623" w:rsidP="00FD1623">
      <w:pPr>
        <w:pStyle w:val="NormalHanging12a"/>
        <w:rPr>
          <w:b/>
          <w:i/>
          <w:szCs w:val="24"/>
        </w:rPr>
      </w:pPr>
      <w:r w:rsidRPr="00D824EC">
        <w:t>35.</w:t>
      </w:r>
      <w:r w:rsidRPr="00D824EC">
        <w:tab/>
        <w:t>regretă că AEPD nu a aderat încă în mod oficial la registrul de transparență; salută, cu toate acestea, alinierea normelor de transparență ale AEPD la principiile registrului de transparență în ceea ce privește verificările prealabile obligatorii din registrul de transparență pentru reuniunile părților terțe cu Autoritatea și cu șeful administrației AEPD; subliniază că transparența ar putea fi mai bine servită printr-o înscriere activă în registrul de transparență; reiterează apelul adresat AEPD de a adera la Registrul de transparență al UE;</w:t>
      </w:r>
    </w:p>
    <w:p w:rsidR="00FD1623" w:rsidRPr="00D824EC" w:rsidRDefault="00FD1623" w:rsidP="00FD1623">
      <w:pPr>
        <w:pStyle w:val="NormalHanging12a"/>
        <w:rPr>
          <w:szCs w:val="24"/>
        </w:rPr>
      </w:pPr>
      <w:r w:rsidRPr="00D824EC">
        <w:t>36.</w:t>
      </w:r>
      <w:r w:rsidRPr="00D824EC">
        <w:tab/>
        <w:t>ia act de faptul că AEPD a instituit un cadru pentru prevenirea conflictelor de interese la nivelul conducerii superioare și al personalului prin coduri de conduită, sensibilizare și declarații; constată cu satisfacție că, în 2022, nu a fost detectat niciun conflict de interese;</w:t>
      </w:r>
    </w:p>
    <w:p w:rsidR="00FD1623" w:rsidRPr="00D824EC" w:rsidRDefault="00FD1623" w:rsidP="00FD1623">
      <w:pPr>
        <w:pStyle w:val="NormalHanging12a"/>
        <w:rPr>
          <w:szCs w:val="24"/>
        </w:rPr>
      </w:pPr>
      <w:r w:rsidRPr="00D824EC">
        <w:lastRenderedPageBreak/>
        <w:t>37.</w:t>
      </w:r>
      <w:r w:rsidRPr="00D824EC">
        <w:tab/>
        <w:t>ia act de faptul că AEPD dispune de norme interne privind denunțarea neregulilor, care definesc căi și canale sigure prin care personalul își poate exprima preocupări cu privire la fraudă, corupție sau orice alte nereguli grave, fără a aduce atingere confidențialității identității avertizorului și a informațiilor raportate; constată că, în 2022, nu au fost raportate cazuri de avertizare de integritate;</w:t>
      </w:r>
    </w:p>
    <w:p w:rsidR="00FD1623" w:rsidRPr="00D824EC" w:rsidRDefault="00FD1623" w:rsidP="00FD1623">
      <w:pPr>
        <w:pStyle w:val="NormalHanging12a"/>
        <w:rPr>
          <w:b/>
          <w:i/>
          <w:szCs w:val="24"/>
        </w:rPr>
      </w:pPr>
      <w:r w:rsidRPr="00D824EC">
        <w:rPr>
          <w:b/>
          <w:i/>
        </w:rPr>
        <w:t>Digitalizarea, securitatea cibernetică și protecția datelor</w:t>
      </w:r>
    </w:p>
    <w:p w:rsidR="00FD1623" w:rsidRPr="00D824EC" w:rsidRDefault="00FD1623" w:rsidP="00FD1623">
      <w:pPr>
        <w:pStyle w:val="NormalHanging12a"/>
        <w:rPr>
          <w:szCs w:val="24"/>
        </w:rPr>
      </w:pPr>
      <w:r w:rsidRPr="00D824EC">
        <w:t>38.</w:t>
      </w:r>
      <w:r w:rsidRPr="00D824EC">
        <w:tab/>
        <w:t>constată că bugetul pe 2022 pentru echipamente și proiecte informatice a fost cu 21 % mai mare decât în 2021; ia act de faptul că aceste informații trebuie evaluate în contextul în care bugetul pe 2021 pentru IT a fost cu 20 % mai mare decât bugetul pe 2020;</w:t>
      </w:r>
    </w:p>
    <w:p w:rsidR="00FD1623" w:rsidRPr="00D824EC" w:rsidRDefault="00FD1623" w:rsidP="00FD1623">
      <w:pPr>
        <w:pStyle w:val="NormalHanging12a"/>
        <w:rPr>
          <w:szCs w:val="24"/>
        </w:rPr>
      </w:pPr>
      <w:r w:rsidRPr="00D824EC">
        <w:t>39.</w:t>
      </w:r>
      <w:r w:rsidRPr="00D824EC">
        <w:tab/>
        <w:t>constată că, în 2022, AEPD a analizat strategiile informatice ale mai multor instituții ale UE în cadrul unui amplu studiu de fezabilitate IT, care a servit drept bază pentru definirea strategiei informatice a AEPD pentru anii următori; invită AEPD să informeze autoritatea care acordă descărcarea de gestiune cu privire la rezultatul acestei analize și la impactul său asupra resurselor;</w:t>
      </w:r>
    </w:p>
    <w:p w:rsidR="00FD1623" w:rsidRPr="00D824EC" w:rsidRDefault="00FD1623" w:rsidP="00FD1623">
      <w:pPr>
        <w:pStyle w:val="NormalHanging12a"/>
        <w:rPr>
          <w:szCs w:val="24"/>
        </w:rPr>
      </w:pPr>
      <w:r w:rsidRPr="00D824EC">
        <w:t>40.</w:t>
      </w:r>
      <w:r w:rsidRPr="00D824EC">
        <w:tab/>
        <w:t>ia act de faptul că Parlamentul furnizează echipamente și servicii informatice AEPD, în calitate de furnizor de servicii corporative; salută eforturile AEPD de a-și îmbunătăți în permanență spațiul de lucru digital în ceea ce privește eficacitatea și securitatea dincolo de ceea ce este furnizat de Parlament; ia act de faptul că acest lucru a implicat îmbunătățirea calității și performanței calculatoarelor puse la dispoziția personalului AEPD, în colaborare cu Parlamentul, în vederea generalizării muncii hibride;</w:t>
      </w:r>
    </w:p>
    <w:p w:rsidR="00FD1623" w:rsidRPr="00D824EC" w:rsidRDefault="00FD1623" w:rsidP="00FD1623">
      <w:pPr>
        <w:pStyle w:val="NormalHanging12a"/>
        <w:rPr>
          <w:szCs w:val="24"/>
        </w:rPr>
      </w:pPr>
      <w:r w:rsidRPr="00D824EC">
        <w:t>41.</w:t>
      </w:r>
      <w:r w:rsidRPr="00D824EC">
        <w:tab/>
        <w:t>recunoaște rolul de lider al AEPD în îmbunătățirea gradului de pregătire a IUE în materie de securitate cibernetică; ia act de faptul că, în 2022, AEPD a continuat să își îmbunătățească disponibilitatea de a proteja datele cu caracter personal și informațiile sensibile împotriva atacurilor cibernetice, având în vedere evoluția rapidă a peisajului amenințărilor la adresa securității cibernetice; felicită AEPD pentru revizuirea politicilor și a metodologiilor sale în materie de securitate și pentru adaptarea cerințelor contractuale în materie de securitate cibernetică în conformitate cu orientările CERT-UE, înainte de intrarea în vigoare a Regulamentului UE privind securitatea cibernetică, în beneficiul tuturor instituțiilor; constată că AEPD nu s-a confruntat cu niciun atac cibernetic în 2022;</w:t>
      </w:r>
    </w:p>
    <w:p w:rsidR="00FD1623" w:rsidRPr="00D824EC" w:rsidRDefault="00FD1623" w:rsidP="00FD1623">
      <w:pPr>
        <w:pStyle w:val="NormalHanging12a"/>
        <w:rPr>
          <w:szCs w:val="24"/>
        </w:rPr>
      </w:pPr>
      <w:r w:rsidRPr="00D824EC">
        <w:t>42.</w:t>
      </w:r>
      <w:r w:rsidRPr="00D824EC">
        <w:tab/>
        <w:t>ia act de faptul că AEPD testează și dezvoltă soluții informatice cu sursă deschisă inovatoare și favorabile vieții private; consideră că AEPD ar trebui să împărtășească aceste experiențe cu celelalte IUE;</w:t>
      </w:r>
    </w:p>
    <w:p w:rsidR="00FD1623" w:rsidRPr="00D824EC" w:rsidRDefault="00FD1623" w:rsidP="00FD1623">
      <w:pPr>
        <w:pStyle w:val="NormalHanging12a"/>
        <w:rPr>
          <w:szCs w:val="24"/>
        </w:rPr>
      </w:pPr>
      <w:r w:rsidRPr="00D824EC">
        <w:t>43.</w:t>
      </w:r>
      <w:r w:rsidRPr="00D824EC">
        <w:tab/>
        <w:t xml:space="preserve">salută acțiunile întreprinse de AEPD după hotărârea </w:t>
      </w:r>
      <w:proofErr w:type="spellStart"/>
      <w:r w:rsidRPr="00D824EC">
        <w:t>Schrems</w:t>
      </w:r>
      <w:proofErr w:type="spellEnd"/>
      <w:r w:rsidRPr="00D824EC">
        <w:t xml:space="preserve"> II, concentrându-se în special în 2022 pe contractele IUE cu entități private, în special cu mari furnizori TIC, precum și pe acordurile dintre instituțiile UE și organisme publice din afara UE/SEE sau organizații internaționale;</w:t>
      </w:r>
    </w:p>
    <w:p w:rsidR="00FD1623" w:rsidRPr="00D824EC" w:rsidRDefault="00FD1623" w:rsidP="00FD1623">
      <w:pPr>
        <w:pStyle w:val="NormalHanging12a"/>
        <w:ind w:left="0" w:firstLine="0"/>
        <w:rPr>
          <w:b/>
          <w:i/>
          <w:szCs w:val="24"/>
        </w:rPr>
      </w:pPr>
      <w:r w:rsidRPr="00D824EC">
        <w:rPr>
          <w:b/>
          <w:i/>
        </w:rPr>
        <w:t>Clădirile</w:t>
      </w:r>
    </w:p>
    <w:p w:rsidR="00FD1623" w:rsidRPr="00D824EC" w:rsidRDefault="00FD1623" w:rsidP="00FD1623">
      <w:pPr>
        <w:pStyle w:val="NormalHanging12a"/>
        <w:rPr>
          <w:szCs w:val="24"/>
        </w:rPr>
      </w:pPr>
      <w:r w:rsidRPr="00D824EC">
        <w:t>44.</w:t>
      </w:r>
      <w:r w:rsidRPr="00D824EC">
        <w:tab/>
        <w:t xml:space="preserve">ia act de faptul că, în 2022, AEPD și CEPD au fost singurii chiriași ai clădirii Parlamentului în care se aflau, în urma mutării Ombudsmanului de la sfârșitul anului 2021; constată că, în urma acestei mutări, trei etaje ale clădirii au fost complet renovate pentru a găzdui personalul AEPD și CEPD și pentru a adapta clădirile la noile condiții </w:t>
      </w:r>
      <w:r w:rsidRPr="00D824EC">
        <w:lastRenderedPageBreak/>
        <w:t>de muncă predominante după pandemia de COVID-19;</w:t>
      </w:r>
    </w:p>
    <w:p w:rsidR="00FD1623" w:rsidRPr="00D824EC" w:rsidRDefault="00FD1623" w:rsidP="00FD1623">
      <w:pPr>
        <w:pStyle w:val="NormalHanging12a"/>
        <w:rPr>
          <w:szCs w:val="24"/>
        </w:rPr>
      </w:pPr>
      <w:r w:rsidRPr="00D824EC">
        <w:t>45.</w:t>
      </w:r>
      <w:r w:rsidRPr="00D824EC">
        <w:tab/>
        <w:t>ia act de faptul că, în ceea ce privește accesibilitatea clădirii sale, AEPD se bazează pe deciziile luate și puse în aplicare de Parlament, ca parte a politicii sale imobiliare; invită AEPD să pledeze pentru necesitatea de a se concentra asupra nevoilor persoanelor cu mobilitate redusă sau cu dizabilități și să informeze autoritatea care acordă descărcarea de gestiune cu privire la orice nouă decizie luată în acest sens;</w:t>
      </w:r>
    </w:p>
    <w:p w:rsidR="00FD1623" w:rsidRPr="00D824EC" w:rsidRDefault="00FD1623" w:rsidP="00FD1623">
      <w:pPr>
        <w:pStyle w:val="NormalHanging12a"/>
        <w:ind w:left="0" w:firstLine="0"/>
        <w:rPr>
          <w:b/>
          <w:i/>
          <w:szCs w:val="24"/>
        </w:rPr>
      </w:pPr>
      <w:r w:rsidRPr="00D824EC">
        <w:rPr>
          <w:b/>
          <w:i/>
        </w:rPr>
        <w:t>Mediu și sustenabilitate</w:t>
      </w:r>
    </w:p>
    <w:p w:rsidR="00FD1623" w:rsidRPr="00D824EC" w:rsidRDefault="00FD1623" w:rsidP="00FD1623">
      <w:pPr>
        <w:pStyle w:val="NormalHanging12a"/>
        <w:rPr>
          <w:szCs w:val="24"/>
        </w:rPr>
      </w:pPr>
      <w:r w:rsidRPr="00D824EC">
        <w:t>46.</w:t>
      </w:r>
      <w:r w:rsidRPr="00D824EC">
        <w:tab/>
        <w:t>constată că AEPD nu a aderat la sistemul de management de mediu și audit (EMAS), dar a introdus mai multe măsuri pentru a-și reduce amprenta de mediu, cum ar fi reducerea hârtiei ca urmare a digitalizării proceselor de administrare a resurselor umane sau reciclarea deșeurilor; constată că, în ceea ce privește infrastructurile de mediu, nu au fost instalate panouri solare pe clădirea închiriată de Parlament; invită AEPD să informeze autoritatea care acordă descărcarea de gestiune cu privire la orice nouă decizie de a instala panouri solare pe clădirea sa;</w:t>
      </w:r>
    </w:p>
    <w:p w:rsidR="00FD1623" w:rsidRPr="00D824EC" w:rsidRDefault="00FD1623" w:rsidP="00FD1623">
      <w:pPr>
        <w:pStyle w:val="NormalHanging12a"/>
        <w:rPr>
          <w:szCs w:val="24"/>
        </w:rPr>
      </w:pPr>
      <w:r w:rsidRPr="00D824EC">
        <w:t>47.</w:t>
      </w:r>
      <w:r w:rsidRPr="00D824EC">
        <w:tab/>
        <w:t>felicită AEPD pentru că promovează în continuare mobilitatea durabilă a personalului, căruia îi rambursează 50 % din abonamentele lunare/anuale la transportul public și pentru că alocă în garaje suficient spațiu pentru parcarea bicicletelor personalului;</w:t>
      </w:r>
    </w:p>
    <w:p w:rsidR="00FD1623" w:rsidRPr="00D824EC" w:rsidRDefault="00FD1623" w:rsidP="00FD1623">
      <w:pPr>
        <w:pStyle w:val="NormalHanging12a"/>
        <w:rPr>
          <w:b/>
          <w:i/>
          <w:szCs w:val="24"/>
        </w:rPr>
      </w:pPr>
      <w:r w:rsidRPr="00D824EC">
        <w:rPr>
          <w:b/>
          <w:i/>
        </w:rPr>
        <w:t>Cooperarea interinstituțională</w:t>
      </w:r>
    </w:p>
    <w:p w:rsidR="00FD1623" w:rsidRPr="00D824EC" w:rsidRDefault="00FD1623" w:rsidP="00FD1623">
      <w:pPr>
        <w:pStyle w:val="NormalHanging12a"/>
        <w:rPr>
          <w:szCs w:val="24"/>
        </w:rPr>
      </w:pPr>
      <w:r w:rsidRPr="00D824EC">
        <w:t>48.</w:t>
      </w:r>
      <w:r w:rsidRPr="00D824EC">
        <w:tab/>
        <w:t>consideră demne de lăudat economiile bugetare și administrative realizate prin cooperarea interinstituțională, în special încheierea de acorduri privind nivelul serviciilor cu Parlamentul pentru închirierea sediilor sale și utilizarea aplicațiilor sale de sistem informatic, furnizarea și întreținerea hardware-ului, precum și cu Comisia pentru servicii TIC;</w:t>
      </w:r>
    </w:p>
    <w:p w:rsidR="00FD1623" w:rsidRPr="00D824EC" w:rsidRDefault="00FD1623" w:rsidP="00FD1623">
      <w:pPr>
        <w:pStyle w:val="NormalHanging12a"/>
        <w:rPr>
          <w:szCs w:val="24"/>
        </w:rPr>
      </w:pPr>
      <w:r w:rsidRPr="00D824EC">
        <w:t>49.</w:t>
      </w:r>
      <w:r w:rsidRPr="00D824EC">
        <w:tab/>
        <w:t>observă că AEPD, pe lângă rolul său de supraveghere, cooperează strâns, deși informal, cu OLAF, EPPO și Curtea, cărora le dă sfaturi pe anumite proiecte și întrebări; salută, în special, dialogul periodic cu EPPO, în calitate de instituție nou-creată, în 2022; felicită AEPD pentru că a instaurat o cooperare mai structurată cu Ombudsmanul printr-un memorandum de înțelegere care urmărește să definească modalitățile de cooperare la nivelul tratării plângerilor;</w:t>
      </w:r>
    </w:p>
    <w:p w:rsidR="00FD1623" w:rsidRPr="00D824EC" w:rsidRDefault="00FD1623" w:rsidP="00FD1623">
      <w:pPr>
        <w:pStyle w:val="NormalHanging12a"/>
        <w:rPr>
          <w:szCs w:val="24"/>
        </w:rPr>
      </w:pPr>
      <w:r w:rsidRPr="00D824EC">
        <w:t>50.</w:t>
      </w:r>
      <w:r w:rsidRPr="00D824EC">
        <w:tab/>
        <w:t xml:space="preserve">ia act de faptul că cooperarea interinstituțională cu AEPD, în rolul său de supraveghere, este esențială pentru ca celelalte IUE să își îmbunătățească nivelul de conformitate cu cadrul juridic privind protecția datelor; felicită AEPD pentru asumarea rolului de coordonator în atribuirea unui contract interinstituțional pentru furnizarea de servicii </w:t>
      </w:r>
      <w:proofErr w:type="spellStart"/>
      <w:r w:rsidRPr="00D824EC">
        <w:t>Nextcloud</w:t>
      </w:r>
      <w:proofErr w:type="spellEnd"/>
      <w:r w:rsidRPr="00D824EC">
        <w:t xml:space="preserve"> instituțiilor UE semnatare;</w:t>
      </w:r>
    </w:p>
    <w:p w:rsidR="00FD1623" w:rsidRPr="00D824EC" w:rsidRDefault="00FD1623" w:rsidP="00FD1623">
      <w:pPr>
        <w:pStyle w:val="NormalHanging12a"/>
        <w:rPr>
          <w:szCs w:val="24"/>
        </w:rPr>
      </w:pPr>
      <w:r w:rsidRPr="00D824EC">
        <w:t>51.</w:t>
      </w:r>
      <w:r w:rsidRPr="00D824EC">
        <w:tab/>
        <w:t xml:space="preserve">salută rolul esențial jucat de AEPD în 2022 în coordonarea autorităților pentru protecția datelor (APD) din statele membre reprezentate în CEPD pentru a promova o protecție consecventă a datelor în întreaga Uniune; reține că AEPD a participat la acțiunea coordonată de asigurare a respectării legii din 2022 a CEPD privind utilizarea serviciilor de </w:t>
      </w:r>
      <w:proofErr w:type="spellStart"/>
      <w:r w:rsidRPr="00D824EC">
        <w:t>cloud</w:t>
      </w:r>
      <w:proofErr w:type="spellEnd"/>
      <w:r w:rsidRPr="00D824EC">
        <w:t xml:space="preserve"> în Uniune, al cărei scop a fost de a face schimb de cunoștințe și de bune practici între AEPD, IUE și APD;</w:t>
      </w:r>
    </w:p>
    <w:p w:rsidR="00FD1623" w:rsidRPr="00D824EC" w:rsidRDefault="00FD1623" w:rsidP="00FD1623">
      <w:pPr>
        <w:pStyle w:val="NormalHanging12a"/>
        <w:rPr>
          <w:b/>
          <w:i/>
          <w:szCs w:val="24"/>
        </w:rPr>
      </w:pPr>
      <w:r w:rsidRPr="00D824EC">
        <w:rPr>
          <w:b/>
          <w:i/>
        </w:rPr>
        <w:t>Comunicarea</w:t>
      </w:r>
    </w:p>
    <w:p w:rsidR="00FD1623" w:rsidRPr="00D824EC" w:rsidRDefault="00FD1623" w:rsidP="00FD1623">
      <w:pPr>
        <w:pStyle w:val="NormalHanging12a"/>
        <w:rPr>
          <w:szCs w:val="24"/>
        </w:rPr>
      </w:pPr>
      <w:r w:rsidRPr="00D824EC">
        <w:t>52.</w:t>
      </w:r>
      <w:r w:rsidRPr="00D824EC">
        <w:tab/>
        <w:t xml:space="preserve">constată că bugetul pentru activități de comunicare publică și promovare în 2022 s-a </w:t>
      </w:r>
      <w:r w:rsidRPr="00D824EC">
        <w:lastRenderedPageBreak/>
        <w:t>ridicat la 304 665 EUR, ceea ce reprezintă o creștere de 19 % față de 2021; salută strategia cuprinzătoare de comunicare prin care urmărește să își facă cunoscut rolul și să semnaleze importanța respectării normelor Uniunii de protecție a datelor, care se adresează IUE, experților UE în protecția datelor și publicului larg;</w:t>
      </w:r>
    </w:p>
    <w:p w:rsidR="00FD1623" w:rsidRPr="00D824EC" w:rsidRDefault="00FD1623" w:rsidP="00FD1623">
      <w:pPr>
        <w:pStyle w:val="NormalHanging12a"/>
        <w:rPr>
          <w:szCs w:val="24"/>
        </w:rPr>
      </w:pPr>
      <w:r w:rsidRPr="00D824EC">
        <w:t>53.</w:t>
      </w:r>
      <w:r w:rsidRPr="00D824EC">
        <w:tab/>
        <w:t>constată cu satisfacție că AEPD a organizat mai multe evenimente de comunicare în format hibrid în 2022, în special o conferință internațională majoră pe tema „Viitorul protecției datelor: asigurarea efectivă a respectării legislației în lumea digitală”, care a avut peste 2 000 de participanți, atât cu prezență fizică, cât și de la distanță;</w:t>
      </w:r>
    </w:p>
    <w:p w:rsidR="00FD1623" w:rsidRPr="00D824EC" w:rsidRDefault="00FD1623" w:rsidP="00FD1623">
      <w:pPr>
        <w:pStyle w:val="NormalHanging12a"/>
        <w:rPr>
          <w:szCs w:val="24"/>
        </w:rPr>
      </w:pPr>
      <w:r w:rsidRPr="00D824EC">
        <w:t>54.</w:t>
      </w:r>
      <w:r w:rsidRPr="00D824EC">
        <w:tab/>
        <w:t xml:space="preserve">ia act de faptul că AEPD comunică online prin site-ul său și conturile sale de pe platformele de comunicare socială pe X (fostul </w:t>
      </w:r>
      <w:proofErr w:type="spellStart"/>
      <w:r w:rsidRPr="00D824EC">
        <w:t>Twitter</w:t>
      </w:r>
      <w:proofErr w:type="spellEnd"/>
      <w:r w:rsidRPr="00D824EC">
        <w:t xml:space="preserve">) (29 100 de urmăritori), </w:t>
      </w:r>
      <w:proofErr w:type="spellStart"/>
      <w:r w:rsidRPr="00D824EC">
        <w:t>LinkedIn</w:t>
      </w:r>
      <w:proofErr w:type="spellEnd"/>
      <w:r w:rsidRPr="00D824EC">
        <w:t xml:space="preserve"> (63 000 de urmăritori), </w:t>
      </w:r>
      <w:proofErr w:type="spellStart"/>
      <w:r w:rsidRPr="00D824EC">
        <w:t>YouTube</w:t>
      </w:r>
      <w:proofErr w:type="spellEnd"/>
      <w:r w:rsidRPr="00D824EC">
        <w:t xml:space="preserve"> (275 000 de urmăritori), EU-</w:t>
      </w:r>
      <w:proofErr w:type="spellStart"/>
      <w:r w:rsidRPr="00D824EC">
        <w:t>Voice</w:t>
      </w:r>
      <w:proofErr w:type="spellEnd"/>
      <w:r w:rsidRPr="00D824EC">
        <w:t xml:space="preserve"> (5 100 de urmăritori) și EU-Video (690 de urmăritori); constată că AEPD a lansat mai multe campanii pe platformele de comunicare socială în 2022, care vizează promovarea anumitor inițiative sau care se desfășoară în parteneriat cu alte instituții ale UE pentru a lărgi cercul publicului său și a-l ține la curent cu activitățile sale;</w:t>
      </w:r>
    </w:p>
    <w:p w:rsidR="00FD1623" w:rsidRPr="00D824EC" w:rsidRDefault="00FD1623" w:rsidP="00FD1623">
      <w:pPr>
        <w:pStyle w:val="NormalHanging12a"/>
        <w:rPr>
          <w:szCs w:val="24"/>
        </w:rPr>
      </w:pPr>
      <w:r w:rsidRPr="00D824EC">
        <w:t>55.</w:t>
      </w:r>
      <w:r w:rsidRPr="00D824EC">
        <w:tab/>
        <w:t>remarcă rolul principal al AEPD în testarea și promovarea canalelor de comunicare socială care contribuie la strategia Uniunii privind datele și suveranitatea digitală, în conformitate cu cadrul juridic privind protecția datelor;</w:t>
      </w:r>
    </w:p>
    <w:p w:rsidR="00FD1623" w:rsidRPr="00D824EC" w:rsidRDefault="00FD1623" w:rsidP="00FD1623">
      <w:pPr>
        <w:pStyle w:val="NormalHanging12a"/>
        <w:rPr>
          <w:szCs w:val="24"/>
        </w:rPr>
      </w:pPr>
      <w:r w:rsidRPr="00D824EC">
        <w:t>56.</w:t>
      </w:r>
      <w:r w:rsidRPr="00D824EC">
        <w:tab/>
        <w:t xml:space="preserve">își reafirmă susținerea pentru eforturile AEPD de a monitoriza și de a explica publicului larg evoluțiile emergente din domeniul tehnologiei și impactul lor potențial asupra protecției datelor și a vieții private, de exemplu prin rapoartele </w:t>
      </w:r>
      <w:proofErr w:type="spellStart"/>
      <w:r w:rsidRPr="00D824EC">
        <w:t>TechDispatch</w:t>
      </w:r>
      <w:proofErr w:type="spellEnd"/>
      <w:r w:rsidRPr="00D824EC">
        <w:t xml:space="preserve"> și </w:t>
      </w:r>
      <w:proofErr w:type="spellStart"/>
      <w:r w:rsidRPr="00D824EC">
        <w:t>TechSonar</w:t>
      </w:r>
      <w:proofErr w:type="spellEnd"/>
      <w:r w:rsidRPr="00D824EC">
        <w:t>; încurajează AEPD să își consolideze mai mult capacitățile în domeniul monitorizării tehnologiei și să lanseze campanii de informare prin care să își difuzeze constatările și recomandările.</w:t>
      </w:r>
    </w:p>
    <w:sectPr w:rsidR="00FD1623" w:rsidRPr="00D824EC" w:rsidSect="00367EE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177" w:rsidRPr="008A5962" w:rsidRDefault="00911177">
      <w:r w:rsidRPr="008A5962">
        <w:separator/>
      </w:r>
    </w:p>
  </w:endnote>
  <w:endnote w:type="continuationSeparator" w:id="0">
    <w:p w:rsidR="00911177" w:rsidRPr="008A5962" w:rsidRDefault="00911177">
      <w:r w:rsidRPr="008A59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623" w:rsidRPr="008A5962" w:rsidRDefault="00FD1623" w:rsidP="00790ED0">
    <w:pPr>
      <w:pStyle w:val="EPFooter"/>
    </w:pPr>
    <w:r w:rsidRPr="008A5962">
      <w:t>PE</w:t>
    </w:r>
    <w:r w:rsidRPr="008A5962">
      <w:rPr>
        <w:rStyle w:val="HideTWBExt"/>
      </w:rPr>
      <w:t>&lt;NoPE&gt;</w:t>
    </w:r>
    <w:r w:rsidRPr="008A5962">
      <w:t>753.487</w:t>
    </w:r>
    <w:r w:rsidRPr="008A5962">
      <w:rPr>
        <w:rStyle w:val="HideTWBExt"/>
      </w:rPr>
      <w:t>&lt;/NoPE&gt;&lt;Version&gt;</w:t>
    </w:r>
    <w:r w:rsidRPr="008A5962">
      <w:t>v02-00</w:t>
    </w:r>
    <w:r w:rsidRPr="008A5962">
      <w:rPr>
        <w:rStyle w:val="HideTWBExt"/>
      </w:rPr>
      <w:t>&lt;/Version&gt;</w:t>
    </w:r>
    <w:r w:rsidRPr="008A5962">
      <w:tab/>
    </w:r>
    <w:r w:rsidRPr="008A5962">
      <w:fldChar w:fldCharType="begin"/>
    </w:r>
    <w:r w:rsidRPr="008A5962">
      <w:instrText xml:space="preserve"> PAGE  \* MERGEFORMAT </w:instrText>
    </w:r>
    <w:r w:rsidRPr="008A5962">
      <w:fldChar w:fldCharType="separate"/>
    </w:r>
    <w:r w:rsidR="008A5962" w:rsidRPr="008A5962">
      <w:rPr>
        <w:noProof/>
      </w:rPr>
      <w:t>4</w:t>
    </w:r>
    <w:r w:rsidRPr="008A5962">
      <w:fldChar w:fldCharType="end"/>
    </w:r>
    <w:r w:rsidRPr="008A5962">
      <w:t>/</w:t>
    </w:r>
    <w:r w:rsidR="00D824EC">
      <w:fldChar w:fldCharType="begin"/>
    </w:r>
    <w:r w:rsidR="00D824EC">
      <w:instrText xml:space="preserve"> NUMPAGES  \* MERGEFORMAT </w:instrText>
    </w:r>
    <w:r w:rsidR="00D824EC">
      <w:fldChar w:fldCharType="separate"/>
    </w:r>
    <w:r w:rsidR="008A5962" w:rsidRPr="008A5962">
      <w:rPr>
        <w:noProof/>
      </w:rPr>
      <w:t>6</w:t>
    </w:r>
    <w:r w:rsidR="00D824EC">
      <w:rPr>
        <w:noProof/>
      </w:rPr>
      <w:fldChar w:fldCharType="end"/>
    </w:r>
    <w:r w:rsidRPr="008A5962">
      <w:tab/>
    </w:r>
    <w:r w:rsidRPr="008A5962">
      <w:rPr>
        <w:rStyle w:val="HideTWBExt"/>
      </w:rPr>
      <w:t>&lt;PathFdR&gt;</w:t>
    </w:r>
    <w:r w:rsidRPr="008A5962">
      <w:t>RR\1298695RO.docx</w:t>
    </w:r>
    <w:r w:rsidRPr="008A5962">
      <w:rPr>
        <w:rStyle w:val="HideTWBExt"/>
      </w:rPr>
      <w:t>&lt;/PathFdR&gt;</w:t>
    </w:r>
  </w:p>
  <w:p w:rsidR="00FD1623" w:rsidRPr="008A5962" w:rsidRDefault="00FD1623" w:rsidP="00790ED0">
    <w:pPr>
      <w:pStyle w:val="EPFooter2"/>
    </w:pPr>
    <w:r w:rsidRPr="008A596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623" w:rsidRPr="008A5962" w:rsidRDefault="00FD1623" w:rsidP="00790ED0">
    <w:pPr>
      <w:pStyle w:val="EPFooter"/>
    </w:pPr>
    <w:r w:rsidRPr="008A5962">
      <w:rPr>
        <w:rStyle w:val="HideTWBExt"/>
      </w:rPr>
      <w:t>&lt;PathFdR&gt;</w:t>
    </w:r>
    <w:r w:rsidRPr="008A5962">
      <w:t>RR\1298695RO.docx</w:t>
    </w:r>
    <w:r w:rsidRPr="008A5962">
      <w:rPr>
        <w:rStyle w:val="HideTWBExt"/>
      </w:rPr>
      <w:t>&lt;/PathFdR&gt;</w:t>
    </w:r>
    <w:r w:rsidRPr="008A5962">
      <w:tab/>
    </w:r>
    <w:r w:rsidRPr="008A5962">
      <w:tab/>
      <w:t>PE</w:t>
    </w:r>
    <w:r w:rsidRPr="008A5962">
      <w:rPr>
        <w:rStyle w:val="HideTWBExt"/>
      </w:rPr>
      <w:t>&lt;NoPE&gt;</w:t>
    </w:r>
    <w:r w:rsidRPr="008A5962">
      <w:t>753.487</w:t>
    </w:r>
    <w:r w:rsidRPr="008A5962">
      <w:rPr>
        <w:rStyle w:val="HideTWBExt"/>
      </w:rPr>
      <w:t>&lt;/NoPE&gt;&lt;Version&gt;</w:t>
    </w:r>
    <w:r w:rsidRPr="008A5962">
      <w:t>v02-00</w:t>
    </w:r>
    <w:r w:rsidRPr="008A5962">
      <w:rPr>
        <w:rStyle w:val="HideTWBExt"/>
      </w:rPr>
      <w:t>&lt;/Version&gt;</w:t>
    </w:r>
  </w:p>
  <w:p w:rsidR="00FD1623" w:rsidRPr="008A5962" w:rsidRDefault="00FD1623" w:rsidP="00790ED0">
    <w:pPr>
      <w:pStyle w:val="EPFooter2"/>
    </w:pPr>
    <w:r w:rsidRPr="008A5962">
      <w:t>RO</w:t>
    </w:r>
    <w:r w:rsidRPr="008A5962">
      <w:tab/>
    </w:r>
    <w:r w:rsidRPr="008A5962">
      <w:rPr>
        <w:b w:val="0"/>
        <w:i/>
        <w:color w:val="C0C0C0"/>
        <w:sz w:val="22"/>
      </w:rPr>
      <w:t>Unită în diversitate</w:t>
    </w:r>
    <w:r w:rsidRPr="008A596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6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6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177" w:rsidRPr="008A5962" w:rsidRDefault="00911177">
      <w:r w:rsidRPr="008A5962">
        <w:separator/>
      </w:r>
    </w:p>
  </w:footnote>
  <w:footnote w:type="continuationSeparator" w:id="0">
    <w:p w:rsidR="00911177" w:rsidRPr="008A5962" w:rsidRDefault="00911177">
      <w:r w:rsidRPr="008A5962">
        <w:continuationSeparator/>
      </w:r>
    </w:p>
  </w:footnote>
  <w:footnote w:id="1">
    <w:p w:rsidR="00FD1623" w:rsidRPr="00D824EC" w:rsidRDefault="00FD1623" w:rsidP="008A5962">
      <w:pPr>
        <w:pStyle w:val="FootnoteText"/>
        <w:ind w:left="567" w:hanging="567"/>
        <w:rPr>
          <w:sz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JO L 45, 24.2.2022.</w:t>
      </w:r>
    </w:p>
  </w:footnote>
  <w:footnote w:id="2">
    <w:p w:rsidR="00FD1623" w:rsidRPr="00D824EC" w:rsidRDefault="00FD1623" w:rsidP="008A5962">
      <w:pPr>
        <w:pStyle w:val="FootnoteText"/>
        <w:ind w:left="567" w:hanging="567"/>
        <w:rPr>
          <w:sz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JO C, C/2023/2, 12.10.2023.</w:t>
      </w:r>
    </w:p>
  </w:footnote>
  <w:footnote w:id="3">
    <w:p w:rsidR="00FD1623" w:rsidRPr="00D824EC" w:rsidRDefault="00FD1623" w:rsidP="008A5962">
      <w:pPr>
        <w:pStyle w:val="FootnoteText"/>
        <w:ind w:left="567" w:hanging="567"/>
        <w:rPr>
          <w:sz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JO C, C/2023/103, 4.10.2023.</w:t>
      </w:r>
      <w:bookmarkStart w:id="8" w:name="_GoBack"/>
      <w:bookmarkEnd w:id="8"/>
    </w:p>
  </w:footnote>
  <w:footnote w:id="4">
    <w:p w:rsidR="00FD1623" w:rsidRPr="00D824EC" w:rsidRDefault="00FD1623" w:rsidP="008A5962">
      <w:pPr>
        <w:pStyle w:val="FootnoteText"/>
        <w:ind w:left="567" w:hanging="567"/>
        <w:rPr>
          <w:sz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JO C, C/2023/112, 12.10.2023.</w:t>
      </w:r>
    </w:p>
  </w:footnote>
  <w:footnote w:id="5">
    <w:p w:rsidR="00FD1623" w:rsidRPr="00D824EC" w:rsidRDefault="00FD1623" w:rsidP="008A5962">
      <w:pPr>
        <w:pStyle w:val="FootnoteText"/>
        <w:ind w:left="567" w:hanging="567"/>
        <w:rPr>
          <w:sz w:val="24"/>
          <w:szCs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JO L 193, 30.7.2018, p. 1.</w:t>
      </w:r>
    </w:p>
  </w:footnote>
  <w:footnote w:id="6">
    <w:p w:rsidR="00FD1623" w:rsidRPr="00D824EC" w:rsidRDefault="00FD1623" w:rsidP="008A5962">
      <w:pPr>
        <w:pStyle w:val="FootnoteText"/>
        <w:ind w:left="567" w:hanging="567"/>
        <w:rPr>
          <w:sz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Regulamentul (UE) 2022/991 al Parlamentului European și al Consiliului din 8 iunie 2022 de modificare a Regulamentului (UE) 2016/794 în ceea ce privește cooperarea Europol cu părțile private, prelucrarea datelor cu caracter personal de către Europol în sprijinul anchetelor penale și rolul Europol în materie de cercetare și inovare (JO L 169, 27.6.2022, p. 1).</w:t>
      </w:r>
    </w:p>
  </w:footnote>
  <w:footnote w:id="7">
    <w:p w:rsidR="00FD1623" w:rsidRPr="008A5962" w:rsidRDefault="00FD1623" w:rsidP="008A5962">
      <w:pPr>
        <w:pStyle w:val="FootnoteText"/>
        <w:ind w:left="567" w:hanging="567"/>
        <w:rPr>
          <w:sz w:val="24"/>
          <w:lang w:val="ro-RO"/>
        </w:rPr>
      </w:pPr>
      <w:r w:rsidRPr="00D824EC">
        <w:rPr>
          <w:rStyle w:val="FootnoteReference"/>
          <w:sz w:val="24"/>
          <w:lang w:val="ro-RO"/>
        </w:rPr>
        <w:footnoteRef/>
      </w:r>
      <w:r w:rsidR="008A5962" w:rsidRPr="00D824EC">
        <w:rPr>
          <w:sz w:val="24"/>
          <w:lang w:val="ro-RO"/>
        </w:rPr>
        <w:t xml:space="preserve"> </w:t>
      </w:r>
      <w:r w:rsidR="008A5962" w:rsidRPr="00D824EC">
        <w:rPr>
          <w:sz w:val="24"/>
          <w:lang w:val="ro-RO"/>
        </w:rPr>
        <w:tab/>
      </w:r>
      <w:r w:rsidRPr="00D824EC">
        <w:rPr>
          <w:sz w:val="24"/>
          <w:lang w:val="ro-RO"/>
        </w:rP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59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RO"/>
    <w:docVar w:name="dvnumam" w:val="0"/>
    <w:docVar w:name="dvpe" w:val="753.487"/>
    <w:docVar w:name="dvrapporteur" w:val="Raportor: "/>
    <w:docVar w:name="dvtitre" w:val="1. Decizia Parlamentului European din 11 aprilie 2024 privind descărcarea de gestiune pentru execuția bugetului general al Uniunii Europene aferent exercițiului financiar 2022, secțiunea IX – Autoritatea Europeană pentru Protecția Datelor(2023/2138(DEC))"/>
  </w:docVars>
  <w:rsids>
    <w:rsidRoot w:val="0091117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7EE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962"/>
    <w:rsid w:val="008C2AC6"/>
    <w:rsid w:val="0091117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181"/>
    <w:rsid w:val="00D824E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62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FE1B5"/>
  <w15:chartTrackingRefBased/>
  <w15:docId w15:val="{77BE58CD-7096-49B2-AF96-676426EC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162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1623"/>
    <w:pPr>
      <w:spacing w:before="480" w:after="240"/>
    </w:pPr>
  </w:style>
  <w:style w:type="paragraph" w:customStyle="1" w:styleId="PageHeading">
    <w:name w:val="PageHeading"/>
    <w:basedOn w:val="Normal"/>
    <w:rsid w:val="00FD1623"/>
    <w:pPr>
      <w:keepNext/>
      <w:spacing w:after="480"/>
      <w:jc w:val="center"/>
    </w:pPr>
    <w:rPr>
      <w:rFonts w:ascii="Arial" w:hAnsi="Arial" w:cs="Arial"/>
      <w:b/>
    </w:rPr>
  </w:style>
  <w:style w:type="paragraph" w:customStyle="1" w:styleId="NormalBold">
    <w:name w:val="NormalBold"/>
    <w:basedOn w:val="Normal"/>
    <w:rsid w:val="00FD1623"/>
    <w:rPr>
      <w:b/>
    </w:rPr>
  </w:style>
  <w:style w:type="paragraph" w:customStyle="1" w:styleId="NormalHanging12a">
    <w:name w:val="NormalHanging12a"/>
    <w:basedOn w:val="Normal"/>
    <w:link w:val="NormalHanging12aChar"/>
    <w:qFormat/>
    <w:rsid w:val="00FD1623"/>
    <w:pPr>
      <w:spacing w:after="240"/>
      <w:ind w:left="567" w:hanging="567"/>
    </w:pPr>
  </w:style>
  <w:style w:type="paragraph" w:styleId="Header">
    <w:name w:val="header"/>
    <w:basedOn w:val="Normal"/>
    <w:link w:val="HeaderChar"/>
    <w:rsid w:val="00FD1623"/>
    <w:pPr>
      <w:tabs>
        <w:tab w:val="center" w:pos="4513"/>
        <w:tab w:val="right" w:pos="9026"/>
      </w:tabs>
    </w:pPr>
  </w:style>
  <w:style w:type="character" w:customStyle="1" w:styleId="HeaderChar">
    <w:name w:val="Header Char"/>
    <w:basedOn w:val="DefaultParagraphFont"/>
    <w:link w:val="Header"/>
    <w:rsid w:val="00FD1623"/>
    <w:rPr>
      <w:sz w:val="24"/>
      <w:lang w:val="ro-RO"/>
    </w:rPr>
  </w:style>
  <w:style w:type="paragraph" w:customStyle="1" w:styleId="EPFooter">
    <w:name w:val="EPFooter"/>
    <w:basedOn w:val="Normal"/>
    <w:rsid w:val="00FD162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D1623"/>
    <w:rPr>
      <w:sz w:val="24"/>
      <w:lang w:val="ro-RO"/>
    </w:rPr>
  </w:style>
  <w:style w:type="paragraph" w:customStyle="1" w:styleId="Normal12a">
    <w:name w:val="Normal12a"/>
    <w:basedOn w:val="Normal"/>
    <w:rsid w:val="00FD1623"/>
    <w:pPr>
      <w:spacing w:after="240"/>
    </w:pPr>
  </w:style>
  <w:style w:type="paragraph" w:customStyle="1" w:styleId="PageHeadingNotTOC">
    <w:name w:val="PageHeadingNotTOC"/>
    <w:basedOn w:val="Normal"/>
    <w:rsid w:val="00FD1623"/>
    <w:pPr>
      <w:keepNext/>
      <w:spacing w:after="480"/>
      <w:jc w:val="center"/>
    </w:pPr>
    <w:rPr>
      <w:rFonts w:ascii="Arial" w:hAnsi="Arial" w:cs="Arial"/>
      <w:b/>
    </w:rPr>
  </w:style>
  <w:style w:type="paragraph" w:customStyle="1" w:styleId="RollCallSymbols14pt">
    <w:name w:val="RollCallSymbols14pt"/>
    <w:basedOn w:val="Normal"/>
    <w:rsid w:val="00FD1623"/>
    <w:pPr>
      <w:spacing w:before="120" w:after="120"/>
      <w:jc w:val="center"/>
    </w:pPr>
    <w:rPr>
      <w:rFonts w:ascii="Arial" w:hAnsi="Arial"/>
      <w:b/>
      <w:bCs/>
      <w:snapToGrid w:val="0"/>
      <w:sz w:val="28"/>
      <w:lang w:eastAsia="en-US"/>
    </w:rPr>
  </w:style>
  <w:style w:type="paragraph" w:customStyle="1" w:styleId="RollCallVotes">
    <w:name w:val="RollCallVotes"/>
    <w:basedOn w:val="Normal"/>
    <w:rsid w:val="00FD1623"/>
    <w:pPr>
      <w:spacing w:before="120" w:after="120"/>
      <w:jc w:val="center"/>
    </w:pPr>
    <w:rPr>
      <w:b/>
      <w:bCs/>
      <w:snapToGrid w:val="0"/>
      <w:sz w:val="16"/>
      <w:lang w:eastAsia="en-US"/>
    </w:rPr>
  </w:style>
  <w:style w:type="paragraph" w:customStyle="1" w:styleId="RollCallTable">
    <w:name w:val="RollCallTable"/>
    <w:basedOn w:val="Normal"/>
    <w:rsid w:val="00FD1623"/>
    <w:pPr>
      <w:spacing w:before="120" w:after="120"/>
    </w:pPr>
    <w:rPr>
      <w:snapToGrid w:val="0"/>
      <w:sz w:val="16"/>
      <w:lang w:eastAsia="en-US"/>
    </w:rPr>
  </w:style>
  <w:style w:type="paragraph" w:customStyle="1" w:styleId="Normal24a">
    <w:name w:val="Normal24a"/>
    <w:basedOn w:val="Normal"/>
    <w:rsid w:val="00FD1623"/>
    <w:pPr>
      <w:spacing w:after="480"/>
    </w:pPr>
  </w:style>
  <w:style w:type="paragraph" w:customStyle="1" w:styleId="NormalBoldCenter">
    <w:name w:val="NormalBoldCenter"/>
    <w:basedOn w:val="Normal"/>
    <w:rsid w:val="00FD1623"/>
    <w:pPr>
      <w:jc w:val="center"/>
    </w:pPr>
    <w:rPr>
      <w:b/>
    </w:rPr>
  </w:style>
  <w:style w:type="paragraph" w:styleId="Footer">
    <w:name w:val="footer"/>
    <w:basedOn w:val="Normal"/>
    <w:link w:val="FooterChar"/>
    <w:rsid w:val="00D75181"/>
    <w:pPr>
      <w:tabs>
        <w:tab w:val="center" w:pos="4513"/>
        <w:tab w:val="right" w:pos="9026"/>
      </w:tabs>
    </w:pPr>
  </w:style>
  <w:style w:type="character" w:customStyle="1" w:styleId="FooterChar">
    <w:name w:val="Footer Char"/>
    <w:basedOn w:val="DefaultParagraphFont"/>
    <w:link w:val="Footer"/>
    <w:rsid w:val="00D7518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CECB0-C1EE-40E6-93A3-C0EF2EDD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4795</Words>
  <Characters>27034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2024-04-11T12:35:00Z</dcterms:created>
  <dcterms:modified xsi:type="dcterms:W3CDTF">2024-04-11T12:35:00Z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A9-0086/2024</vt:lpwstr>
  </property>
  <property fmtid="{D5CDD505-2E9C-101B-9397-08002B2CF9AE}" pid="4" name="&lt;Type&gt;">
    <vt:lpwstr>RR</vt:lpwstr>
  </property>
</Properties>
</file>