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4B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4B2B" w:rsidRDefault="006F6F9B" w:rsidP="0010095E">
            <w:pPr>
              <w:pStyle w:val="EPName"/>
            </w:pPr>
            <w:r w:rsidRPr="00C04B2B">
              <w:t>Európsky parlament</w:t>
            </w:r>
          </w:p>
          <w:p w:rsidR="00751A4A" w:rsidRPr="00C04B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4B2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04B2B" w:rsidRDefault="00187494" w:rsidP="0010095E">
            <w:pPr>
              <w:pStyle w:val="EPLogo"/>
            </w:pPr>
            <w:r w:rsidRPr="00C04B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4B2B" w:rsidRDefault="00D058B8" w:rsidP="004C5D52">
      <w:pPr>
        <w:pStyle w:val="LineTop"/>
      </w:pPr>
    </w:p>
    <w:p w:rsidR="00680577" w:rsidRPr="00C04B2B" w:rsidRDefault="006F6F9B" w:rsidP="00680577">
      <w:pPr>
        <w:pStyle w:val="EPBodyTA1"/>
      </w:pPr>
      <w:r w:rsidRPr="00C04B2B">
        <w:t>PRIJATÉ TEXTY</w:t>
      </w:r>
    </w:p>
    <w:p w:rsidR="00D058B8" w:rsidRPr="00C04B2B" w:rsidRDefault="00D058B8" w:rsidP="00D058B8">
      <w:pPr>
        <w:pStyle w:val="LineBottom"/>
      </w:pPr>
    </w:p>
    <w:p w:rsidR="006F6F9B" w:rsidRPr="00C04B2B" w:rsidRDefault="006F6F9B" w:rsidP="006F6F9B">
      <w:pPr>
        <w:pStyle w:val="ATHeading1"/>
      </w:pPr>
      <w:bookmarkStart w:id="0" w:name="TANumber"/>
      <w:r w:rsidRPr="00C04B2B">
        <w:t>P9_TA(2024)0</w:t>
      </w:r>
      <w:r w:rsidR="00C04B2B" w:rsidRPr="00C04B2B">
        <w:t>23</w:t>
      </w:r>
      <w:r w:rsidR="00655D76">
        <w:t>5</w:t>
      </w:r>
      <w:bookmarkEnd w:id="0"/>
    </w:p>
    <w:p w:rsidR="006F6F9B" w:rsidRPr="00C04B2B" w:rsidRDefault="006F6F9B" w:rsidP="006F6F9B">
      <w:pPr>
        <w:pStyle w:val="ATHeading2"/>
      </w:pPr>
      <w:bookmarkStart w:id="1" w:name="title"/>
      <w:r w:rsidRPr="00C04B2B">
        <w:t>Absolutórium za rok 2022: všeobecný rozpočet EÚ – európsky dozorný úradník pre ochranu údajov</w:t>
      </w:r>
      <w:bookmarkEnd w:id="1"/>
    </w:p>
    <w:p w:rsidR="006F6F9B" w:rsidRPr="00C04B2B" w:rsidRDefault="006F6F9B" w:rsidP="006F6F9B">
      <w:pPr>
        <w:rPr>
          <w:i/>
          <w:vanish/>
        </w:rPr>
      </w:pPr>
      <w:r w:rsidRPr="00C04B2B">
        <w:rPr>
          <w:i/>
        </w:rPr>
        <w:fldChar w:fldCharType="begin"/>
      </w:r>
      <w:r w:rsidRPr="00C04B2B">
        <w:rPr>
          <w:i/>
        </w:rPr>
        <w:instrText xml:space="preserve"> TC"(</w:instrText>
      </w:r>
      <w:bookmarkStart w:id="2" w:name="DocNumber"/>
      <w:r w:rsidRPr="00C04B2B">
        <w:rPr>
          <w:i/>
        </w:rPr>
        <w:instrText>A9-0086/2024</w:instrText>
      </w:r>
      <w:bookmarkEnd w:id="2"/>
      <w:r w:rsidRPr="00C04B2B">
        <w:rPr>
          <w:i/>
        </w:rPr>
        <w:instrText xml:space="preserve"> - Spravodajca: Luke Ming Flanagan)"\l3 \n&gt; \* MERGEFORMAT </w:instrText>
      </w:r>
      <w:r w:rsidRPr="00C04B2B">
        <w:rPr>
          <w:i/>
        </w:rPr>
        <w:fldChar w:fldCharType="end"/>
      </w:r>
    </w:p>
    <w:p w:rsidR="006F6F9B" w:rsidRPr="00C04B2B" w:rsidRDefault="006F6F9B" w:rsidP="006F6F9B">
      <w:pPr>
        <w:rPr>
          <w:vanish/>
        </w:rPr>
      </w:pPr>
      <w:bookmarkStart w:id="3" w:name="Commission"/>
      <w:r w:rsidRPr="00C04B2B">
        <w:rPr>
          <w:vanish/>
        </w:rPr>
        <w:t>Výbor pre kontrolu rozpočtu</w:t>
      </w:r>
      <w:bookmarkEnd w:id="3"/>
    </w:p>
    <w:p w:rsidR="006F6F9B" w:rsidRPr="00C04B2B" w:rsidRDefault="006F6F9B" w:rsidP="006F6F9B">
      <w:pPr>
        <w:rPr>
          <w:vanish/>
        </w:rPr>
      </w:pPr>
      <w:bookmarkStart w:id="4" w:name="PE"/>
      <w:r w:rsidRPr="00C04B2B">
        <w:rPr>
          <w:vanish/>
        </w:rPr>
        <w:t>PE753.487</w:t>
      </w:r>
      <w:bookmarkEnd w:id="4"/>
    </w:p>
    <w:p w:rsidR="006F6F9B" w:rsidRPr="00C04B2B" w:rsidRDefault="00360718" w:rsidP="006F6F9B">
      <w:pPr>
        <w:pStyle w:val="ATHeading3"/>
      </w:pPr>
      <w:bookmarkStart w:id="5" w:name="Sujet"/>
      <w:r w:rsidRPr="00C04B2B">
        <w:t>1. R</w:t>
      </w:r>
      <w:r w:rsidR="006F6F9B" w:rsidRPr="00C04B2B">
        <w:t>ozhodnutie Európskeho parlamentu z</w:t>
      </w:r>
      <w:r w:rsidR="00F033DE" w:rsidRPr="00C04B2B">
        <w:t> 11</w:t>
      </w:r>
      <w:r w:rsidR="006F6F9B" w:rsidRPr="00C04B2B">
        <w:t>. apríla 2024 o absolutóriu za plnenie všeobecného rozpočtu Európskej únie za rozpočtový rok 2022, oddiel IX – Európsky dozorný úradník pre ochranu údajov</w:t>
      </w:r>
      <w:bookmarkEnd w:id="5"/>
      <w:r w:rsidR="006F6F9B" w:rsidRPr="00C04B2B">
        <w:t xml:space="preserve"> </w:t>
      </w:r>
      <w:bookmarkStart w:id="6" w:name="References"/>
      <w:r w:rsidR="006F6F9B" w:rsidRPr="00C04B2B">
        <w:t>(2023/2138(DEC))</w:t>
      </w:r>
      <w:bookmarkEnd w:id="6"/>
    </w:p>
    <w:p w:rsidR="00110F10" w:rsidRPr="00C04B2B" w:rsidRDefault="00110F10" w:rsidP="00110F10">
      <w:pPr>
        <w:pStyle w:val="EPComma"/>
      </w:pPr>
      <w:bookmarkStart w:id="7" w:name="TextBodyBegin"/>
      <w:bookmarkEnd w:id="7"/>
      <w:r w:rsidRPr="00C04B2B">
        <w:rPr>
          <w:i/>
        </w:rPr>
        <w:t>Európsky parlament</w:t>
      </w:r>
      <w:r w:rsidRPr="00C04B2B">
        <w:t>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>so zreteľom na všeobecný rozpočet Európskej únie na rozpočtový rok 2022</w:t>
      </w:r>
      <w:r w:rsidRPr="00C04B2B">
        <w:rPr>
          <w:rStyle w:val="FootnoteReference"/>
        </w:rPr>
        <w:footnoteReference w:id="1"/>
      </w:r>
      <w:r w:rsidRPr="00C04B2B">
        <w:t>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 xml:space="preserve">so zreteľom na konsolidovanú ročnú účtovnú závierku Európskej únie za rozpočtový rok 2022 </w:t>
      </w:r>
      <w:r w:rsidR="00360718" w:rsidRPr="00C04B2B">
        <w:t>(</w:t>
      </w:r>
      <w:r w:rsidRPr="00C04B2B">
        <w:t>COM(2023)0391 – C9</w:t>
      </w:r>
      <w:r w:rsidRPr="00C04B2B">
        <w:noBreakHyphen/>
        <w:t>0257/2023</w:t>
      </w:r>
      <w:r w:rsidR="00360718" w:rsidRPr="00C04B2B">
        <w:t>)</w:t>
      </w:r>
      <w:r w:rsidRPr="00C04B2B">
        <w:rPr>
          <w:rStyle w:val="FootnoteReference"/>
        </w:rPr>
        <w:footnoteReference w:id="2"/>
      </w:r>
      <w:r w:rsidRPr="00C04B2B">
        <w:t>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>so zreteľom na výročnú správu európskeho dozorného úradníka pre ochranu údajov za rok 2022,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>so zreteľom na výročnú správu Dvora audítorov o plnení rozpočtu za rozpočtový rok 2022 spolu s odpoveďami inštitúcií</w:t>
      </w:r>
      <w:r w:rsidRPr="00C04B2B">
        <w:rPr>
          <w:rStyle w:val="FootnoteReference"/>
        </w:rPr>
        <w:footnoteReference w:id="3"/>
      </w:r>
      <w:r w:rsidRPr="00C04B2B">
        <w:t>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>so zreteľom na vyhlásenie o vierohodnosti</w:t>
      </w:r>
      <w:r w:rsidRPr="00C04B2B">
        <w:rPr>
          <w:rStyle w:val="FootnoteReference"/>
        </w:rPr>
        <w:footnoteReference w:id="4"/>
      </w:r>
      <w:r w:rsidRPr="00C04B2B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>so zreteľom na článok 314 ods. 10 a články 317, 318 a 319 Zmluvy o fungovaní Európskej únie,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 xml:space="preserve">so zreteľom na nariadenie Európskeho parlamentu a Rady (EÚ, </w:t>
      </w:r>
      <w:proofErr w:type="spellStart"/>
      <w:r w:rsidRPr="00C04B2B">
        <w:t>Euratom</w:t>
      </w:r>
      <w:proofErr w:type="spellEnd"/>
      <w:r w:rsidRPr="00C04B2B">
        <w:t xml:space="preserve">) 2018/1046 z 18. júla 2018 o rozpočtových pravidlách, ktoré sa vzťahujú na všeobecný rozpočet Únie, o zmene nariadení (EÚ) č. 1296/2013, (EÚ) č. 1301/2013, (EÚ) č. 1303/2013, (EÚ) č. 1304/2013, (EÚ) č. 1309/2013, (EÚ) č. 1316/2013, (EÚ) č. 223/2014, (EÚ) č. 283/2014 a rozhodnutia č. 541/2014/EÚ a o zrušení nariadenia (EÚ, </w:t>
      </w:r>
      <w:proofErr w:type="spellStart"/>
      <w:r w:rsidRPr="00C04B2B">
        <w:t>Euratom</w:t>
      </w:r>
      <w:proofErr w:type="spellEnd"/>
      <w:r w:rsidRPr="00C04B2B">
        <w:t>) č. 966/2012</w:t>
      </w:r>
      <w:r w:rsidRPr="00C04B2B">
        <w:rPr>
          <w:rStyle w:val="FootnoteReference"/>
        </w:rPr>
        <w:footnoteReference w:id="5"/>
      </w:r>
      <w:r w:rsidRPr="00C04B2B">
        <w:t>, a najmä na jeho články 59, 118, 260, 261 a 262,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</w:r>
      <w:r w:rsidRPr="00C04B2B">
        <w:rPr>
          <w:snapToGrid w:val="0"/>
        </w:rPr>
        <w:t xml:space="preserve">so zreteľom na nariadenie Európskeho parlamentu a Rady (EÚ) 2018/1725 </w:t>
      </w:r>
      <w:r w:rsidRPr="00C04B2B">
        <w:rPr>
          <w:snapToGrid w:val="0"/>
        </w:rPr>
        <w:lastRenderedPageBreak/>
        <w:t>z 23. októbra 2018 o ochrane fyzických osôb pri spracúvaní osobných údajov inštitúciami, orgánmi, úradmi a agentúrami Únie a o voľnom pohybe takýchto údajov, ktorým sa zrušuje nariadenie (ES) č. 45/2001 a rozhodnutie č. 1247/2002/ES, a najmä na jeho článok 54,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>so zreteľom na článok 100 a prílohu V k rokovaciemu poriadku,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>so zreteľom na stanovisko Výboru pre občianske slobody, spravodlivosť a vnútorné veci,</w:t>
      </w:r>
    </w:p>
    <w:p w:rsidR="00110F10" w:rsidRPr="00C04B2B" w:rsidRDefault="00110F10" w:rsidP="00110F10">
      <w:pPr>
        <w:pStyle w:val="NormalHanging12a"/>
      </w:pPr>
      <w:r w:rsidRPr="00C04B2B">
        <w:t>–</w:t>
      </w:r>
      <w:r w:rsidRPr="00C04B2B">
        <w:tab/>
        <w:t>so zreteľom na správu Výboru pre kontrolu rozpočtu (A9-0086/2024),</w:t>
      </w:r>
    </w:p>
    <w:p w:rsidR="00110F10" w:rsidRPr="00C04B2B" w:rsidRDefault="00110F10" w:rsidP="00110F10">
      <w:pPr>
        <w:pStyle w:val="NormalHanging12a"/>
      </w:pPr>
      <w:r w:rsidRPr="00C04B2B">
        <w:t>1.</w:t>
      </w:r>
      <w:r w:rsidRPr="00C04B2B">
        <w:tab/>
        <w:t>udeľuje európskemu dozornému úradníkovi pre ochranu údajov absolutórium za plnenie rozpočtu európskeho dozorného úradníka pre ochranu údajov za rozpočtový rok 2022;</w:t>
      </w:r>
    </w:p>
    <w:p w:rsidR="00110F10" w:rsidRPr="00C04B2B" w:rsidRDefault="00110F10" w:rsidP="00110F10">
      <w:pPr>
        <w:pStyle w:val="NormalHanging12a"/>
      </w:pPr>
      <w:r w:rsidRPr="00C04B2B">
        <w:t>2.</w:t>
      </w:r>
      <w:r w:rsidRPr="00C04B2B">
        <w:tab/>
        <w:t>uvádza svoje poznámky v priloženom uznesení;</w:t>
      </w:r>
    </w:p>
    <w:p w:rsidR="00110F10" w:rsidRPr="00C04B2B" w:rsidRDefault="00110F10" w:rsidP="00110F10">
      <w:pPr>
        <w:pStyle w:val="NormalHanging12a"/>
      </w:pPr>
      <w:r w:rsidRPr="00C04B2B">
        <w:t>3.</w:t>
      </w:r>
      <w:r w:rsidRPr="00C04B2B">
        <w:tab/>
        <w:t>poveruje svoju predsedníčku, aby postúpila toto rozhodnutie a uznesenie, ktoré je jeho neoddeliteľnou súčasťou, európskemu dozornému úradníkovi pre ochranu údajov, Európskej rade, Rade, Komisii, Dvoru audítorov, Súdnemu dvoru Európskej únie, európskemu ombudsmanovi a Európskej službe pre vonkajšiu činnosť a aby zabezpečila ich uverejnenie v </w:t>
      </w:r>
      <w:r w:rsidRPr="00C04B2B">
        <w:rPr>
          <w:i/>
        </w:rPr>
        <w:t>Úradnom vestníku Európskej únie</w:t>
      </w:r>
      <w:r w:rsidRPr="00C04B2B">
        <w:t xml:space="preserve"> (v sérii L).</w:t>
      </w:r>
    </w:p>
    <w:p w:rsidR="00110F10" w:rsidRPr="00C04B2B" w:rsidRDefault="00110F10" w:rsidP="00110F10"/>
    <w:p w:rsidR="00110F10" w:rsidRPr="00C04B2B" w:rsidRDefault="00110F10" w:rsidP="00110F10">
      <w:pPr>
        <w:pStyle w:val="PageHeading"/>
        <w:sectPr w:rsidR="00110F10" w:rsidRPr="00C04B2B" w:rsidSect="0090280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10F10" w:rsidRPr="00C04B2B" w:rsidRDefault="00110F10" w:rsidP="00360718">
      <w:pPr>
        <w:pStyle w:val="ATHeading3"/>
      </w:pPr>
      <w:bookmarkStart w:id="9" w:name="_Toc161738569"/>
      <w:r w:rsidRPr="00C04B2B">
        <w:lastRenderedPageBreak/>
        <w:t xml:space="preserve">2. </w:t>
      </w:r>
      <w:bookmarkEnd w:id="9"/>
      <w:r w:rsidR="00360718" w:rsidRPr="00C04B2B">
        <w:t>Uznesenie Európskeho parlamentu z</w:t>
      </w:r>
      <w:r w:rsidR="00F033DE" w:rsidRPr="00C04B2B">
        <w:t> 11</w:t>
      </w:r>
      <w:r w:rsidR="00360718" w:rsidRPr="00C04B2B">
        <w:t xml:space="preserve">. apríla 2024 </w:t>
      </w:r>
      <w:r w:rsidRPr="00C04B2B">
        <w:t xml:space="preserve">s poznámkami, ktoré </w:t>
      </w:r>
      <w:r w:rsidR="00360718" w:rsidRPr="00C04B2B">
        <w:t>je</w:t>
      </w:r>
      <w:r w:rsidRPr="00C04B2B">
        <w:t xml:space="preserve"> neoddeliteľnou súčasťou rozhodnutia o absolutóriu za plnenie všeobecného rozpočtu Európskej únie za rozpočtový rok 2022, oddiel IX – Európsky dozorný úradník pre ochranu údajov</w:t>
      </w:r>
      <w:r w:rsidR="00360718" w:rsidRPr="00C04B2B">
        <w:t xml:space="preserve"> </w:t>
      </w:r>
      <w:r w:rsidRPr="00C04B2B">
        <w:t>(2023/2138(DEC))</w:t>
      </w:r>
    </w:p>
    <w:p w:rsidR="00110F10" w:rsidRPr="00C04B2B" w:rsidRDefault="00110F10" w:rsidP="00110F10">
      <w:pPr>
        <w:pStyle w:val="EPComma"/>
      </w:pPr>
      <w:r w:rsidRPr="00C04B2B">
        <w:rPr>
          <w:i/>
        </w:rPr>
        <w:t>Európsky parlament</w:t>
      </w:r>
      <w:r w:rsidRPr="00C04B2B">
        <w:t>,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–</w:t>
      </w:r>
      <w:r w:rsidRPr="00C04B2B">
        <w:tab/>
        <w:t>so zreteľom na svoje rozhodnutie o absolutóriu za plnenie všeobecného rozpočtu Európskej únie za rozpočtový rok 2022, oddiel IX – Európsky dozorný úradník pre ochranu údajov,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–</w:t>
      </w:r>
      <w:r w:rsidRPr="00C04B2B">
        <w:tab/>
        <w:t>so zreteľom na článok 100 a prílohu V k rokovaciemu poriadku,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–</w:t>
      </w:r>
      <w:r w:rsidRPr="00C04B2B">
        <w:tab/>
        <w:t>so zreteľom na stanovisko Výboru pre občianske slobody, spravodlivosť a vnútorné veci,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–</w:t>
      </w:r>
      <w:r w:rsidRPr="00C04B2B">
        <w:tab/>
        <w:t>so zreteľom na správu Výboru pre kontrolu rozpočtu (A9-0086/2024),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A.</w:t>
      </w:r>
      <w:r w:rsidRPr="00C04B2B">
        <w:tab/>
        <w:t>keďže v súvislosti s postupom udelenia absolutória chce orgán udeľujúci absolutórium podčiarknuť osobitný význam ďalšieho posilňovania demokratickej legitimity inštitúcií Únie zvyšovaním transparentnosti a zodpovednosti a zavedením koncepcie zostavovania rozpočtu na základe výkonnosti a dobrého riadenia ľudských zdrojov;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B.</w:t>
      </w:r>
      <w:r w:rsidRPr="00C04B2B">
        <w:tab/>
        <w:t>keďže ochrana osobných údajov je základným právom chráneným právnymi predpismi EÚ a zakotveným v článku 8 Charty základných práv Európskej únie;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C.</w:t>
      </w:r>
      <w:r w:rsidRPr="00C04B2B">
        <w:tab/>
        <w:t>keďže v článku 16 Zmluvy o fungovaní Európskej únie sa stanovuje, že dodržiavanie pravidiel týkajúcich sa ochrany fyzických osôb, pokiaľ ide o spracúvanie osobných údajov, ktoré sa ich týkajú, podlieha kontrole nezávislého orgánu;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D.</w:t>
      </w:r>
      <w:r w:rsidRPr="00C04B2B">
        <w:tab/>
        <w:t>keďže v nariadení (EÚ) 2018/1725 sa ustanovuje vytvorenie takéhoto nezávislého orgánu, európskeho dozorného úradníka pre ochranu údajov (ďalej len „dozorný úradník“), ktorý je zodpovedný za ochranu a zaručenie práva na ochranu údajov a súkromie a ktorého úlohou je zabezpečiť, aby inštitúcie a orgány, úrady a agentúry Únie prijali prísnu kultúru ochrany údajov;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E.</w:t>
      </w:r>
      <w:r w:rsidRPr="00C04B2B">
        <w:tab/>
        <w:t>keďže dozorný úradník vykonáva svoje funkcie v úzkej spolupráci s ďalšími orgánmi pre ochranu osobných údajov ako súčasť Európskeho výboru pre ochranu údajov (EDPB) a slúži verejným záujmom, pričom sa riadi zásadami nestrannosti, integrity, transparentnosti a vecnosti;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F.</w:t>
      </w:r>
      <w:r w:rsidRPr="00C04B2B">
        <w:tab/>
        <w:t xml:space="preserve">keďže dozorný úradník delegoval do 13. novembra 2022 právomoci povoľujúceho úradníka na riaditeľa a následne na vedúceho administratívy v súlade s listinou úloh a povinností týkajúcich sa rozpočtu a administratívy dozorného úradníka predloženou v súlade s článkom 72 ods. 2 nariadenia Európskeho parlamentu a Rady (EÚ, </w:t>
      </w:r>
      <w:proofErr w:type="spellStart"/>
      <w:r w:rsidRPr="00C04B2B">
        <w:t>Euratom</w:t>
      </w:r>
      <w:proofErr w:type="spellEnd"/>
      <w:r w:rsidRPr="00C04B2B">
        <w:t>) 2018/1046, pričom funkciu účtovníka dozorného úradníka vykonáva účtovník Komisie v súlade s rozhodnutím európskeho dozorného úradníka pre ochranu údajov z 1. marca 2017;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1.</w:t>
      </w:r>
      <w:r w:rsidRPr="00C04B2B">
        <w:tab/>
        <w:t xml:space="preserve">konštatuje, že rozpočet dozorného úradníka patrí do okruhu 7 VFR (Európska verejná správa), ktorý v roku 2022 predstavoval celkovo 11,6 miliardy EUR, t. j. 5,9 % </w:t>
      </w:r>
      <w:r w:rsidRPr="00C04B2B">
        <w:lastRenderedPageBreak/>
        <w:t>rozpočtových výdavkov Únie; konštatuje, že rozpočet dozorného úradníka predstavoval 0,17 % rozpočtových prostriedkov okruhu 7 VFR;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2.</w:t>
      </w:r>
      <w:r w:rsidRPr="00C04B2B">
        <w:tab/>
        <w:t>poznamenáva, že Európsky dvor audítorov (ďalej len „Dvor audítorov“) vo výročnej správe za rozpočtový rok 2022 preskúmal vzorku 60 transakcií v oddiele Administratíva, rovnako ako v roku 2021; ďalej konštatuje, že podľa Dvora audítorov administratívne výdavky zahŕňajú výdavky na ľudské zdroje vrátane dôchodkov, ktoré v roku 2022 predstavovali približne 70 % celkových administratívnych výdavkov, a výdavky na budovy, zariadenie, energie, komunikáciu a informačné technológie a že z jeho dlhoročnej práce možno usudzovať, že tieto výdavky sú celkovo nízkorizikové;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3.</w:t>
      </w:r>
      <w:r w:rsidRPr="00C04B2B">
        <w:tab/>
        <w:t xml:space="preserve">konštatuje, že Dvor audítorov preskúmal v rámci auditu za rok 2022 systémy dohľadu a kontroly dozorného úradníka, najmä vykonávanie noriem vnútornej kontroly, riadenie rizík a fungovanie kľúčových kontrol stanovených v nariadení o rozpočtových pravidlách, a vykonal aj </w:t>
      </w:r>
      <w:r w:rsidRPr="00C04B2B">
        <w:rPr>
          <w:i/>
        </w:rPr>
        <w:t xml:space="preserve">ex </w:t>
      </w:r>
      <w:proofErr w:type="spellStart"/>
      <w:r w:rsidRPr="00C04B2B">
        <w:rPr>
          <w:i/>
        </w:rPr>
        <w:t>ante</w:t>
      </w:r>
      <w:proofErr w:type="spellEnd"/>
      <w:r w:rsidRPr="00C04B2B">
        <w:t xml:space="preserve"> a </w:t>
      </w:r>
      <w:r w:rsidRPr="00C04B2B">
        <w:rPr>
          <w:i/>
        </w:rPr>
        <w:t>ex post</w:t>
      </w:r>
      <w:r w:rsidRPr="00C04B2B">
        <w:t xml:space="preserve"> kontroly platieb;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4.</w:t>
      </w:r>
      <w:r w:rsidRPr="00C04B2B">
        <w:tab/>
        <w:t>konštatuje, že 14 zo 60 (23 %) operácií obsahovalo chyby, ale že Dvor audítorov na základe piatich vyčíslených chýb odhaduje, že chybovosť bola pod prahom významnosti;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5.</w:t>
      </w:r>
      <w:r w:rsidRPr="00C04B2B">
        <w:tab/>
        <w:t>s uspokojením konštatuje, že Dvor audítorov vo výročnej správe za rozpočtový rok 2022 uvádza, že nezistil žiadne konkrétne problémy týkajúce sa dozorného úradníka;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r w:rsidRPr="00C04B2B">
        <w:rPr>
          <w:b/>
          <w:i/>
        </w:rPr>
        <w:t>Rozpočtové a finančné riadenie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6.</w:t>
      </w:r>
      <w:r w:rsidRPr="00C04B2B">
        <w:tab/>
        <w:t>keďže konečný schválený rozpočet dozorného úradníka v roku 2022 bol 20 266 000 EUR, čo v porovnaní s rokom 2021 predstavovalo zvýšenie o 4,12 %; konštatuje, že dozorný úradník dostal pripísané príjmy vo výške 50 000 EUR v súvislosti so službami poskytovanými dozornému orgánu EZVO na základe dohody o úrovni poskytovaných služieb; konštatuje, že rozpočet dozorného úradníka sa vzťahuje aj na činnosť nezávislého sekretariátu Európskeho výboru pre ochranu údajov (ďalej len „výbor“);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7.</w:t>
      </w:r>
      <w:r w:rsidRPr="00C04B2B">
        <w:tab/>
        <w:t>s uspokojením konštatuje, že v roku 2022 bola miera plnenia rozpočtu 98 %, čo je viac ako v predchádzajúcom roku, keď dosahovala 86 %;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8.</w:t>
      </w:r>
      <w:r w:rsidRPr="00C04B2B">
        <w:tab/>
        <w:t>konštatuje, že útočná vojna Ruska proti Ukrajine vytvorila tlak na rozpočet dozorného úradníka, a to aj v podobe rastúcej inflácie a úpravy platov, a výrazne zvýšila náklady na energie a ceny výrobkov a služieb nadobúdaných na základe verejného obstarávania a dohôd o úrovni poskytovaných služieb s inými inštitúciami; víta vnútorné prerozdeľovanie prostriedkov v rámci rozpočtových kapitol vykonané v priebehu roka 2022 s cieľom optimalizovať plnenie rozpočtu;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9.</w:t>
      </w:r>
      <w:r w:rsidRPr="00C04B2B">
        <w:tab/>
        <w:t>konštatuje, že v roku 2022 bol priemerný čas na realizáciu platby 21,54 dňa, čo je nárast v porovnaní s rokom 2021, keď sa platby realizovali v priemere za 19,98 dňa; víta zavedenie nového systému elektronických platieb na spracovanie faktúr súvisiacich s nákladmi na služobné cesty, ktoré vopred uhradila cestovná kancelária, od ktorého sa očakáva, že keď bude plne funkčný, pomôže skrátiť čas potrebný na realizáciu platieb; vyzýva dozorného úradníka, aby zvážil možnosť rozšírenia tohto systému aj na ďalšie druhy platieb;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10.</w:t>
      </w:r>
      <w:r w:rsidRPr="00C04B2B">
        <w:tab/>
        <w:t xml:space="preserve">konštatuje, že rozpočet dozorného úradníka na služobné cesty zamestnancov sa </w:t>
      </w:r>
      <w:r w:rsidRPr="00C04B2B">
        <w:lastRenderedPageBreak/>
        <w:t xml:space="preserve">po obnovení cestovania po pandémii </w:t>
      </w:r>
      <w:r w:rsidR="00360718" w:rsidRPr="00C04B2B">
        <w:t xml:space="preserve">ochorenia </w:t>
      </w:r>
      <w:r w:rsidRPr="00C04B2B">
        <w:t>COVID-19 zvýšil v období 2021 až 2022 zo 41 000 EUR na 251 000 EUR, t. j. o 512 %; ďalej konštatuje, že v rámci tohto celkového rozpočtu mal dozorný úradník v roku 2022 rozpočet na služobné cesty osoby dozorného úradníka vo výške 33 000 EUR, čo predstavuje zvýšenie o 560 % v porovnaní s rozpočtom v roku 2021, keď to bolo 5 000 EUR; konštatuje, že zvýšenie inflácie a výrazné zvýšenie cien energie v roku 2022 v súvislosti s útočnou vojnou Ruska proti Ukrajine mali nepriaznivý vplyv na letenky a náklady na hotely a viedli k zvýšeniu nákladov na služobné cesty;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r w:rsidRPr="00C04B2B">
        <w:rPr>
          <w:b/>
          <w:i/>
        </w:rPr>
        <w:t>Vnútorné riadenie, výkonnosť a vnútorná kontrola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11.</w:t>
      </w:r>
      <w:r w:rsidRPr="00C04B2B">
        <w:tab/>
        <w:t>konštatuje, že v roku 2022 preskúmal dozorný úradník svoju stratégiu na roky 2020 – 2024 v polovici trvania, pričom sa zameral na tri piliere (výhľad, opatrenia a solidarita), a stanovil si novú víziu a priority na obdobie 2022 – 2024 s cieľom „vytvoriť bezpečnejšiu digitálnu budúcnosť“;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12.</w:t>
      </w:r>
      <w:r w:rsidRPr="00C04B2B">
        <w:tab/>
        <w:t>uznáva významné organizačné zmeny a príslušnú revíziu rokovacieho poriadku, ktoré dozorný úradník vykonal v roku 2022 s cieľom podporiť vývoj svojich úloh a zefektívniť procesy s ohľadom na rýchlo sa meniace medzinárodné prostredie; konštatuje najmä, že v rámci týchto zmien vytvoril dozorný úradník novú funkciu vedúceho sekretariátu dozorného úradníka na úrovni generálneho tajomníka, špecializované oddelenie právnej služby, úsek riadenia a vnútorného súladu, dva nové operačné úseky v oddelení dohľadu a presadzovania, nový finančný úsek v oddelení ľudských zdrojov, oddelenie pre rozpočet a administratívu a zastúpenie v Štrasburgu;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13.</w:t>
      </w:r>
      <w:r w:rsidRPr="00C04B2B">
        <w:tab/>
        <w:t>konštatuje, že nadobudnutím účinnosti nariadenia Európskeho parlamentu a Rady (EÚ) 2022/991</w:t>
      </w:r>
      <w:r w:rsidRPr="00C04B2B">
        <w:rPr>
          <w:szCs w:val="24"/>
          <w:vertAlign w:val="superscript"/>
        </w:rPr>
        <w:footnoteReference w:id="6"/>
      </w:r>
      <w:r w:rsidRPr="00C04B2B">
        <w:t>, ktorým sa mení nariadenie Európskeho parlamentu a Rady (EÚ) 2016/794</w:t>
      </w:r>
      <w:r w:rsidRPr="00C04B2B">
        <w:rPr>
          <w:szCs w:val="24"/>
          <w:vertAlign w:val="superscript"/>
        </w:rPr>
        <w:footnoteReference w:id="7"/>
      </w:r>
      <w:r w:rsidRPr="00C04B2B">
        <w:t xml:space="preserve"> o zriadení </w:t>
      </w:r>
      <w:proofErr w:type="spellStart"/>
      <w:r w:rsidRPr="00C04B2B">
        <w:t>Europolu</w:t>
      </w:r>
      <w:proofErr w:type="spellEnd"/>
      <w:r w:rsidRPr="00C04B2B">
        <w:t xml:space="preserve">, 28. júna 2022, sa skutočne posilnili funkcie dohľadu dozorného úradníka v súvislosti s operačnými osobnými údajmi spracúvanými </w:t>
      </w:r>
      <w:proofErr w:type="spellStart"/>
      <w:r w:rsidRPr="00C04B2B">
        <w:t>Europolom</w:t>
      </w:r>
      <w:proofErr w:type="spellEnd"/>
      <w:r w:rsidRPr="00C04B2B">
        <w:t xml:space="preserve"> v rámci jeho mandátu; konštatuje, že cieľom organizačných zmien zavedených v roku 2022, najmä vytvorenia nového pododvetvia v oddelení dohľadu a presadzovania so špecializovanými zamestnancami, bolo najmä zohľadniť osobitné právomoci dozorného úradníka v súvislosti s dohľadom nad agentúrami v priestore slobody, bezpečnosti a spravodlivosti, pričom sa prihliadlo aj na nové právomoci dozorného úradníka v oblasti dohľadu vo vzťahu k </w:t>
      </w:r>
      <w:proofErr w:type="spellStart"/>
      <w:r w:rsidRPr="00C04B2B">
        <w:t>Europolu</w:t>
      </w:r>
      <w:proofErr w:type="spellEnd"/>
      <w:r w:rsidRPr="00C04B2B">
        <w:t>; vyzýva dozorného úradníka, aby informoval orgán udeľujúci absolutórium o každom ďalšom rozšírení svojho mandátu a vplyve na zdroje;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14.</w:t>
      </w:r>
      <w:r w:rsidRPr="00C04B2B">
        <w:tab/>
        <w:t xml:space="preserve">konštatuje, že ako súčasť zmien vykonaných v roku 2022 sa dozorný úradník usiloval o zefektívnenie svojich vnútorných postupov s cieľom dôslednejšie viesť vyšetrovania a presunúť špecializovaných zamestnancov; konštatuje, že vyšetrovanie sťažností v súvislosti s presadzovaním práva, napr. sťažností na odpovede </w:t>
      </w:r>
      <w:proofErr w:type="spellStart"/>
      <w:r w:rsidRPr="00C04B2B">
        <w:t>Europolu</w:t>
      </w:r>
      <w:proofErr w:type="spellEnd"/>
      <w:r w:rsidRPr="00C04B2B">
        <w:t xml:space="preserve"> na žiadosti občanov o prístup k údajom, je často veľmi zložité a vzhľadom na zapojenie viacerých </w:t>
      </w:r>
      <w:r w:rsidRPr="00C04B2B">
        <w:lastRenderedPageBreak/>
        <w:t>zainteresovaných strán do tohto procesu trvá v priemere dlhšie ako vyšetrovanie iných sťažností;</w:t>
      </w:r>
    </w:p>
    <w:p w:rsidR="00110F10" w:rsidRPr="00C04B2B" w:rsidRDefault="00110F10" w:rsidP="00110F10">
      <w:pPr>
        <w:pStyle w:val="NormalHanging12a"/>
      </w:pPr>
      <w:r w:rsidRPr="00C04B2B">
        <w:t>15.</w:t>
      </w:r>
      <w:r w:rsidRPr="00C04B2B">
        <w:tab/>
        <w:t xml:space="preserve">konštatuje, že dozornému úradníkovi bolo v roku 2022 doručených 367 sťažností, čo je o 47 viac ako v roku 2021, z čoho 65 bolo prípustných a 302 neprípustných, a ďalších 129 prípustných sťažností bolo v roku 2022 v štádiu riešenia; víta úsilie dozorného úradníka znížiť vysoký počet neprípustných sťažností, ktorý sa od roku 2019 zdvojnásobil a vyžaduje si tak viac zdrojov na ich riešenie; konštatuje, že dozorný úradník vydal konečné rozhodnutie, stanovisko alebo odpoveď v 23 zo 65 prípadov sťažností prijatých v roku 2022 v priemere do 42 dní; ďalej konštatuje, že sťažnosti týkajúce sa odpovedí </w:t>
      </w:r>
      <w:proofErr w:type="spellStart"/>
      <w:r w:rsidRPr="00C04B2B">
        <w:t>Europolu</w:t>
      </w:r>
      <w:proofErr w:type="spellEnd"/>
      <w:r w:rsidRPr="00C04B2B">
        <w:t xml:space="preserve"> na žiadosti občanov o prístup k údajom sa podarilo vyriešiť v priemere od piatich do 12 mesiacov; konštatuje, že dozorný úradník nepretržite prehodnocuje svoje postupy a v prípade potreby zavádza zlepšenia na základe získaných poznatkov z minulosti s cieľom ešte väčšmi zefektívniť vybavovanie sťažností v záujme ich rýchlejšieho riešenia napriek obmedzeniam zdrojov;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16.</w:t>
      </w:r>
      <w:r w:rsidRPr="00C04B2B">
        <w:tab/>
        <w:t xml:space="preserve">konštatuje, že v roku 2022 vykonal dozorný úradník dve predbežné vyšetrovania podozrení z možného porušenia pravidiel ochrany údajov inštitúciou Únie a pokračoval v troch prebiehajúcich formálnych vyšetrovaniach vo forme auditov ochrany údajov, z ktorých jedno bolo ukončené v apríli 2022; ďalej konštatuje, že dozorný úradník začal aj štyri vyšetrovania vo forme auditov ochrany údajov na základe sťažností týkajúcich sa webových sídiel určitých inštitúcií, orgánov, úradov a agentúr Únie a jedno vyšetrovanie v oblasti priestoru slobody, bezpečnosti a spravodlivosti a pokračoval vo vyšetrovaniach, ktoré začal v predchádzajúcich rokoch; konštatuje, že audit v </w:t>
      </w:r>
      <w:proofErr w:type="spellStart"/>
      <w:r w:rsidRPr="00C04B2B">
        <w:t>Europole</w:t>
      </w:r>
      <w:proofErr w:type="spellEnd"/>
      <w:r w:rsidRPr="00C04B2B">
        <w:t xml:space="preserve"> vykonaný dozorným úradníkom v oblasti spracúvania osobných údajov maloletých osôb do veku 15 rokov označených ako podozrivé osoby, ktoré </w:t>
      </w:r>
      <w:proofErr w:type="spellStart"/>
      <w:r w:rsidRPr="00C04B2B">
        <w:t>Europolu</w:t>
      </w:r>
      <w:proofErr w:type="spellEnd"/>
      <w:r w:rsidRPr="00C04B2B">
        <w:t xml:space="preserve"> poskytli tretie krajiny a medzinárodné organizácie, skončil v septembri 2023 po takmer 10-mesačnom vyšetrovaní a po tom, ako túto tému pôvodne nastolil dozorný úradník v odporúčaniach adresovaných </w:t>
      </w:r>
      <w:proofErr w:type="spellStart"/>
      <w:r w:rsidRPr="00C04B2B">
        <w:t>Europolu</w:t>
      </w:r>
      <w:proofErr w:type="spellEnd"/>
      <w:r w:rsidRPr="00C04B2B">
        <w:t xml:space="preserve"> v decembri 2018 týkajúcich sa spracúvania citlivých údajov;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17.</w:t>
      </w:r>
      <w:r w:rsidRPr="00C04B2B">
        <w:tab/>
        <w:t>vyzýva dozorného úradníka, aby zlepšil postup a prioritne riešil zaobchádzanie s osobnými údajmi týkajúcimi sa maloletých osôb do 15 rokov, keďže ide o zraniteľné skupiny, ktoré potrebujú zvýšenú ochranu, a preto si vyžadujú prednostné postavenie;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18.</w:t>
      </w:r>
      <w:r w:rsidRPr="00C04B2B">
        <w:tab/>
        <w:t xml:space="preserve">konštatuje, že 16. septembra 2022 podal dozorný úradník žalobu na Súdny dvor Európskej únie o neplatnosť dvoch ustanovení zmeneného nariadenia o </w:t>
      </w:r>
      <w:proofErr w:type="spellStart"/>
      <w:r w:rsidRPr="00C04B2B">
        <w:t>Europole</w:t>
      </w:r>
      <w:proofErr w:type="spellEnd"/>
      <w:r w:rsidRPr="00C04B2B">
        <w:t>, ktorú Súdny dvor neskôr zamietol; zdôrazňuje, že to, že sa dozorný úradník v rámci svojej funkcie dohľadu obracia v dôležitých právnych otázkach na Súdny dvor, by sa nemalo považovať za prekážku lojálnej spolupráce a dobrých vzťahov medzi dozorným úradníkom a subjektmi, nad ktorými vykonáva dohľad;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19.</w:t>
      </w:r>
      <w:r w:rsidRPr="00C04B2B">
        <w:tab/>
        <w:t>s uspokojením konštatuje, že dozorný úradník vypracoval koncom roka 2022 nový rámec riadenia rizík, čím posilnil svoj rámec vnútornej kontroly a začlenil analýzu rizík do svojho ročného plánovania, v ktorom by sa mali každoročne určovať vstupy pre priority dozorného úradníka;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20.</w:t>
      </w:r>
      <w:r w:rsidRPr="00C04B2B">
        <w:tab/>
        <w:t xml:space="preserve">oceňuje dôležitú úlohu konzultácií s dozorným úradníkom a jeho poradenstva v legislatívnom procese; konštatuje, že v reakcii na žiadosti o legislatívne konzultácie poskytol dozorný úradník v roku 2022 poradenstvo Komisii a </w:t>
      </w:r>
      <w:proofErr w:type="spellStart"/>
      <w:r w:rsidRPr="00C04B2B">
        <w:t>spoluzákonodarcom</w:t>
      </w:r>
      <w:proofErr w:type="spellEnd"/>
      <w:r w:rsidRPr="00C04B2B">
        <w:t xml:space="preserve"> vo forme 27 stanovísk (12 v roku 2021), 49 formálnych pripomienok (76 v roku 2021) a 30 neformálnych pripomienok (29 v roku 2021);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lastRenderedPageBreak/>
        <w:t>21.</w:t>
      </w:r>
      <w:r w:rsidRPr="00C04B2B">
        <w:tab/>
        <w:t>naliehavo vyzýva dozorného úradníka, aby preskúmal svoj rokovací poriadok, pokiaľ ide o zabezpečenie a včasné preskúmanie sťažností občanov, pričom zohľadní všetky relevantné informácie, a aby informoval orgán udeľujúci absolutórium o pokroku dosiahnutom v tejto oblasti;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r w:rsidRPr="00C04B2B">
        <w:rPr>
          <w:b/>
          <w:i/>
        </w:rPr>
        <w:t>Ľudské zdroje, rovnosť a dobré pracovné podmienky zamestnancov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22.</w:t>
      </w:r>
      <w:r w:rsidRPr="00C04B2B">
        <w:tab/>
        <w:t>konštatuje, že ku koncu roka 2022 zamestnával dozorný úradník 127 zamestnancov v porovnaní so 124 zamestnancami ku koncu roka 2021 a 114 o rok predtým; konštatuje, že dozorný úradník zamestnával 52 zmluvných zamestnancov podľa článku 3 písm. b) služobného poriadku a šesť dočasných zamestnancov podľa článku 2 písm. b) a c); ďalej konštatuje, že dozorný úradník zamestnával v roku 2022 osem externých poskytovateľov služieb pracujúcich na mieste; vyzýva dozorného úradníka, aby informoval orgán udeľujúci absolutórium o zavedených opatreniach, ktoré majú zabezpečiť, aby sa prístup externých poskytovateľov služieb k informáciám riadil v súlade s úrovňou dôvernosti príslušných záležitostí;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23.</w:t>
      </w:r>
      <w:r w:rsidRPr="00C04B2B">
        <w:tab/>
        <w:t>domnieva sa, že vzhľadom na zvýšenie pracovného zaťaženia v dôsledku nových úloh a povinností pridelených dozornému úradníkovi, ako aj na mnohé ďalšie legislatívne konzultácie a súbory údajov, ktoré treba monitorovať, by dozorný úradník potreboval primerané zvýšenie počtu zamestnancov, aby sa zachovali efektívne pracovné postupy s primeraným časom odozvy; nabáda dozorného úradníka, aby svojim zamestnancom poskytoval trvalé pracovné zmluvy s cieľom zaručiť kontinuitu činností a istotu práce;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24.</w:t>
      </w:r>
      <w:r w:rsidRPr="00C04B2B">
        <w:tab/>
        <w:t>konštatuje, že miera obsadenosti plánu pracovných miest dosahovala ku koncu roka 2022 86,9 %; vyjadruje poľutovanie nad tým, že miera obsadenosti plánu pracovných miest bola nižšia ako cieľ na rok 2022; berie na vedomie nedostatok kvalifikovaných odborníkov; nabáda dozorného úradníka, aby preskúmal užitočné stratégie na zvýšenie viditeľnosti voľných pracovných miest; konštatuje, že dozorný úradník zorganizoval v roku 2022 externé výberové konanie na vytvorenie rezervného zoznamu špecializovaných uchádzačov s ohľadom na potreby prijímania zamestnancov od roku 2022;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25.</w:t>
      </w:r>
      <w:r w:rsidRPr="00C04B2B">
        <w:tab/>
        <w:t xml:space="preserve">konštatuje, že vzhľadom na ponaučenia z pandémie </w:t>
      </w:r>
      <w:r w:rsidR="00360718" w:rsidRPr="00C04B2B">
        <w:t xml:space="preserve">ochorenia </w:t>
      </w:r>
      <w:r w:rsidRPr="00C04B2B">
        <w:t xml:space="preserve">COVID-19 prijal dozorný úradník v máji 2022 nové rozhodnutie o pracovnom čase a hybridnej práci, podľa ktorého môžu zamestnanci až tri dni v týždni variabilne meniť svoj pracovný čas v závislosti od režimu pružného pracovného času a </w:t>
      </w:r>
      <w:proofErr w:type="spellStart"/>
      <w:r w:rsidRPr="00C04B2B">
        <w:t>telepráce</w:t>
      </w:r>
      <w:proofErr w:type="spellEnd"/>
      <w:r w:rsidRPr="00C04B2B">
        <w:t>; víta výsledky prieskumu medzi zamestnancami uskutočneného po prijatí tohto rozhodnutia, z ktorého vyplynulo, že väčšina zamestnancov je spokojná s novými pracovnými podmienkami;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r w:rsidRPr="00C04B2B">
        <w:t>26.</w:t>
      </w:r>
      <w:r w:rsidRPr="00C04B2B">
        <w:tab/>
        <w:t>blahoželá dozornému úradníkovi, že medzi jeho zamestnancami bolo v roku 2022 zastúpených 22 národností, čo predstavuje zlepšenie v porovnaní s 21 národnosťami v roku 2021 a napriek nadmernému zastúpeniu piatich národností ide o dobrý výsledok pre takúto malú inštitúciu; vyzýva dozorného úradníka, aby sa usiloval o dosiahnutie spravodlivejšieho geografického zastúpenia medzi všetkými členskými štátmi, pričom bude osobitnú pozornosť venovať riešeniu nedostatočného zastúpenia niektorých krajín;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27.</w:t>
      </w:r>
      <w:r w:rsidRPr="00C04B2B">
        <w:tab/>
        <w:t xml:space="preserve">konštatuje, že v roku 2022 zamestnával dozorný úradník 64 % žien a 36 % mužov, t. j. pokračoval trend z predchádzajúcich rokov, keď bolo rozdelenie medzi ženami a mužmi 63 % – 37 %; vyjadruje poľutovanie nad tým, že v roku 2022 neboli na vyšších riadiacich pozíciách žiadne ženy, zatiaľ čo na štyroch stredných riadiacich pozíciách sa </w:t>
      </w:r>
      <w:r w:rsidRPr="00C04B2B">
        <w:lastRenderedPageBreak/>
        <w:t>počas roka podarilo dosiahnuť vyvážené rodové zastúpenie; vyzýva dozorného úradníka, aby pokračoval vo svojom úsilí dosiahnuť rodovo vyvážené zastúpenie zamestnancov;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28.</w:t>
      </w:r>
      <w:r w:rsidRPr="00C04B2B">
        <w:tab/>
        <w:t>s uspokojením konštatuje, že v roku 2022 neboli nahlásené žiadne prípady vyhorenia alebo obťažovania medzi zamestnancami; víta, že dozorný úradník zriadil pracovnú skupinu na prediskutovanie otázok súvisiacich s distribúciou a prideľovaním práce v nadväznosti na výsledky prieskumu spokojnosti zamestnancov, ktorý sa uskutočňuje raz za dva roky (najnovšie v júni 2022), podľa ktorých sa niektorí zamestnanci dozorného úradníka domnievajú, že pracovné zaťaženie nie je rovnomerne ani správne rozdelené medzi tímy a kolegov; žiada dozorného úradníka, aby informoval orgán udeľujúci absolutórium o výsledkoch diskusií pracovnej skupiny a o podrobnostiach pripravovaného akčného plánu;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29.</w:t>
      </w:r>
      <w:r w:rsidRPr="00C04B2B">
        <w:tab/>
        <w:t>víta pokračujúce úsilie dozorného úradníka o aktívne zlepšovanie fyzickej a duševnej pohody svojich zamestnancov;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30.</w:t>
      </w:r>
      <w:r w:rsidRPr="00C04B2B">
        <w:tab/>
        <w:t>s uspokojením konštatuje, že dozorný úradník prijal v roku 2022 18 stážistov, ktorí boli rovnako odmeňovaní a mali rovnaké pracovné podmienky ako ostatní zamestnanci;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r w:rsidRPr="00C04B2B">
        <w:rPr>
          <w:b/>
          <w:i/>
        </w:rPr>
        <w:t>Etický rámec a transparentnosť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31.</w:t>
      </w:r>
      <w:r w:rsidRPr="00C04B2B">
        <w:tab/>
        <w:t>konštatuje, že dozorný úradník sa v roku 2022 zameral na zvýšenie informovanosti zamestnancov o etickom rámci dozorného úradníka/Európskeho výboru pre ochranu údajov organizovaním povinných špecializovaných školení pre všetkých zamestnancov a úvodných školení pre nových pracovníkov dozorného úradníka/Európskeho výboru pre ochranu údajov; nabáda dozorného úradníka, aby naďalej zvyšoval informovanosť a organizoval prieskumy s cieľom posúdiť úroveň informovanosti zamestnancov o etickom rámci dozorného úradníka/Európskeho výboru pre ochranu údajov;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32.</w:t>
      </w:r>
      <w:r w:rsidRPr="00C04B2B">
        <w:tab/>
        <w:t>víta celkovo vysokú úroveň transparentnosti, ktorú dozorný úradník dosiahol v súvislosti so svojimi činnosťami, najmä pokiaľ ide o uverejňovanie programu a vyhlásenia o svojich záujmoch a záujmoch vedúceho administratívy v súlade s kódexom správania dozorného úradníka z roku 2019; vyjadruje poľutovanie nad tým, že dozorný úradník sa rozhodol uplatňovať kódex správania pre dozorného úradníka aj na vedúceho administratívy namiesto prijatia osobitného kódexu správania pre pozície vyššieho manažmentu;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33.</w:t>
      </w:r>
      <w:r w:rsidRPr="00C04B2B">
        <w:tab/>
        <w:t>s uspokojením konštatuje, že dozorného úradníka sa od jeho zriadenia nikdy netýkalo žiadne vyšetrovanie Európskeho úradu pre boj proti podvodom (OLAF);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34.</w:t>
      </w:r>
      <w:r w:rsidRPr="00C04B2B">
        <w:tab/>
        <w:t>s uspokojením konštatuje, že dve vyšetrovania, ktoré ombudsmanka začala v roku 2022 v súvislosti s dozorným úradníkom, boli uzavreté bez toho, aby bol zistený nesprávny úradný postup;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r w:rsidRPr="00C04B2B">
        <w:t>35.</w:t>
      </w:r>
      <w:r w:rsidRPr="00C04B2B">
        <w:tab/>
        <w:t xml:space="preserve">vyjadruje poľutovanie nad tým, že dozorný úradník sa doposiaľ formálne nezapojil do registra transparentnosti; víta však zosúladenie pravidiel transparentnosti dozorného úradníka so zásadami registra transparentnosti, pokiaľ ide o povinné predbežné kontroly stretnutí tretích strán s dozorným úradníkom a vedúcim jeho administratívy; zdôrazňuje, že transparentnosť by sa mohla lepšie zachovať, ak by sa aktívne zapísal do registra transparentnosti; opätovne vyzýva dozorného úradníka, aby sa zapojil do registra </w:t>
      </w:r>
      <w:r w:rsidRPr="00C04B2B">
        <w:lastRenderedPageBreak/>
        <w:t>transparentnosti EÚ;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36.</w:t>
      </w:r>
      <w:r w:rsidRPr="00C04B2B">
        <w:tab/>
        <w:t>konštatuje, že dozorný úradník zaviedol rámec na predchádzanie konfliktom záujmov na úrovni vyššieho manažmentu a zamestnancov založený na kódexoch správania, zvyšovaní informovanosti a poskytovaní vyhlásení; s uspokojením konštatuje, že v roku 2022 neboli odhalené žiadne prípady konfliktu záujmov;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37.</w:t>
      </w:r>
      <w:r w:rsidRPr="00C04B2B">
        <w:tab/>
        <w:t>konštatuje, že dozorný úradník má zavedené vnútorné pravidlá pre oznamovanie protispoločenskej činnosti, ktoré určujú bezpečné cesty a kanály, ktorými môžu zamestnanci upozorniť na podozrenia z podvodu, korupcie alebo akéhokoľvek iného závažného protiprávneho konania bez odhalenia totožnosti oznamovateľa a oznamovaných informácií; konštatuje, že v roku 2022 neboli nahlásené žiadne prípady protispoločenskej činnosti;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r w:rsidRPr="00C04B2B">
        <w:rPr>
          <w:b/>
          <w:i/>
        </w:rPr>
        <w:t>Digitalizácia, kybernetická bezpečnosť a ochrana údajov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38.</w:t>
      </w:r>
      <w:r w:rsidRPr="00C04B2B">
        <w:tab/>
        <w:t>konštatuje, že rozpočet na IT vybavenie a projekty bol v roku 2022 o 21 % vyšší v porovnaní s rokom 2021; konštatuje, že tieto informácie treba brať v tom kontexte, že aj rozpočet na IT v roku 2021 bol o 20 % vyšší ako v roku 2020;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39.</w:t>
      </w:r>
      <w:r w:rsidRPr="00C04B2B">
        <w:tab/>
        <w:t>konštatuje, že dozorný úradník preskúmal v roku 2022 stratégie viacerých inštitúcií EÚ v oblasti IT v rámci rozsiahlej štúdie uskutočniteľnosti v oblasti IT, ktorá slúžila ako základ pre vymedzenie stratégie dozorného úradníka v oblasti IT na nadchádzajúce roky; vyzýva dozorného úradníka, aby informoval orgán udeľujúci absolutórium o výsledku analýzy a jej vplyve na zdroje;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40.</w:t>
      </w:r>
      <w:r w:rsidRPr="00C04B2B">
        <w:tab/>
        <w:t xml:space="preserve">konštatuje, že </w:t>
      </w:r>
      <w:r w:rsidR="00360718" w:rsidRPr="00C04B2B">
        <w:t>Európsky p</w:t>
      </w:r>
      <w:r w:rsidRPr="00C04B2B">
        <w:t xml:space="preserve">arlament poskytuje dozornému úradníkovi ako svojmu poskytovateľovi služieb na úrovni organizácie vybavenie a služby v oblasti IT; víta úsilie dozorného úradníka neustále zlepšovať účinnosť a bezpečnosť svojho digitálneho pracovného priestoru nad rámec toho, čo poskytuje </w:t>
      </w:r>
      <w:r w:rsidR="00360718" w:rsidRPr="00C04B2B">
        <w:t>Európsky p</w:t>
      </w:r>
      <w:r w:rsidRPr="00C04B2B">
        <w:t>arlament; konštatuje, že to zahŕňa zvyšovanie kvality a výkonnosti počítačov poskytovaných zamestnancom dozorného úradníka v spolupráci s</w:t>
      </w:r>
      <w:r w:rsidR="00360718" w:rsidRPr="00C04B2B">
        <w:t> Európskym p</w:t>
      </w:r>
      <w:r w:rsidRPr="00C04B2B">
        <w:t>arlamentom s ohľadom na stále častejšie využívanie hybridnej práce;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41.</w:t>
      </w:r>
      <w:r w:rsidRPr="00C04B2B">
        <w:tab/>
        <w:t>uznáva vedúcu úlohu dozorného úradníka pri zvyšovaní pripravenosti európskych inštitúcií v oblasti kybernetickej bezpečnosti; konštatuje, že dozorný úradník v roku 2022 aj naďalej zvyšoval svoju pripravenosť chrániť osobné údaje a citlivé informácie pred kybernetickými útokmi s ohľadom na rýchly vývoj hrozieb v oblasti kybernetickej bezpečnosti; blahoželá dozornému úradníkovi za to, že v záujme všetkých inštitúcií preskúmal svoje bezpečnostné politiky a metodiky a prispôsobil zmluvné požiadavky v oblasti kybernetickej bezpečnosti usmerneniam CERT-EU pred nadobudnutím účinnosti aktu EÚ o kybernetickej bezpečnosti; konštatuje, že dozorný úradník nebol v roku 2022 vystavený žiadnemu kybernetickému útoku;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42.</w:t>
      </w:r>
      <w:r w:rsidRPr="00C04B2B">
        <w:tab/>
        <w:t>konštatuje, že dozorný úradník testuje a vyvíja inovatívne riešenia v oblasti IT s otvoreným zdrojovým kódom, ktoré rešpektujú súkromie; domnieva sa, že dozorný úradník by sa o tieto skúsenosti mal podeliť s ostatnými inštitúciami EÚ;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43.</w:t>
      </w:r>
      <w:r w:rsidRPr="00C04B2B">
        <w:tab/>
        <w:t xml:space="preserve">víta následné opatrenia dozorného úradníka v súvislosti s rozsudkom vo veci </w:t>
      </w:r>
      <w:proofErr w:type="spellStart"/>
      <w:r w:rsidRPr="00C04B2B">
        <w:t>Schrems</w:t>
      </w:r>
      <w:proofErr w:type="spellEnd"/>
      <w:r w:rsidRPr="00C04B2B">
        <w:t xml:space="preserve"> II, ktoré sa v roku 2022 zamerali najmä na zmluvy inštitúcií EÚ so súkromnými subjektmi, najmä veľkými poskytovateľmi IKT, a na dohody medzi inštitúciami EÚ a </w:t>
      </w:r>
      <w:r w:rsidRPr="00C04B2B">
        <w:lastRenderedPageBreak/>
        <w:t>verejnými orgánmi mimo EÚ/EHP alebo medzinárodnými organizáciami;</w:t>
      </w:r>
    </w:p>
    <w:p w:rsidR="00110F10" w:rsidRPr="00C04B2B" w:rsidRDefault="00110F10" w:rsidP="00110F10">
      <w:pPr>
        <w:pStyle w:val="NormalHanging12a"/>
        <w:ind w:left="0" w:firstLine="0"/>
        <w:rPr>
          <w:b/>
          <w:i/>
          <w:szCs w:val="24"/>
        </w:rPr>
      </w:pPr>
      <w:r w:rsidRPr="00C04B2B">
        <w:rPr>
          <w:b/>
          <w:i/>
        </w:rPr>
        <w:t>Budovy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44.</w:t>
      </w:r>
      <w:r w:rsidRPr="00C04B2B">
        <w:tab/>
        <w:t xml:space="preserve">konštatuje, že po odsťahovaní ombudsmanky koncom roka 2021 boli dozorný úradník a EDPB v roku 2022 jedinými nájomcami príslušnej budovy </w:t>
      </w:r>
      <w:r w:rsidR="00360718" w:rsidRPr="00C04B2B">
        <w:t>Európskeho p</w:t>
      </w:r>
      <w:r w:rsidRPr="00C04B2B">
        <w:t xml:space="preserve">arlamentu; konštatuje, že po odsťahovaní ombudsmanky boli tri poschodia budovy plne renovované, aby sa tam mohli nasťahovať zamestnanci dozorného úradníka a EDPB a priestory sa mohli prispôsobiť novým pracovným podmienkam po pandémii </w:t>
      </w:r>
      <w:r w:rsidR="00360718" w:rsidRPr="00C04B2B">
        <w:t xml:space="preserve">ochorenia </w:t>
      </w:r>
      <w:r w:rsidRPr="00C04B2B">
        <w:t>COVID-19;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45.</w:t>
      </w:r>
      <w:r w:rsidRPr="00C04B2B">
        <w:tab/>
        <w:t xml:space="preserve">konštatuje, že pokiaľ ide o prístup do budovy dozorného úradníka, uplatňujú sa rozhodnutia prijaté a vykonávané </w:t>
      </w:r>
      <w:r w:rsidR="00360718" w:rsidRPr="00C04B2B">
        <w:t>Európskym p</w:t>
      </w:r>
      <w:r w:rsidRPr="00C04B2B">
        <w:t>arlamentom v rámci jeho politiky v oblasti budov; vyzýva dozorného úradníka, aby upozorňoval na potreby osôb so zníženou pohyblivosťou alebo zdravotným postihnutím a aby informoval orgán udeľujúci absolutórium o každom novom rozhodnutí prijatom v tejto súvislosti;</w:t>
      </w:r>
    </w:p>
    <w:p w:rsidR="00110F10" w:rsidRPr="00C04B2B" w:rsidRDefault="00110F10" w:rsidP="00110F10">
      <w:pPr>
        <w:pStyle w:val="NormalHanging12a"/>
        <w:ind w:left="0" w:firstLine="0"/>
        <w:rPr>
          <w:b/>
          <w:i/>
          <w:szCs w:val="24"/>
        </w:rPr>
      </w:pPr>
      <w:r w:rsidRPr="00C04B2B">
        <w:rPr>
          <w:b/>
          <w:i/>
        </w:rPr>
        <w:t>Životné prostredie a udržateľnosť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46.</w:t>
      </w:r>
      <w:r w:rsidRPr="00C04B2B">
        <w:tab/>
        <w:t xml:space="preserve">konštatuje, že dozorný úradník sa nepripojil k schéme pre environmentálne manažérstvo a audit (EMAS), ale zaviedol niekoľko opatrení na zníženie svojej environmentálnej stopy, napríklad obmedzenie spotreby papiera v nadväznosti na digitalizáciu procesov v oblasti ľudských zdrojov alebo recykláciu odpadu; konštatuje, že pokiaľ ide o environmentálnu infraštruktúru, na budove prenajatej od </w:t>
      </w:r>
      <w:r w:rsidR="00360718" w:rsidRPr="00C04B2B">
        <w:t>Európskeho p</w:t>
      </w:r>
      <w:r w:rsidRPr="00C04B2B">
        <w:t>arlamentu neboli nainštalované žiadne solárne panely; vyzýva dozorného úradníka, aby informoval orgán udeľujúci absolutórium o každom novom rozhodnutí inštalovať na svoju budovu solárne panely;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47.</w:t>
      </w:r>
      <w:r w:rsidRPr="00C04B2B">
        <w:tab/>
        <w:t>víta, že dozorný úradník naďalej podporuje udržateľnú mobilitu svojich zamestnancov tým, že im uhrádza 50 % ceny mesačných/ročných lístkov na využívanie verejnej dopravy a vyčleňuje vo svojich garážach dostatočný priestor na zaparkovanie ich bicyklov;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proofErr w:type="spellStart"/>
      <w:r w:rsidRPr="00C04B2B">
        <w:rPr>
          <w:b/>
          <w:i/>
        </w:rPr>
        <w:t>Medziinštitucionálna</w:t>
      </w:r>
      <w:proofErr w:type="spellEnd"/>
      <w:r w:rsidRPr="00C04B2B">
        <w:rPr>
          <w:b/>
          <w:i/>
        </w:rPr>
        <w:t xml:space="preserve"> spolupráca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48.</w:t>
      </w:r>
      <w:r w:rsidRPr="00C04B2B">
        <w:tab/>
        <w:t xml:space="preserve">víta rozpočtové a administratívne úspory dosiahnuté vďaka </w:t>
      </w:r>
      <w:proofErr w:type="spellStart"/>
      <w:r w:rsidRPr="00C04B2B">
        <w:t>medziinštitucionálnej</w:t>
      </w:r>
      <w:proofErr w:type="spellEnd"/>
      <w:r w:rsidRPr="00C04B2B">
        <w:t xml:space="preserve"> spolupráci, najmä uzavretie dohôd o úrovni poskytovaných služieb s</w:t>
      </w:r>
      <w:r w:rsidR="00360718" w:rsidRPr="00C04B2B">
        <w:t> Európskym p</w:t>
      </w:r>
      <w:r w:rsidRPr="00C04B2B">
        <w:t>arlamentom v súvislosti s prenájmom jeho priestorov a používaním jeho aplikácií IT, hardvérových dodávok a údržby, ako aj s Komisiou v oblasti služieb IKT;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49.</w:t>
      </w:r>
      <w:r w:rsidRPr="00C04B2B">
        <w:tab/>
        <w:t>konštatuje, že dozorný úradník úzko, aj keď neformálne, spolupracuje s úradom OLAF, Európskou prokuratúrou a Dvorom audítorov, ktorým poskytuje poradenstvo o konkrétnych projektoch a otázkach súvisiacich s jeho úlohou dohľadu; víta najmä pravidelný dialóg v roku 2022 s Európskou prokuratúrou ako novovytvorenou inštitúciou; víta, že dozorný úradník je zapojený do štruktúrovanejšej spolupráce s ombudsmankou na základe memoranda o porozumení, ktoré vymedzuje podmienky ich spolupráce na úrovni riešenia sťažností;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50.</w:t>
      </w:r>
      <w:r w:rsidRPr="00C04B2B">
        <w:tab/>
        <w:t xml:space="preserve">konštatuje, že </w:t>
      </w:r>
      <w:proofErr w:type="spellStart"/>
      <w:r w:rsidRPr="00C04B2B">
        <w:t>medziinštitucionálna</w:t>
      </w:r>
      <w:proofErr w:type="spellEnd"/>
      <w:r w:rsidRPr="00C04B2B">
        <w:t xml:space="preserve"> spolupráca s dozorným úradníkom v rámci jeho dozornej úlohy má kľúčový význam pre to, aby ostatné inštitúcie EÚ viac dodržiavali právny rámec na ochranu údajov; blahoželá dozornému úradníkovi za to, že ako prvý orgán uzavrel </w:t>
      </w:r>
      <w:proofErr w:type="spellStart"/>
      <w:r w:rsidRPr="00C04B2B">
        <w:t>medziinštitucionálnu</w:t>
      </w:r>
      <w:proofErr w:type="spellEnd"/>
      <w:r w:rsidRPr="00C04B2B">
        <w:t xml:space="preserve"> zmluvu o poskytovaní služieb </w:t>
      </w:r>
      <w:proofErr w:type="spellStart"/>
      <w:r w:rsidRPr="00C04B2B">
        <w:t>Nextcloud</w:t>
      </w:r>
      <w:proofErr w:type="spellEnd"/>
      <w:r w:rsidRPr="00C04B2B">
        <w:t xml:space="preserve"> so </w:t>
      </w:r>
      <w:r w:rsidRPr="00C04B2B">
        <w:lastRenderedPageBreak/>
        <w:t>signatárskymi európskymi inštitúciami;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51.</w:t>
      </w:r>
      <w:r w:rsidRPr="00C04B2B">
        <w:tab/>
        <w:t xml:space="preserve">víta kľúčovú úlohu dozorného orgánu v roku 2022 pri koordinácii orgánov pre ochranu osobných údajov členských štátov zastúpených v EDPB s cieľom presadzovať konzistentnú ochranu údajov v celej Únii; konštatuje, že dozorný úradník sa v roku 2022 zapojil do koordinovaných opatrení EDPB 2022, pokiaľ ide o využívanie </w:t>
      </w:r>
      <w:proofErr w:type="spellStart"/>
      <w:r w:rsidRPr="00C04B2B">
        <w:t>cloudových</w:t>
      </w:r>
      <w:proofErr w:type="spellEnd"/>
      <w:r w:rsidRPr="00C04B2B">
        <w:t xml:space="preserve"> služieb v Únii, ktorých cieľom bolo vymieňať si poznatky a osvedčené postupy medzi dozorným úradníkom, inštitúciami EÚ a orgánmi pre ochranu údajov;</w:t>
      </w:r>
    </w:p>
    <w:p w:rsidR="00110F10" w:rsidRPr="00C04B2B" w:rsidRDefault="00110F10" w:rsidP="00110F10">
      <w:pPr>
        <w:pStyle w:val="NormalHanging12a"/>
        <w:rPr>
          <w:b/>
          <w:i/>
          <w:szCs w:val="24"/>
        </w:rPr>
      </w:pPr>
      <w:r w:rsidRPr="00C04B2B">
        <w:rPr>
          <w:b/>
          <w:i/>
        </w:rPr>
        <w:t>Komunikácia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52.</w:t>
      </w:r>
      <w:r w:rsidRPr="00C04B2B">
        <w:tab/>
        <w:t>konštatuje, že rozpočet na verejnú komunikáciu a propagačné činnosti na rok 2022 dosahoval 304 665 EUR, čo v porovnaní s rokom 2021 predstavovalo zvýšenie o 19 %; víta komplexnú komunikačnú stratégiu s cieľom zvýšiť informovanosť o úlohe dozorného úradníka a význame dodržiavania pravidiel Únie v oblasti ochrany údajov, zameranú na európske inštitúcie, odborníkov EÚ na ochranu údajov, ako aj širokú verejnosť;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53.</w:t>
      </w:r>
      <w:r w:rsidRPr="00C04B2B">
        <w:tab/>
        <w:t>s uspokojením konštatuje, že dozorný úradník zorganizoval v roku 2022 niekoľko komunikačných podujatí v hybridnom režime, najmä významnú medzinárodnú konferenciu s názvom Budúcnosť ochrany údajov: účinné presadzovanie práva v digitálnom svete, na ktorej sa osobne, ako aj na diaľku zúčastnilo viac ako 2 000 účastníkov;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54.</w:t>
      </w:r>
      <w:r w:rsidRPr="00C04B2B">
        <w:tab/>
        <w:t xml:space="preserve">konštatuje, že dozorný úradník komunikuje online prostredníctvom svojho webového sídla a účtov na sociálnych médiách: X (bývalý Twitter) (29 100 </w:t>
      </w:r>
      <w:proofErr w:type="spellStart"/>
      <w:r w:rsidRPr="00C04B2B">
        <w:t>sledovateľov</w:t>
      </w:r>
      <w:proofErr w:type="spellEnd"/>
      <w:r w:rsidRPr="00C04B2B">
        <w:t xml:space="preserve">), LinkedIn (63 000 </w:t>
      </w:r>
      <w:proofErr w:type="spellStart"/>
      <w:r w:rsidRPr="00C04B2B">
        <w:t>sledovateľov</w:t>
      </w:r>
      <w:proofErr w:type="spellEnd"/>
      <w:r w:rsidRPr="00C04B2B">
        <w:t xml:space="preserve">), YouTube (275 000 </w:t>
      </w:r>
      <w:proofErr w:type="spellStart"/>
      <w:r w:rsidRPr="00C04B2B">
        <w:t>sledovateľov</w:t>
      </w:r>
      <w:proofErr w:type="spellEnd"/>
      <w:r w:rsidRPr="00C04B2B">
        <w:t>), EU-</w:t>
      </w:r>
      <w:proofErr w:type="spellStart"/>
      <w:r w:rsidRPr="00C04B2B">
        <w:t>Voice</w:t>
      </w:r>
      <w:proofErr w:type="spellEnd"/>
      <w:r w:rsidRPr="00C04B2B">
        <w:t xml:space="preserve"> (5 100 </w:t>
      </w:r>
      <w:proofErr w:type="spellStart"/>
      <w:r w:rsidRPr="00C04B2B">
        <w:t>sledovateľov</w:t>
      </w:r>
      <w:proofErr w:type="spellEnd"/>
      <w:r w:rsidRPr="00C04B2B">
        <w:t xml:space="preserve">) a EU-Video (690 </w:t>
      </w:r>
      <w:proofErr w:type="spellStart"/>
      <w:r w:rsidRPr="00C04B2B">
        <w:t>sledovateľov</w:t>
      </w:r>
      <w:proofErr w:type="spellEnd"/>
      <w:r w:rsidRPr="00C04B2B">
        <w:t>); uvádza, že dozorný úradník začal v roku 2022 niekoľko kampaní v sociálnych médiách zameraných na podporu konkrétnych iniciatív alebo uskutočňovaných v partnerstve s inými inštitúciami EÚ, aby zvýšil svoj dosah a publikum dostatočne informoval o svojich činnostiach;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55.</w:t>
      </w:r>
      <w:r w:rsidRPr="00C04B2B">
        <w:tab/>
        <w:t>berie na vedomie vedúcu úlohu dozorného úradníka pri testovaní a propagácii kanálov sociálnych médií, ktoré prispievajú k stratégii Únie v oblasti údajov a digitálnej suverenity v súlade s právnym rámcom na ochranu údajov;</w:t>
      </w:r>
    </w:p>
    <w:p w:rsidR="00110F10" w:rsidRPr="00C04B2B" w:rsidRDefault="00110F10" w:rsidP="00110F10">
      <w:pPr>
        <w:pStyle w:val="NormalHanging12a"/>
        <w:rPr>
          <w:szCs w:val="24"/>
        </w:rPr>
      </w:pPr>
      <w:r w:rsidRPr="00C04B2B">
        <w:t>56.</w:t>
      </w:r>
      <w:r w:rsidRPr="00C04B2B">
        <w:tab/>
        <w:t xml:space="preserve">opakovane vyjadruje svoju podporu, pokiaľ ide o úsilie dozorného úradníka monitorovať a vysvetliť širokej verejnosti nový vývoj v oblasti technológií a jeho potenciálny vplyv na ochranu údajov a súkromia, napríklad prostredníctvom správ </w:t>
      </w:r>
      <w:proofErr w:type="spellStart"/>
      <w:r w:rsidRPr="00C04B2B">
        <w:t>TechDispatch</w:t>
      </w:r>
      <w:proofErr w:type="spellEnd"/>
      <w:r w:rsidRPr="00C04B2B">
        <w:t xml:space="preserve"> a </w:t>
      </w:r>
      <w:proofErr w:type="spellStart"/>
      <w:r w:rsidRPr="00C04B2B">
        <w:t>TechSonar</w:t>
      </w:r>
      <w:proofErr w:type="spellEnd"/>
      <w:r w:rsidRPr="00C04B2B">
        <w:t>; ďalej nabáda dozorného úradníka, aby zvýšil svoje kapacity v oblasti monitorovania technológií a spustil informačné kampane o svojich zisteniach a odporúčaniach.</w:t>
      </w:r>
    </w:p>
    <w:sectPr w:rsidR="00110F10" w:rsidRPr="00C04B2B" w:rsidSect="009028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F9B" w:rsidRPr="0090280C" w:rsidRDefault="006F6F9B">
      <w:r w:rsidRPr="0090280C">
        <w:separator/>
      </w:r>
    </w:p>
  </w:endnote>
  <w:endnote w:type="continuationSeparator" w:id="0">
    <w:p w:rsidR="006F6F9B" w:rsidRPr="0090280C" w:rsidRDefault="006F6F9B">
      <w:r w:rsidRPr="009028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F10" w:rsidRPr="0090280C" w:rsidRDefault="00110F10" w:rsidP="00C621C1">
    <w:pPr>
      <w:pStyle w:val="EPFooter"/>
    </w:pPr>
    <w:r w:rsidRPr="0090280C">
      <w:t>PE</w:t>
    </w:r>
    <w:r w:rsidRPr="0090280C">
      <w:rPr>
        <w:rStyle w:val="HideTWBExt"/>
      </w:rPr>
      <w:t>&lt;NoPE&gt;</w:t>
    </w:r>
    <w:r w:rsidRPr="0090280C">
      <w:t>753.487</w:t>
    </w:r>
    <w:r w:rsidRPr="0090280C">
      <w:rPr>
        <w:rStyle w:val="HideTWBExt"/>
      </w:rPr>
      <w:t>&lt;/NoPE&gt;&lt;Version&gt;</w:t>
    </w:r>
    <w:r w:rsidRPr="0090280C">
      <w:t>v02-00</w:t>
    </w:r>
    <w:r w:rsidRPr="0090280C">
      <w:rPr>
        <w:rStyle w:val="HideTWBExt"/>
      </w:rPr>
      <w:t>&lt;/Version&gt;</w:t>
    </w:r>
    <w:r w:rsidRPr="0090280C">
      <w:tab/>
    </w:r>
    <w:r w:rsidRPr="0090280C">
      <w:fldChar w:fldCharType="begin"/>
    </w:r>
    <w:r w:rsidRPr="0090280C">
      <w:instrText xml:space="preserve"> PAGE  \* MERGEFORMAT </w:instrText>
    </w:r>
    <w:r w:rsidRPr="0090280C">
      <w:fldChar w:fldCharType="separate"/>
    </w:r>
    <w:r w:rsidR="0090280C" w:rsidRPr="0090280C">
      <w:rPr>
        <w:noProof/>
      </w:rPr>
      <w:t>2</w:t>
    </w:r>
    <w:r w:rsidRPr="0090280C">
      <w:fldChar w:fldCharType="end"/>
    </w:r>
    <w:r w:rsidRPr="0090280C">
      <w:t>/</w:t>
    </w:r>
    <w:r w:rsidR="00305376">
      <w:fldChar w:fldCharType="begin"/>
    </w:r>
    <w:r w:rsidR="00305376">
      <w:instrText xml:space="preserve"> NUMPAGES  \* MERGEFORMAT </w:instrText>
    </w:r>
    <w:r w:rsidR="00305376">
      <w:fldChar w:fldCharType="separate"/>
    </w:r>
    <w:r w:rsidR="0090280C" w:rsidRPr="0090280C">
      <w:rPr>
        <w:noProof/>
      </w:rPr>
      <w:t>4</w:t>
    </w:r>
    <w:r w:rsidR="00305376">
      <w:rPr>
        <w:noProof/>
      </w:rPr>
      <w:fldChar w:fldCharType="end"/>
    </w:r>
    <w:r w:rsidRPr="0090280C">
      <w:tab/>
    </w:r>
    <w:r w:rsidRPr="0090280C">
      <w:rPr>
        <w:rStyle w:val="HideTWBExt"/>
      </w:rPr>
      <w:t>&lt;PathFdR&gt;</w:t>
    </w:r>
    <w:r w:rsidRPr="0090280C">
      <w:t>RR\1298695SK.docx</w:t>
    </w:r>
    <w:r w:rsidRPr="0090280C">
      <w:rPr>
        <w:rStyle w:val="HideTWBExt"/>
      </w:rPr>
      <w:t>&lt;/PathFdR&gt;</w:t>
    </w:r>
  </w:p>
  <w:p w:rsidR="00110F10" w:rsidRPr="0090280C" w:rsidRDefault="00110F10" w:rsidP="00C621C1">
    <w:pPr>
      <w:pStyle w:val="EPFooter2"/>
    </w:pPr>
    <w:r w:rsidRPr="0090280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F10" w:rsidRPr="0090280C" w:rsidRDefault="00110F10" w:rsidP="00C621C1">
    <w:pPr>
      <w:pStyle w:val="EPFooter"/>
    </w:pPr>
    <w:r w:rsidRPr="0090280C">
      <w:rPr>
        <w:rStyle w:val="HideTWBExt"/>
      </w:rPr>
      <w:t>&lt;PathFdR&gt;</w:t>
    </w:r>
    <w:r w:rsidRPr="0090280C">
      <w:t>RR\1298695SK.docx</w:t>
    </w:r>
    <w:r w:rsidRPr="0090280C">
      <w:rPr>
        <w:rStyle w:val="HideTWBExt"/>
      </w:rPr>
      <w:t>&lt;/PathFdR&gt;</w:t>
    </w:r>
    <w:r w:rsidRPr="0090280C">
      <w:tab/>
    </w:r>
    <w:r w:rsidRPr="0090280C">
      <w:tab/>
      <w:t>PE</w:t>
    </w:r>
    <w:r w:rsidRPr="0090280C">
      <w:rPr>
        <w:rStyle w:val="HideTWBExt"/>
      </w:rPr>
      <w:t>&lt;NoPE&gt;</w:t>
    </w:r>
    <w:r w:rsidRPr="0090280C">
      <w:t>753.487</w:t>
    </w:r>
    <w:r w:rsidRPr="0090280C">
      <w:rPr>
        <w:rStyle w:val="HideTWBExt"/>
      </w:rPr>
      <w:t>&lt;/NoPE&gt;&lt;Version&gt;</w:t>
    </w:r>
    <w:r w:rsidRPr="0090280C">
      <w:t>v02-00</w:t>
    </w:r>
    <w:r w:rsidRPr="0090280C">
      <w:rPr>
        <w:rStyle w:val="HideTWBExt"/>
      </w:rPr>
      <w:t>&lt;/Version&gt;</w:t>
    </w:r>
  </w:p>
  <w:p w:rsidR="00110F10" w:rsidRPr="0090280C" w:rsidRDefault="00110F10" w:rsidP="00C621C1">
    <w:pPr>
      <w:pStyle w:val="EPFooter2"/>
    </w:pPr>
    <w:r w:rsidRPr="0090280C">
      <w:t>SK</w:t>
    </w:r>
    <w:r w:rsidRPr="0090280C">
      <w:tab/>
    </w:r>
    <w:r w:rsidRPr="0090280C">
      <w:rPr>
        <w:b w:val="0"/>
        <w:i/>
        <w:color w:val="C0C0C0"/>
        <w:sz w:val="22"/>
      </w:rPr>
      <w:t>Zjednotení v rozmanitosti</w:t>
    </w:r>
    <w:r w:rsidRPr="0090280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280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280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28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F9B" w:rsidRPr="0090280C" w:rsidRDefault="006F6F9B">
      <w:r w:rsidRPr="0090280C">
        <w:separator/>
      </w:r>
    </w:p>
  </w:footnote>
  <w:footnote w:type="continuationSeparator" w:id="0">
    <w:p w:rsidR="006F6F9B" w:rsidRPr="0090280C" w:rsidRDefault="006F6F9B">
      <w:r w:rsidRPr="0090280C">
        <w:continuationSeparator/>
      </w:r>
    </w:p>
  </w:footnote>
  <w:footnote w:id="1">
    <w:p w:rsidR="00110F10" w:rsidRPr="0090280C" w:rsidRDefault="00110F10" w:rsidP="0090280C">
      <w:pPr>
        <w:pStyle w:val="FootnoteText"/>
        <w:ind w:left="567" w:hanging="567"/>
        <w:rPr>
          <w:sz w:val="24"/>
          <w:lang w:val="sk-SK"/>
        </w:rPr>
      </w:pPr>
      <w:r w:rsidRPr="0090280C">
        <w:rPr>
          <w:rStyle w:val="FootnoteReference"/>
          <w:sz w:val="24"/>
          <w:lang w:val="sk-SK"/>
        </w:rPr>
        <w:footnoteRef/>
      </w:r>
      <w:r w:rsidR="0090280C" w:rsidRPr="0090280C">
        <w:rPr>
          <w:sz w:val="24"/>
          <w:lang w:val="sk-SK"/>
        </w:rPr>
        <w:t xml:space="preserve"> </w:t>
      </w:r>
      <w:r w:rsidR="0090280C" w:rsidRPr="0090280C">
        <w:rPr>
          <w:sz w:val="24"/>
          <w:lang w:val="sk-SK"/>
        </w:rPr>
        <w:tab/>
      </w:r>
      <w:r w:rsidRPr="0090280C">
        <w:rPr>
          <w:sz w:val="24"/>
          <w:lang w:val="sk-SK"/>
        </w:rPr>
        <w:t>Ú. v. EÚ L 45, 24.2.2022.</w:t>
      </w:r>
    </w:p>
  </w:footnote>
  <w:footnote w:id="2">
    <w:p w:rsidR="00110F10" w:rsidRPr="0090280C" w:rsidRDefault="00110F10" w:rsidP="0090280C">
      <w:pPr>
        <w:pStyle w:val="FootnoteText"/>
        <w:ind w:left="567" w:hanging="567"/>
        <w:rPr>
          <w:sz w:val="24"/>
          <w:lang w:val="sk-SK"/>
        </w:rPr>
      </w:pPr>
      <w:r w:rsidRPr="0090280C">
        <w:rPr>
          <w:rStyle w:val="FootnoteReference"/>
          <w:sz w:val="24"/>
          <w:lang w:val="sk-SK"/>
        </w:rPr>
        <w:footnoteRef/>
      </w:r>
      <w:r w:rsidR="0090280C" w:rsidRPr="0090280C">
        <w:rPr>
          <w:sz w:val="24"/>
          <w:lang w:val="sk-SK"/>
        </w:rPr>
        <w:t xml:space="preserve"> </w:t>
      </w:r>
      <w:r w:rsidR="0090280C" w:rsidRPr="0090280C">
        <w:rPr>
          <w:sz w:val="24"/>
          <w:lang w:val="sk-SK"/>
        </w:rPr>
        <w:tab/>
      </w:r>
      <w:r w:rsidRPr="0090280C">
        <w:rPr>
          <w:sz w:val="24"/>
          <w:lang w:val="sk-SK"/>
        </w:rPr>
        <w:t xml:space="preserve">Ú. v. </w:t>
      </w:r>
      <w:r w:rsidRPr="0090280C">
        <w:rPr>
          <w:sz w:val="24"/>
          <w:lang w:val="sk-SK"/>
        </w:rPr>
        <w:t xml:space="preserve">EÚ </w:t>
      </w:r>
      <w:r w:rsidR="00305376">
        <w:rPr>
          <w:sz w:val="24"/>
          <w:lang w:val="sk-SK"/>
        </w:rPr>
        <w:t xml:space="preserve">C, </w:t>
      </w:r>
      <w:r w:rsidRPr="0090280C">
        <w:rPr>
          <w:sz w:val="24"/>
          <w:lang w:val="sk-SK"/>
        </w:rPr>
        <w:t>C/2023/2, 12.10.2023.</w:t>
      </w:r>
    </w:p>
  </w:footnote>
  <w:footnote w:id="3">
    <w:p w:rsidR="00110F10" w:rsidRPr="0090280C" w:rsidRDefault="00110F10" w:rsidP="0090280C">
      <w:pPr>
        <w:pStyle w:val="FootnoteText"/>
        <w:ind w:left="567" w:hanging="567"/>
        <w:rPr>
          <w:sz w:val="24"/>
          <w:lang w:val="sk-SK"/>
        </w:rPr>
      </w:pPr>
      <w:r w:rsidRPr="0090280C">
        <w:rPr>
          <w:rStyle w:val="FootnoteReference"/>
          <w:sz w:val="24"/>
          <w:lang w:val="sk-SK"/>
        </w:rPr>
        <w:footnoteRef/>
      </w:r>
      <w:r w:rsidR="0090280C" w:rsidRPr="0090280C">
        <w:rPr>
          <w:sz w:val="24"/>
          <w:lang w:val="sk-SK"/>
        </w:rPr>
        <w:t xml:space="preserve"> </w:t>
      </w:r>
      <w:r w:rsidR="0090280C" w:rsidRPr="0090280C">
        <w:rPr>
          <w:sz w:val="24"/>
          <w:lang w:val="sk-SK"/>
        </w:rPr>
        <w:tab/>
      </w:r>
      <w:r w:rsidRPr="0090280C">
        <w:rPr>
          <w:sz w:val="24"/>
          <w:lang w:val="sk-SK"/>
        </w:rPr>
        <w:t xml:space="preserve">Ú. v. </w:t>
      </w:r>
      <w:r w:rsidRPr="0090280C">
        <w:rPr>
          <w:sz w:val="24"/>
          <w:lang w:val="sk-SK"/>
        </w:rPr>
        <w:t xml:space="preserve">EÚ </w:t>
      </w:r>
      <w:r w:rsidR="00305376">
        <w:rPr>
          <w:sz w:val="24"/>
          <w:lang w:val="sk-SK"/>
        </w:rPr>
        <w:t xml:space="preserve">C, </w:t>
      </w:r>
      <w:r w:rsidRPr="0090280C">
        <w:rPr>
          <w:sz w:val="24"/>
          <w:lang w:val="sk-SK"/>
        </w:rPr>
        <w:t>C/2023/103, 4.10.2023.</w:t>
      </w:r>
    </w:p>
  </w:footnote>
  <w:footnote w:id="4">
    <w:p w:rsidR="00110F10" w:rsidRPr="0090280C" w:rsidRDefault="00110F10" w:rsidP="0090280C">
      <w:pPr>
        <w:pStyle w:val="FootnoteText"/>
        <w:ind w:left="567" w:hanging="567"/>
        <w:rPr>
          <w:sz w:val="24"/>
          <w:lang w:val="sk-SK"/>
        </w:rPr>
      </w:pPr>
      <w:r w:rsidRPr="0090280C">
        <w:rPr>
          <w:rStyle w:val="FootnoteReference"/>
          <w:sz w:val="24"/>
          <w:lang w:val="sk-SK"/>
        </w:rPr>
        <w:footnoteRef/>
      </w:r>
      <w:r w:rsidR="0090280C" w:rsidRPr="0090280C">
        <w:rPr>
          <w:sz w:val="24"/>
          <w:lang w:val="sk-SK"/>
        </w:rPr>
        <w:t xml:space="preserve"> </w:t>
      </w:r>
      <w:r w:rsidR="0090280C" w:rsidRPr="0090280C">
        <w:rPr>
          <w:sz w:val="24"/>
          <w:lang w:val="sk-SK"/>
        </w:rPr>
        <w:tab/>
      </w:r>
      <w:r w:rsidRPr="0090280C">
        <w:rPr>
          <w:sz w:val="24"/>
          <w:lang w:val="sk-SK"/>
        </w:rPr>
        <w:t xml:space="preserve">Ú. v. </w:t>
      </w:r>
      <w:r w:rsidRPr="0090280C">
        <w:rPr>
          <w:sz w:val="24"/>
          <w:lang w:val="sk-SK"/>
        </w:rPr>
        <w:t xml:space="preserve">EÚ </w:t>
      </w:r>
      <w:r w:rsidR="00305376">
        <w:rPr>
          <w:sz w:val="24"/>
          <w:lang w:val="sk-SK"/>
        </w:rPr>
        <w:t xml:space="preserve">C, </w:t>
      </w:r>
      <w:bookmarkStart w:id="8" w:name="_GoBack"/>
      <w:bookmarkEnd w:id="8"/>
      <w:r w:rsidRPr="0090280C">
        <w:rPr>
          <w:sz w:val="24"/>
          <w:lang w:val="sk-SK"/>
        </w:rPr>
        <w:t>C/2023/112, 12.10.2023.</w:t>
      </w:r>
    </w:p>
  </w:footnote>
  <w:footnote w:id="5">
    <w:p w:rsidR="00110F10" w:rsidRPr="0090280C" w:rsidRDefault="00110F10" w:rsidP="0090280C">
      <w:pPr>
        <w:pStyle w:val="FootnoteText"/>
        <w:ind w:left="567" w:hanging="567"/>
        <w:rPr>
          <w:sz w:val="24"/>
          <w:szCs w:val="24"/>
          <w:lang w:val="sk-SK"/>
        </w:rPr>
      </w:pPr>
      <w:r w:rsidRPr="0090280C">
        <w:rPr>
          <w:rStyle w:val="FootnoteReference"/>
          <w:sz w:val="24"/>
          <w:lang w:val="sk-SK"/>
        </w:rPr>
        <w:footnoteRef/>
      </w:r>
      <w:r w:rsidR="0090280C" w:rsidRPr="0090280C">
        <w:rPr>
          <w:sz w:val="24"/>
          <w:lang w:val="sk-SK"/>
        </w:rPr>
        <w:t xml:space="preserve"> </w:t>
      </w:r>
      <w:r w:rsidR="0090280C" w:rsidRPr="0090280C">
        <w:rPr>
          <w:sz w:val="24"/>
          <w:lang w:val="sk-SK"/>
        </w:rPr>
        <w:tab/>
      </w:r>
      <w:r w:rsidRPr="0090280C">
        <w:rPr>
          <w:sz w:val="24"/>
          <w:lang w:val="sk-SK"/>
        </w:rPr>
        <w:t>Ú. v. EÚ L 193, 30.7.2018, s. 1.</w:t>
      </w:r>
    </w:p>
  </w:footnote>
  <w:footnote w:id="6">
    <w:p w:rsidR="00110F10" w:rsidRPr="0090280C" w:rsidRDefault="00110F10" w:rsidP="0090280C">
      <w:pPr>
        <w:pStyle w:val="FootnoteText"/>
        <w:ind w:left="567" w:hanging="567"/>
        <w:rPr>
          <w:sz w:val="24"/>
          <w:lang w:val="sk-SK"/>
        </w:rPr>
      </w:pPr>
      <w:r w:rsidRPr="0090280C">
        <w:rPr>
          <w:rStyle w:val="FootnoteReference"/>
          <w:sz w:val="24"/>
          <w:lang w:val="sk-SK"/>
        </w:rPr>
        <w:footnoteRef/>
      </w:r>
      <w:r w:rsidR="0090280C" w:rsidRPr="0090280C">
        <w:rPr>
          <w:sz w:val="24"/>
          <w:lang w:val="sk-SK"/>
        </w:rPr>
        <w:t xml:space="preserve"> </w:t>
      </w:r>
      <w:r w:rsidR="0090280C" w:rsidRPr="0090280C">
        <w:rPr>
          <w:sz w:val="24"/>
          <w:lang w:val="sk-SK"/>
        </w:rPr>
        <w:tab/>
      </w:r>
      <w:r w:rsidRPr="0090280C">
        <w:rPr>
          <w:sz w:val="24"/>
          <w:lang w:val="sk-SK"/>
        </w:rPr>
        <w:t xml:space="preserve">Nariadenie Európskeho parlamentu a Rady (EÚ) 2022/991 z 8. júna 2022, ktorým sa mení nariadenie (EÚ) 2016/794, pokiaľ ide o spoluprácu </w:t>
      </w:r>
      <w:proofErr w:type="spellStart"/>
      <w:r w:rsidRPr="0090280C">
        <w:rPr>
          <w:sz w:val="24"/>
          <w:lang w:val="sk-SK"/>
        </w:rPr>
        <w:t>Europolu</w:t>
      </w:r>
      <w:proofErr w:type="spellEnd"/>
      <w:r w:rsidRPr="0090280C">
        <w:rPr>
          <w:sz w:val="24"/>
          <w:lang w:val="sk-SK"/>
        </w:rPr>
        <w:t xml:space="preserve"> so súkromnými subjektmi, spracúvanie osobných údajov </w:t>
      </w:r>
      <w:proofErr w:type="spellStart"/>
      <w:r w:rsidRPr="0090280C">
        <w:rPr>
          <w:sz w:val="24"/>
          <w:lang w:val="sk-SK"/>
        </w:rPr>
        <w:t>Europolom</w:t>
      </w:r>
      <w:proofErr w:type="spellEnd"/>
      <w:r w:rsidRPr="0090280C">
        <w:rPr>
          <w:sz w:val="24"/>
          <w:lang w:val="sk-SK"/>
        </w:rPr>
        <w:t xml:space="preserve"> na podporu vyšetrovania trestných činov a úlohu </w:t>
      </w:r>
      <w:proofErr w:type="spellStart"/>
      <w:r w:rsidRPr="0090280C">
        <w:rPr>
          <w:sz w:val="24"/>
          <w:lang w:val="sk-SK"/>
        </w:rPr>
        <w:t>Europolu</w:t>
      </w:r>
      <w:proofErr w:type="spellEnd"/>
      <w:r w:rsidRPr="0090280C">
        <w:rPr>
          <w:sz w:val="24"/>
          <w:lang w:val="sk-SK"/>
        </w:rPr>
        <w:t xml:space="preserve"> v oblasti výskumu a inovácií (Ú. v. EÚ L 169, 27.6.2022, s. 1).</w:t>
      </w:r>
    </w:p>
  </w:footnote>
  <w:footnote w:id="7">
    <w:p w:rsidR="00110F10" w:rsidRPr="0090280C" w:rsidRDefault="00110F10" w:rsidP="0090280C">
      <w:pPr>
        <w:pStyle w:val="FootnoteText"/>
        <w:ind w:left="567" w:hanging="567"/>
        <w:rPr>
          <w:sz w:val="24"/>
          <w:lang w:val="sk-SK"/>
        </w:rPr>
      </w:pPr>
      <w:r w:rsidRPr="0090280C">
        <w:rPr>
          <w:rStyle w:val="FootnoteReference"/>
          <w:sz w:val="24"/>
          <w:lang w:val="sk-SK"/>
        </w:rPr>
        <w:footnoteRef/>
      </w:r>
      <w:r w:rsidR="0090280C" w:rsidRPr="0090280C">
        <w:rPr>
          <w:sz w:val="24"/>
          <w:lang w:val="sk-SK"/>
        </w:rPr>
        <w:t xml:space="preserve"> </w:t>
      </w:r>
      <w:r w:rsidR="0090280C" w:rsidRPr="0090280C">
        <w:rPr>
          <w:sz w:val="24"/>
          <w:lang w:val="sk-SK"/>
        </w:rPr>
        <w:tab/>
      </w:r>
      <w:r w:rsidRPr="0090280C">
        <w:rPr>
          <w:sz w:val="24"/>
          <w:lang w:val="sk-SK"/>
        </w:rPr>
        <w:t>Nariadenie Európskeho parlamentu a Rady (EÚ) 2016/794 z 11. mája 2016 o Agentúre Európskej únie pre spoluprácu v oblasti presadzovania práva (</w:t>
      </w:r>
      <w:proofErr w:type="spellStart"/>
      <w:r w:rsidRPr="0090280C">
        <w:rPr>
          <w:sz w:val="24"/>
          <w:lang w:val="sk-SK"/>
        </w:rPr>
        <w:t>Europol</w:t>
      </w:r>
      <w:proofErr w:type="spellEnd"/>
      <w:r w:rsidRPr="0090280C">
        <w:rPr>
          <w:sz w:val="24"/>
          <w:lang w:val="sk-SK"/>
        </w:rPr>
        <w:t>), ktorým sa nahrádzajú a zrušujú rozhodnutia Rady 2009/371/SVV, 2009/934/SVV, 2009/935/SVV, 2009/936/SVV a 2009/968/SVV (Ú. v. EÚ L 135, 24.5.2016, s. 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28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28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28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6/2024"/>
    <w:docVar w:name="dvlangue" w:val="SK"/>
    <w:docVar w:name="dvnumam" w:val="0"/>
    <w:docVar w:name="dvpe" w:val="753.487"/>
    <w:docVar w:name="dvrapporteur" w:val="Spravodajca: "/>
    <w:docVar w:name="dvtitre" w:val="Rozhodnutie Európskeho parlamentu z xx. apríla 2024 o absolutóriu za plnenie všeobecného rozpočtu Európskej únie za rozpočtový rok 2022, oddiel IX – Európsky dozorný úradník pre ochranu údajov(2023/2138(DEC))"/>
  </w:docVars>
  <w:rsids>
    <w:rsidRoot w:val="006F6F9B"/>
    <w:rsid w:val="00002272"/>
    <w:rsid w:val="00064002"/>
    <w:rsid w:val="000677B9"/>
    <w:rsid w:val="000831BA"/>
    <w:rsid w:val="000A42CC"/>
    <w:rsid w:val="000E7DD9"/>
    <w:rsid w:val="0010095E"/>
    <w:rsid w:val="00110F10"/>
    <w:rsid w:val="00125B37"/>
    <w:rsid w:val="00187494"/>
    <w:rsid w:val="001F32AE"/>
    <w:rsid w:val="002767FF"/>
    <w:rsid w:val="002B18FE"/>
    <w:rsid w:val="002B5493"/>
    <w:rsid w:val="00305376"/>
    <w:rsid w:val="00343214"/>
    <w:rsid w:val="0036071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5D76"/>
    <w:rsid w:val="006631B6"/>
    <w:rsid w:val="00680577"/>
    <w:rsid w:val="006F6F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80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5D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B2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0F0"/>
    <w:rsid w:val="00EB006A"/>
    <w:rsid w:val="00EB4772"/>
    <w:rsid w:val="00ED169E"/>
    <w:rsid w:val="00ED4235"/>
    <w:rsid w:val="00F033D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51980"/>
  <w15:chartTrackingRefBased/>
  <w15:docId w15:val="{B7B3C6AC-EB3B-4A3D-9302-7F539D11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10F1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10F10"/>
    <w:pPr>
      <w:spacing w:before="480" w:after="240"/>
    </w:pPr>
  </w:style>
  <w:style w:type="paragraph" w:customStyle="1" w:styleId="PageHeading">
    <w:name w:val="PageHeading"/>
    <w:basedOn w:val="Normal"/>
    <w:rsid w:val="00110F1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10F10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110F1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10F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0F10"/>
    <w:rPr>
      <w:sz w:val="24"/>
      <w:lang w:val="sk-SK"/>
    </w:rPr>
  </w:style>
  <w:style w:type="paragraph" w:customStyle="1" w:styleId="EPFooter">
    <w:name w:val="EPFooter"/>
    <w:basedOn w:val="Normal"/>
    <w:rsid w:val="00110F1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110F10"/>
    <w:rPr>
      <w:sz w:val="24"/>
      <w:lang w:val="sk-SK"/>
    </w:rPr>
  </w:style>
  <w:style w:type="paragraph" w:styleId="Footer">
    <w:name w:val="footer"/>
    <w:basedOn w:val="Normal"/>
    <w:link w:val="FooterChar"/>
    <w:rsid w:val="003607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6071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AEC9F-D385-4123-9EB1-4BE3C6131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4233</Words>
  <Characters>25980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Karina Pesa</cp:lastModifiedBy>
  <cp:revision>3</cp:revision>
  <cp:lastPrinted>2004-11-19T15:42:00Z</cp:lastPrinted>
  <dcterms:created xsi:type="dcterms:W3CDTF">2024-04-11T10:48:00Z</dcterms:created>
  <dcterms:modified xsi:type="dcterms:W3CDTF">2024-10-30T19:10:00Z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A9-0086/2024</vt:lpwstr>
  </property>
  <property fmtid="{D5CDD505-2E9C-101B-9397-08002B2CF9AE}" pid="4" name="&lt;Type&gt;">
    <vt:lpwstr>RR</vt:lpwstr>
  </property>
</Properties>
</file>