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71E3" w:rsidTr="0010095E">
        <w:trPr>
          <w:trHeight w:hRule="exact" w:val="1418"/>
        </w:trPr>
        <w:tc>
          <w:tcPr>
            <w:tcW w:w="6804" w:type="dxa"/>
            <w:shd w:val="clear" w:color="auto" w:fill="auto"/>
            <w:vAlign w:val="center"/>
          </w:tcPr>
          <w:p w:rsidR="00751A4A" w:rsidRPr="001B71E3" w:rsidRDefault="00046A8F" w:rsidP="0010095E">
            <w:pPr>
              <w:pStyle w:val="EPName"/>
            </w:pPr>
            <w:r w:rsidRPr="001B71E3">
              <w:t>Evropski parlament</w:t>
            </w:r>
          </w:p>
          <w:p w:rsidR="00751A4A" w:rsidRPr="001B71E3" w:rsidRDefault="00817416" w:rsidP="00756632">
            <w:pPr>
              <w:pStyle w:val="EPTerm"/>
              <w:rPr>
                <w:rStyle w:val="HideTWBExt"/>
                <w:noProof w:val="0"/>
                <w:vanish w:val="0"/>
                <w:color w:val="auto"/>
              </w:rPr>
            </w:pPr>
            <w:r w:rsidRPr="001B71E3">
              <w:t>2019-2024</w:t>
            </w:r>
          </w:p>
        </w:tc>
        <w:tc>
          <w:tcPr>
            <w:tcW w:w="2268" w:type="dxa"/>
            <w:shd w:val="clear" w:color="auto" w:fill="auto"/>
          </w:tcPr>
          <w:p w:rsidR="00751A4A" w:rsidRPr="001B71E3" w:rsidRDefault="00187494" w:rsidP="0010095E">
            <w:pPr>
              <w:pStyle w:val="EPLogo"/>
            </w:pPr>
            <w:r w:rsidRPr="001B71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71E3" w:rsidRDefault="00D058B8" w:rsidP="004C5D52">
      <w:pPr>
        <w:pStyle w:val="LineTop"/>
      </w:pPr>
    </w:p>
    <w:p w:rsidR="00680577" w:rsidRPr="001B71E3" w:rsidRDefault="00046A8F" w:rsidP="00680577">
      <w:pPr>
        <w:pStyle w:val="EPBodyTA1"/>
      </w:pPr>
      <w:r w:rsidRPr="001B71E3">
        <w:t>SPREJETA BESEDILA</w:t>
      </w:r>
    </w:p>
    <w:p w:rsidR="00D058B8" w:rsidRPr="001B71E3" w:rsidRDefault="00D058B8" w:rsidP="00D058B8">
      <w:pPr>
        <w:pStyle w:val="LineBottom"/>
      </w:pPr>
    </w:p>
    <w:p w:rsidR="00046A8F" w:rsidRPr="001B71E3" w:rsidRDefault="00046A8F" w:rsidP="00046A8F">
      <w:pPr>
        <w:pStyle w:val="ATHeading1"/>
      </w:pPr>
      <w:bookmarkStart w:id="0" w:name="TANumber"/>
      <w:r w:rsidRPr="001B71E3">
        <w:t>P9_TA(2024)</w:t>
      </w:r>
      <w:bookmarkEnd w:id="0"/>
      <w:r w:rsidR="00F01430">
        <w:t>0235</w:t>
      </w:r>
    </w:p>
    <w:p w:rsidR="00046A8F" w:rsidRPr="001B71E3" w:rsidRDefault="00046A8F" w:rsidP="00046A8F">
      <w:pPr>
        <w:pStyle w:val="ATHeading2"/>
      </w:pPr>
      <w:bookmarkStart w:id="1" w:name="title"/>
      <w:r w:rsidRPr="001B71E3">
        <w:t>Razrešnica za leto 2022: splošni proračun EU – Evropski nadzornik za varstvo podatkov</w:t>
      </w:r>
      <w:bookmarkEnd w:id="1"/>
    </w:p>
    <w:p w:rsidR="00046A8F" w:rsidRPr="001B71E3" w:rsidRDefault="00046A8F" w:rsidP="00046A8F">
      <w:pPr>
        <w:rPr>
          <w:i/>
          <w:vanish/>
        </w:rPr>
      </w:pPr>
      <w:r w:rsidRPr="001B71E3">
        <w:rPr>
          <w:i/>
        </w:rPr>
        <w:fldChar w:fldCharType="begin"/>
      </w:r>
      <w:r w:rsidRPr="001B71E3">
        <w:rPr>
          <w:i/>
        </w:rPr>
        <w:instrText xml:space="preserve"> TC"(</w:instrText>
      </w:r>
      <w:bookmarkStart w:id="2" w:name="DocNumber"/>
      <w:r w:rsidRPr="001B71E3">
        <w:rPr>
          <w:i/>
        </w:rPr>
        <w:instrText>A9-0086/2024</w:instrText>
      </w:r>
      <w:bookmarkEnd w:id="2"/>
      <w:r w:rsidRPr="001B71E3">
        <w:rPr>
          <w:i/>
        </w:rPr>
        <w:instrText xml:space="preserve"> - Poročevalec: Luke </w:instrText>
      </w:r>
      <w:proofErr w:type="spellStart"/>
      <w:r w:rsidRPr="001B71E3">
        <w:rPr>
          <w:i/>
        </w:rPr>
        <w:instrText>Ming</w:instrText>
      </w:r>
      <w:proofErr w:type="spellEnd"/>
      <w:r w:rsidRPr="001B71E3">
        <w:rPr>
          <w:i/>
        </w:rPr>
        <w:instrText xml:space="preserve"> </w:instrText>
      </w:r>
      <w:proofErr w:type="spellStart"/>
      <w:r w:rsidRPr="001B71E3">
        <w:rPr>
          <w:i/>
        </w:rPr>
        <w:instrText>Flanagan</w:instrText>
      </w:r>
      <w:proofErr w:type="spellEnd"/>
      <w:r w:rsidRPr="001B71E3">
        <w:rPr>
          <w:i/>
        </w:rPr>
        <w:instrText xml:space="preserve">)"\l3 \n&gt; \* MERGEFORMAT </w:instrText>
      </w:r>
      <w:r w:rsidRPr="001B71E3">
        <w:rPr>
          <w:i/>
        </w:rPr>
        <w:fldChar w:fldCharType="end"/>
      </w:r>
    </w:p>
    <w:p w:rsidR="00046A8F" w:rsidRPr="001B71E3" w:rsidRDefault="00046A8F" w:rsidP="00046A8F">
      <w:pPr>
        <w:rPr>
          <w:vanish/>
        </w:rPr>
      </w:pPr>
      <w:bookmarkStart w:id="3" w:name="Commission"/>
      <w:r w:rsidRPr="001B71E3">
        <w:rPr>
          <w:vanish/>
        </w:rPr>
        <w:t>Odbor za proračunski nadzor</w:t>
      </w:r>
      <w:bookmarkEnd w:id="3"/>
    </w:p>
    <w:p w:rsidR="00046A8F" w:rsidRPr="001B71E3" w:rsidRDefault="00046A8F" w:rsidP="00046A8F">
      <w:pPr>
        <w:rPr>
          <w:vanish/>
        </w:rPr>
      </w:pPr>
      <w:bookmarkStart w:id="4" w:name="PE"/>
      <w:r w:rsidRPr="001B71E3">
        <w:rPr>
          <w:vanish/>
        </w:rPr>
        <w:t>PE753.487</w:t>
      </w:r>
      <w:bookmarkEnd w:id="4"/>
    </w:p>
    <w:p w:rsidR="00046A8F" w:rsidRPr="001B71E3" w:rsidRDefault="00257BAE" w:rsidP="00046A8F">
      <w:pPr>
        <w:pStyle w:val="ATHeading3"/>
      </w:pPr>
      <w:bookmarkStart w:id="5" w:name="Sujet"/>
      <w:r>
        <w:t xml:space="preserve">1. </w:t>
      </w:r>
      <w:r w:rsidR="00046A8F" w:rsidRPr="001B71E3">
        <w:t xml:space="preserve">Sklep Evropskega parlamenta z dne </w:t>
      </w:r>
      <w:r>
        <w:t>11. aprila</w:t>
      </w:r>
      <w:r w:rsidR="00046A8F" w:rsidRPr="001B71E3">
        <w:t xml:space="preserve"> 2024 o razrešnici glede izvrševanja splošnega proračuna Evropske unije za proračunsko leto 2022, oddelek IX – Evropski nadzornik za varstvo podatkov</w:t>
      </w:r>
      <w:bookmarkEnd w:id="5"/>
      <w:r w:rsidR="00046A8F" w:rsidRPr="001B71E3">
        <w:t xml:space="preserve"> </w:t>
      </w:r>
      <w:bookmarkStart w:id="6" w:name="References"/>
      <w:r w:rsidR="00046A8F" w:rsidRPr="001B71E3">
        <w:t>(2023/2138(DEC))</w:t>
      </w:r>
      <w:bookmarkEnd w:id="6"/>
    </w:p>
    <w:p w:rsidR="00752D52" w:rsidRPr="001B71E3" w:rsidRDefault="00752D52" w:rsidP="00752D52">
      <w:pPr>
        <w:pStyle w:val="EPComma"/>
      </w:pPr>
      <w:bookmarkStart w:id="7" w:name="TextBodyBegin"/>
      <w:bookmarkEnd w:id="7"/>
      <w:r w:rsidRPr="001B71E3">
        <w:rPr>
          <w:i/>
        </w:rPr>
        <w:t>Evropski parlament</w:t>
      </w:r>
      <w:r w:rsidRPr="001B71E3">
        <w:t>,</w:t>
      </w:r>
    </w:p>
    <w:p w:rsidR="00752D52" w:rsidRPr="001B71E3" w:rsidRDefault="00752D52" w:rsidP="00752D52">
      <w:pPr>
        <w:pStyle w:val="NormalHanging12a"/>
      </w:pPr>
      <w:r w:rsidRPr="001B71E3">
        <w:t>–</w:t>
      </w:r>
      <w:r w:rsidRPr="001B71E3">
        <w:tab/>
        <w:t>ob upoštevanju splošnega proračuna Evropske unije za proračunsko leto 2022</w:t>
      </w:r>
      <w:r w:rsidRPr="001B71E3">
        <w:rPr>
          <w:rStyle w:val="FootnoteReference"/>
        </w:rPr>
        <w:footnoteReference w:id="1"/>
      </w:r>
      <w:r w:rsidRPr="001B71E3">
        <w:t>,</w:t>
      </w:r>
    </w:p>
    <w:p w:rsidR="00752D52" w:rsidRPr="001B71E3" w:rsidRDefault="00752D52" w:rsidP="00752D52">
      <w:pPr>
        <w:pStyle w:val="NormalHanging12a"/>
      </w:pPr>
      <w:r w:rsidRPr="001B71E3">
        <w:t>–</w:t>
      </w:r>
      <w:r w:rsidRPr="001B71E3">
        <w:tab/>
        <w:t>ob upoštevanju konsolidiranega zaključnega računa Evropske unije za proračunsko leto 2022 (COM(2023)0391 – C9</w:t>
      </w:r>
      <w:r w:rsidRPr="001B71E3">
        <w:noBreakHyphen/>
        <w:t>0257/2023)</w:t>
      </w:r>
      <w:r w:rsidRPr="001B71E3">
        <w:rPr>
          <w:rStyle w:val="FootnoteReference"/>
        </w:rPr>
        <w:footnoteReference w:id="2"/>
      </w:r>
      <w:r w:rsidRPr="001B71E3">
        <w:t>,</w:t>
      </w:r>
    </w:p>
    <w:p w:rsidR="00752D52" w:rsidRPr="001B71E3" w:rsidRDefault="00752D52" w:rsidP="00752D52">
      <w:pPr>
        <w:pStyle w:val="NormalHanging12a"/>
      </w:pPr>
      <w:r w:rsidRPr="001B71E3">
        <w:t>–</w:t>
      </w:r>
      <w:r w:rsidRPr="001B71E3">
        <w:tab/>
        <w:t>ob upoštevanju letnega poročila Evropskega nadzornika za varstvo podatkov za leto 2022,</w:t>
      </w:r>
    </w:p>
    <w:p w:rsidR="00752D52" w:rsidRPr="001B71E3" w:rsidRDefault="00752D52" w:rsidP="00752D52">
      <w:pPr>
        <w:pStyle w:val="NormalHanging12a"/>
      </w:pPr>
      <w:r w:rsidRPr="001B71E3">
        <w:t>–</w:t>
      </w:r>
      <w:r w:rsidRPr="001B71E3">
        <w:tab/>
        <w:t>ob upoštevanju letnega poročila Računskega sodišča glede izvrševanja proračuna za proračunsko leto 2022 z odgovori institucij</w:t>
      </w:r>
      <w:r w:rsidRPr="001B71E3">
        <w:rPr>
          <w:rStyle w:val="FootnoteReference"/>
        </w:rPr>
        <w:footnoteReference w:id="3"/>
      </w:r>
      <w:r w:rsidRPr="001B71E3">
        <w:t>,</w:t>
      </w:r>
    </w:p>
    <w:p w:rsidR="00752D52" w:rsidRPr="001B71E3" w:rsidRDefault="00752D52" w:rsidP="00752D52">
      <w:pPr>
        <w:pStyle w:val="NormalHanging12a"/>
      </w:pPr>
      <w:r w:rsidRPr="001B71E3">
        <w:t>–</w:t>
      </w:r>
      <w:r w:rsidRPr="001B71E3">
        <w:tab/>
        <w:t>ob upoštevanju izjave o zanesljivosti</w:t>
      </w:r>
      <w:r w:rsidRPr="001B71E3">
        <w:rPr>
          <w:rStyle w:val="FootnoteReference"/>
        </w:rPr>
        <w:footnoteReference w:id="4"/>
      </w:r>
      <w:r w:rsidRPr="001B71E3">
        <w:t xml:space="preserve"> računovodskih izkazov ter o zakonitosti in pravilnosti z njimi povezanih transakcij, ki jo je za proračunsko leto 2022 v skladu s členom 287 Pogodbe o delovanju Evropske unije predložilo Računsko sodišče,</w:t>
      </w:r>
    </w:p>
    <w:p w:rsidR="00752D52" w:rsidRPr="001B71E3" w:rsidRDefault="00752D52" w:rsidP="00752D52">
      <w:pPr>
        <w:pStyle w:val="NormalHanging12a"/>
      </w:pPr>
      <w:r w:rsidRPr="001B71E3">
        <w:t>–</w:t>
      </w:r>
      <w:r w:rsidRPr="001B71E3">
        <w:tab/>
        <w:t>ob upoštevanju členov 314(10), 317, 318 in 319 Pogodbe o delovanju Evropske unije,</w:t>
      </w:r>
    </w:p>
    <w:p w:rsidR="00752D52" w:rsidRPr="001B71E3" w:rsidRDefault="00752D52" w:rsidP="00752D52">
      <w:pPr>
        <w:pStyle w:val="NormalHanging12a"/>
      </w:pPr>
      <w:r w:rsidRPr="001B71E3">
        <w:t>–</w:t>
      </w:r>
      <w:r w:rsidRPr="001B71E3">
        <w:tab/>
        <w:t xml:space="preserve">ob upoštevanju Uredbe (EU, </w:t>
      </w:r>
      <w:proofErr w:type="spellStart"/>
      <w:r w:rsidRPr="001B71E3">
        <w:t>Euratom</w:t>
      </w:r>
      <w:proofErr w:type="spellEnd"/>
      <w:r w:rsidRPr="001B71E3">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1B71E3">
        <w:t>Euratom</w:t>
      </w:r>
      <w:proofErr w:type="spellEnd"/>
      <w:r w:rsidRPr="001B71E3">
        <w:t xml:space="preserve">) št. </w:t>
      </w:r>
      <w:r w:rsidRPr="001B71E3">
        <w:lastRenderedPageBreak/>
        <w:t>966/2012</w:t>
      </w:r>
      <w:r w:rsidRPr="001B71E3">
        <w:rPr>
          <w:rStyle w:val="FootnoteReference"/>
        </w:rPr>
        <w:footnoteReference w:id="5"/>
      </w:r>
      <w:r w:rsidRPr="001B71E3">
        <w:t xml:space="preserve"> in zlasti členov 59, 118, 260, 261 in 262,</w:t>
      </w:r>
    </w:p>
    <w:p w:rsidR="00752D52" w:rsidRPr="001B71E3" w:rsidRDefault="00752D52" w:rsidP="00752D52">
      <w:pPr>
        <w:pStyle w:val="NormalHanging12a"/>
      </w:pPr>
      <w:r w:rsidRPr="001B71E3">
        <w:t>–</w:t>
      </w:r>
      <w:r w:rsidRPr="001B71E3">
        <w:tab/>
      </w:r>
      <w:r w:rsidRPr="001B71E3">
        <w:rPr>
          <w:snapToGrid w:val="0"/>
        </w:rPr>
        <w:t>ob upoštevanju Uredbe (EU) 2018/1725 Evropskega parlamenta in Sveta z dne 23. oktobra 2018 o varstvu posameznikov pri obdelavi osebnih podatkov v institucijah, organih, uradih in agencijah Unije in o prostem pretoku takih podatkov ter o razveljavitvi Uredbe (ES) št. 45/2001 in Sklepa št. 1247/2002/ES in zlasti člena 54,</w:t>
      </w:r>
    </w:p>
    <w:p w:rsidR="00752D52" w:rsidRPr="001B71E3" w:rsidRDefault="00752D52" w:rsidP="00752D52">
      <w:pPr>
        <w:pStyle w:val="NormalHanging12a"/>
      </w:pPr>
      <w:r w:rsidRPr="001B71E3">
        <w:t>–</w:t>
      </w:r>
      <w:r w:rsidRPr="001B71E3">
        <w:tab/>
        <w:t>ob upoštevanju člena 100 in Priloge V Poslovnika,</w:t>
      </w:r>
    </w:p>
    <w:p w:rsidR="00752D52" w:rsidRPr="001B71E3" w:rsidRDefault="00752D52" w:rsidP="00752D52">
      <w:pPr>
        <w:pStyle w:val="NormalHanging12a"/>
      </w:pPr>
      <w:r w:rsidRPr="001B71E3">
        <w:t>–</w:t>
      </w:r>
      <w:r w:rsidRPr="001B71E3">
        <w:tab/>
        <w:t>ob upoštevanju mnenja Odbora za državljanske svoboščine, pravosodje in notranje zadeve,</w:t>
      </w:r>
    </w:p>
    <w:p w:rsidR="00752D52" w:rsidRPr="001B71E3" w:rsidRDefault="00752D52" w:rsidP="00752D52">
      <w:pPr>
        <w:pStyle w:val="NormalHanging12a"/>
      </w:pPr>
      <w:r w:rsidRPr="001B71E3">
        <w:t>–</w:t>
      </w:r>
      <w:r w:rsidRPr="001B71E3">
        <w:tab/>
        <w:t>ob upoštevanju poročila Odbora za proračunski nadzor (A9</w:t>
      </w:r>
      <w:r w:rsidRPr="001B71E3">
        <w:noBreakHyphen/>
        <w:t>0086/2024),</w:t>
      </w:r>
    </w:p>
    <w:p w:rsidR="00752D52" w:rsidRPr="001B71E3" w:rsidRDefault="00752D52" w:rsidP="00752D52">
      <w:pPr>
        <w:pStyle w:val="NormalHanging12a"/>
      </w:pPr>
      <w:r w:rsidRPr="001B71E3">
        <w:t>1.</w:t>
      </w:r>
      <w:r w:rsidRPr="001B71E3">
        <w:tab/>
        <w:t>podeli razrešnico Evropskemu nadzorniku za varstvo podatkov glede izvrševanja proračuna za proračunsko leto 2022;</w:t>
      </w:r>
    </w:p>
    <w:p w:rsidR="00752D52" w:rsidRPr="001B71E3" w:rsidRDefault="00752D52" w:rsidP="00752D52">
      <w:pPr>
        <w:pStyle w:val="NormalHanging12a"/>
      </w:pPr>
      <w:r w:rsidRPr="001B71E3">
        <w:t>2.</w:t>
      </w:r>
      <w:r w:rsidRPr="001B71E3">
        <w:tab/>
        <w:t xml:space="preserve">navaja svoje pripombe v </w:t>
      </w:r>
      <w:r w:rsidR="00354C8E" w:rsidRPr="00CF6F32">
        <w:t xml:space="preserve">spodnji </w:t>
      </w:r>
      <w:r w:rsidRPr="001B71E3">
        <w:t>resoluciji;</w:t>
      </w:r>
    </w:p>
    <w:p w:rsidR="00752D52" w:rsidRPr="001B71E3" w:rsidRDefault="00752D52" w:rsidP="00752D52">
      <w:pPr>
        <w:pStyle w:val="NormalHanging12a"/>
      </w:pPr>
      <w:r w:rsidRPr="001B71E3">
        <w:t>3.</w:t>
      </w:r>
      <w:r w:rsidRPr="001B71E3">
        <w:tab/>
        <w:t xml:space="preserve">naroči svoji predsednici, naj ta sklep in resolucijo, ki je del sklepa, posreduje Evropskemu nadzorniku za varstvo podatkov, Evropskemu svetu, Svetu, Komisiji, Računskemu sodišču, Sodišču Evropske unije, Evropskemu varuhu človekovih pravic in Evropski službi za zunanje delovanje ter poskrbi za objavo v </w:t>
      </w:r>
      <w:r w:rsidRPr="001B71E3">
        <w:rPr>
          <w:i/>
        </w:rPr>
        <w:t>Uradnem listu Evropske unije</w:t>
      </w:r>
      <w:r w:rsidRPr="001B71E3">
        <w:t xml:space="preserve"> (serija L).</w:t>
      </w:r>
    </w:p>
    <w:p w:rsidR="00752D52" w:rsidRPr="001B71E3" w:rsidRDefault="00752D52" w:rsidP="00752D52"/>
    <w:p w:rsidR="00752D52" w:rsidRPr="001B71E3" w:rsidRDefault="00752D52" w:rsidP="00752D52">
      <w:pPr>
        <w:pStyle w:val="PageHeading"/>
        <w:sectPr w:rsidR="00752D52" w:rsidRPr="001B71E3" w:rsidSect="001B71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52D52" w:rsidRPr="001B71E3" w:rsidRDefault="00752D52" w:rsidP="00257BAE">
      <w:pPr>
        <w:pStyle w:val="ATHeading3"/>
      </w:pPr>
      <w:bookmarkStart w:id="8" w:name="_Toc161823098"/>
      <w:r w:rsidRPr="001B71E3">
        <w:lastRenderedPageBreak/>
        <w:t xml:space="preserve">2. </w:t>
      </w:r>
      <w:bookmarkEnd w:id="8"/>
      <w:r w:rsidR="00257BAE">
        <w:t xml:space="preserve">Resolucija Evropskega parlamenta z dne 11. aprila 2024 </w:t>
      </w:r>
      <w:r w:rsidRPr="001B71E3">
        <w:t>s pripombami, ki so del sklepa o razrešnici glede izvrševanja splošnega proračuna Evropske unije za proračunsko leto 2022, oddelek IX – Evropski nadzornik za varstvo podatkov</w:t>
      </w:r>
      <w:r w:rsidR="00257BAE">
        <w:t xml:space="preserve"> (2023</w:t>
      </w:r>
      <w:r w:rsidRPr="001B71E3">
        <w:t>/2138(DEC))</w:t>
      </w:r>
    </w:p>
    <w:p w:rsidR="00752D52" w:rsidRPr="001B71E3" w:rsidRDefault="00752D52" w:rsidP="00752D52">
      <w:pPr>
        <w:pStyle w:val="EPComma"/>
      </w:pPr>
      <w:r w:rsidRPr="001B71E3">
        <w:rPr>
          <w:i/>
        </w:rPr>
        <w:t>Evropski parlament</w:t>
      </w:r>
      <w:r w:rsidRPr="001B71E3">
        <w:t>,</w:t>
      </w:r>
    </w:p>
    <w:p w:rsidR="00752D52" w:rsidRPr="001B71E3" w:rsidRDefault="00752D52" w:rsidP="00752D52">
      <w:pPr>
        <w:pStyle w:val="NormalHanging12a"/>
      </w:pPr>
      <w:r w:rsidRPr="001B71E3">
        <w:t>–</w:t>
      </w:r>
      <w:r w:rsidRPr="001B71E3">
        <w:tab/>
        <w:t>ob upoštevanju sklepa o razrešnici glede izvrševanja splošnega proračuna Evropske unije za proračunsko leto 2022, oddelek IX – Evropski nadzornik za varstvo podatkov,</w:t>
      </w:r>
    </w:p>
    <w:p w:rsidR="00752D52" w:rsidRPr="001B71E3" w:rsidRDefault="00752D52" w:rsidP="00752D52">
      <w:pPr>
        <w:pStyle w:val="NormalHanging12a"/>
      </w:pPr>
      <w:r w:rsidRPr="001B71E3">
        <w:t>–</w:t>
      </w:r>
      <w:r w:rsidRPr="001B71E3">
        <w:tab/>
        <w:t>ob upoštevanju člena 100 in Priloge V Poslovnika,</w:t>
      </w:r>
    </w:p>
    <w:p w:rsidR="00752D52" w:rsidRPr="001B71E3" w:rsidRDefault="00752D52" w:rsidP="00752D52">
      <w:pPr>
        <w:pStyle w:val="NormalHanging12a"/>
      </w:pPr>
      <w:r w:rsidRPr="001B71E3">
        <w:t>–</w:t>
      </w:r>
      <w:r w:rsidRPr="001B71E3">
        <w:tab/>
        <w:t>ob upoštevanju mnenja Odbora za državljanske svoboščine, pravosodje in notranje zadeve,</w:t>
      </w:r>
    </w:p>
    <w:p w:rsidR="00752D52" w:rsidRPr="001B71E3" w:rsidRDefault="00752D52" w:rsidP="00752D52">
      <w:pPr>
        <w:pStyle w:val="NormalHanging12a"/>
      </w:pPr>
      <w:r w:rsidRPr="001B71E3">
        <w:t>–</w:t>
      </w:r>
      <w:r w:rsidRPr="001B71E3">
        <w:tab/>
        <w:t>ob upoštevanju poročila Odbora za proračunski nadzor (A9</w:t>
      </w:r>
      <w:r w:rsidRPr="001B71E3">
        <w:noBreakHyphen/>
        <w:t>0086/2024),</w:t>
      </w:r>
    </w:p>
    <w:p w:rsidR="00752D52" w:rsidRPr="001B71E3" w:rsidRDefault="00752D52" w:rsidP="00752D52">
      <w:pPr>
        <w:pStyle w:val="NormalHanging12a"/>
        <w:rPr>
          <w:szCs w:val="24"/>
        </w:rPr>
      </w:pPr>
      <w:r w:rsidRPr="001B71E3">
        <w:t>A.</w:t>
      </w:r>
      <w:r w:rsidRPr="001B71E3">
        <w:tab/>
        <w:t>ker želi organ za podelitev razrešnice v postopku razrešnice poudariti poseben pomen nadaljnje krepitve demokratične legitimnosti institucij Unije z izboljšanjem preglednosti in odgovornosti ter izvajanjem koncepta smotrne priprave proračuna in dobrega upravljanja človeških virov;</w:t>
      </w:r>
    </w:p>
    <w:p w:rsidR="00752D52" w:rsidRPr="001B71E3" w:rsidRDefault="00752D52" w:rsidP="00752D52">
      <w:pPr>
        <w:pStyle w:val="NormalHanging12a"/>
        <w:rPr>
          <w:szCs w:val="24"/>
        </w:rPr>
      </w:pPr>
      <w:r w:rsidRPr="001B71E3">
        <w:t>B.</w:t>
      </w:r>
      <w:r w:rsidRPr="001B71E3">
        <w:tab/>
        <w:t>ker je varstvo osebnih podatkov temeljna pravica, zaščitena z evropskim pravom in zapisana v členu 8 Listine Evropske unije o temeljnih pravicah;</w:t>
      </w:r>
    </w:p>
    <w:p w:rsidR="00752D52" w:rsidRPr="001B71E3" w:rsidRDefault="00752D52" w:rsidP="00752D52">
      <w:pPr>
        <w:pStyle w:val="NormalHanging12a"/>
        <w:rPr>
          <w:szCs w:val="24"/>
        </w:rPr>
      </w:pPr>
      <w:r w:rsidRPr="001B71E3">
        <w:t>C.</w:t>
      </w:r>
      <w:r w:rsidRPr="001B71E3">
        <w:tab/>
        <w:t>ker člen 16 Pogodbe o delovanju Evropske unije določa, da upoštevanje pravil o varstvu posameznikov pri obdelavi osebnih podatkov, ki se nanašajo nanje, nadzoruje neodvisen organ;</w:t>
      </w:r>
    </w:p>
    <w:p w:rsidR="00752D52" w:rsidRPr="001B71E3" w:rsidRDefault="00752D52" w:rsidP="00752D52">
      <w:pPr>
        <w:pStyle w:val="NormalHanging12a"/>
        <w:rPr>
          <w:szCs w:val="24"/>
        </w:rPr>
      </w:pPr>
      <w:r w:rsidRPr="001B71E3">
        <w:t>D.</w:t>
      </w:r>
      <w:r w:rsidRPr="001B71E3">
        <w:tab/>
        <w:t>ker Uredba (EU) 2018/1725 določa ustanovitev neodvisnega organa, tj. Evropskega nadzornika za varstvo podatkov (v nadaljnjem besedilu: nadzornik), ki je odgovoren za varovanje in zagotavljanje pravice do varstva podatkov in zasebnosti ter mora poskrbeti, da institucije in organi, uradi in agencije Unije prevzamejo kulturo strogega varstva podatkov;</w:t>
      </w:r>
    </w:p>
    <w:p w:rsidR="00752D52" w:rsidRPr="001B71E3" w:rsidRDefault="00752D52" w:rsidP="00752D52">
      <w:pPr>
        <w:pStyle w:val="NormalHanging12a"/>
        <w:rPr>
          <w:szCs w:val="24"/>
        </w:rPr>
      </w:pPr>
      <w:r w:rsidRPr="001B71E3">
        <w:t>E.</w:t>
      </w:r>
      <w:r w:rsidRPr="001B71E3">
        <w:tab/>
        <w:t>ker nadzornik svoje naloge opravlja v tesnem sodelovanju z drugimi organi za varstvo podatkov v Evropskem odboru za varstvo podatkov (v nadaljnjem besedilu: odbor) in deluje v javnem interesu, pri čemer ga vodijo načela nepristranskosti, integritete, preglednosti in pragmatizma;</w:t>
      </w:r>
    </w:p>
    <w:p w:rsidR="00752D52" w:rsidRPr="001B71E3" w:rsidRDefault="00752D52" w:rsidP="00752D52">
      <w:pPr>
        <w:pStyle w:val="NormalHanging12a"/>
        <w:rPr>
          <w:szCs w:val="24"/>
        </w:rPr>
      </w:pPr>
      <w:r w:rsidRPr="001B71E3">
        <w:t>F.</w:t>
      </w:r>
      <w:r w:rsidRPr="001B71E3">
        <w:tab/>
        <w:t xml:space="preserve">ker je nadzornik do 13. novembra 2022 pooblastila odredbodajalca prenesel na direktorja in nato na vodjo uprave v skladu z listino o nalogah in odgovornostih v zvezi s proračunom in upravo nadzornika, določene v skladu s členom 72(2) Uredbe (EU, </w:t>
      </w:r>
      <w:proofErr w:type="spellStart"/>
      <w:r w:rsidRPr="001B71E3">
        <w:t>Euratom</w:t>
      </w:r>
      <w:proofErr w:type="spellEnd"/>
      <w:r w:rsidRPr="001B71E3">
        <w:t>) 2018/1046 Evropskega parlamenta in Sveta, funkcijo računovodje nadzornika pa opravlja računovodja Komisije v skladu s sklepom Evropskega nadzornika za varstvo podatkov z dne 1. marca 2017;</w:t>
      </w:r>
    </w:p>
    <w:p w:rsidR="00752D52" w:rsidRPr="001B71E3" w:rsidRDefault="00752D52" w:rsidP="00752D52">
      <w:pPr>
        <w:pStyle w:val="NormalHanging12a"/>
        <w:rPr>
          <w:szCs w:val="24"/>
        </w:rPr>
      </w:pPr>
      <w:r w:rsidRPr="001B71E3">
        <w:t>1.</w:t>
      </w:r>
      <w:r w:rsidRPr="001B71E3">
        <w:tab/>
        <w:t>ugotavlja, da je proračun nadzornika del razdelka 7 večletnega finančnega okvira „Evropska javna uprava“, ki je v letu 2022 skupaj znašal 11,6 milijarde EUR, kar je 5,9 % porabe proračuna Unije; ugotavlja, da je proračun nadzornika predstavljal 0,17 % odobritev za razdelek 7 večletnega finančnega okvira;</w:t>
      </w:r>
    </w:p>
    <w:p w:rsidR="00752D52" w:rsidRPr="001B71E3" w:rsidRDefault="00752D52" w:rsidP="00752D52">
      <w:pPr>
        <w:pStyle w:val="NormalHanging12a"/>
        <w:rPr>
          <w:szCs w:val="24"/>
        </w:rPr>
      </w:pPr>
      <w:r w:rsidRPr="001B71E3">
        <w:lastRenderedPageBreak/>
        <w:t>2.</w:t>
      </w:r>
      <w:r w:rsidRPr="001B71E3">
        <w:tab/>
        <w:t>ugotavlja, da je Računsko sodišče v letnem poročilu za proračunsko leto 2022 preučilo vzorec 60 transakcij v upravi (enako število kot leta 2021); ugotavlja tudi, da Računsko sodišče navaja, da upravni odhodki zajemajo odhodke za človeške vire, vključno s pokojninami, ki so v letu 2022 predstavljali približno 70 % vseh upravnih odhodkov, ter odhodke za stavbe, opremo, energijo, komunikacije in informacijsko tehnologijo ter da njegovo delo že mnogo let kaže, da je tveganje pri teh odhodkih na splošno majhno;</w:t>
      </w:r>
    </w:p>
    <w:p w:rsidR="00752D52" w:rsidRPr="001B71E3" w:rsidRDefault="00752D52" w:rsidP="00752D52">
      <w:pPr>
        <w:pStyle w:val="NormalHanging12a"/>
        <w:rPr>
          <w:szCs w:val="24"/>
        </w:rPr>
      </w:pPr>
      <w:r w:rsidRPr="001B71E3">
        <w:t>3.</w:t>
      </w:r>
      <w:r w:rsidRPr="001B71E3">
        <w:tab/>
        <w:t>ugotavlja, da je Računsko sodišče v okviru revizije za leto 2022 preverilo nadzorne in kontrolne sisteme nadzornika, zlasti izvajanje standardov notranje kontrole, obvladovanje tveganja in delovanje ključnih kontrol, opredeljenih v finančni uredbi, vključno s predhodnimi in naknadnimi kontrolami plačil;</w:t>
      </w:r>
    </w:p>
    <w:p w:rsidR="00752D52" w:rsidRPr="001B71E3" w:rsidRDefault="00752D52" w:rsidP="00752D52">
      <w:pPr>
        <w:pStyle w:val="NormalHanging12a"/>
        <w:rPr>
          <w:szCs w:val="24"/>
        </w:rPr>
      </w:pPr>
      <w:r w:rsidRPr="001B71E3">
        <w:t>4.</w:t>
      </w:r>
      <w:r w:rsidRPr="001B71E3">
        <w:tab/>
        <w:t>ugotavlja, da je 14 (23 %) od 60 transakcij vsebovalo napake, vendar je nadzornik na podlagi petih količinsko opredeljenih napak ocenil, da je stopnja napake pod pragom pomembnosti;</w:t>
      </w:r>
    </w:p>
    <w:p w:rsidR="00752D52" w:rsidRPr="001B71E3" w:rsidRDefault="00752D52" w:rsidP="00752D52">
      <w:pPr>
        <w:pStyle w:val="NormalHanging12a"/>
        <w:rPr>
          <w:szCs w:val="24"/>
        </w:rPr>
      </w:pPr>
      <w:r w:rsidRPr="001B71E3">
        <w:t>5.</w:t>
      </w:r>
      <w:r w:rsidRPr="001B71E3">
        <w:tab/>
        <w:t>z zadovoljstvom ugotavlja, da Računsko sodišče v letnem poročilu za proračunsko leto 2022 navaja, da ni odkrilo posebnih težav v zvezi z nadzornikom;</w:t>
      </w:r>
    </w:p>
    <w:p w:rsidR="00752D52" w:rsidRPr="001B71E3" w:rsidRDefault="00752D52" w:rsidP="00752D52">
      <w:pPr>
        <w:pStyle w:val="NormalHanging12a"/>
        <w:rPr>
          <w:b/>
          <w:i/>
          <w:szCs w:val="24"/>
        </w:rPr>
      </w:pPr>
      <w:r w:rsidRPr="001B71E3">
        <w:rPr>
          <w:b/>
          <w:i/>
        </w:rPr>
        <w:t xml:space="preserve">Upravljanje proračuna in finančno </w:t>
      </w:r>
      <w:proofErr w:type="spellStart"/>
      <w:r w:rsidRPr="001B71E3">
        <w:rPr>
          <w:b/>
          <w:i/>
        </w:rPr>
        <w:t>poslovodenje</w:t>
      </w:r>
      <w:proofErr w:type="spellEnd"/>
    </w:p>
    <w:p w:rsidR="00752D52" w:rsidRPr="001B71E3" w:rsidRDefault="00752D52" w:rsidP="00752D52">
      <w:pPr>
        <w:pStyle w:val="NormalHanging12a"/>
        <w:rPr>
          <w:szCs w:val="24"/>
        </w:rPr>
      </w:pPr>
      <w:r w:rsidRPr="001B71E3">
        <w:t>6.</w:t>
      </w:r>
      <w:r w:rsidRPr="001B71E3">
        <w:tab/>
        <w:t>ugotavlja, da je končni sprejeti proračun nadzornika v letu 2022 znašal 20.266.000 EUR, kar je 4,12 % več kot leta 2021; ugotavlja, da je nadzornik na podlagi sporazuma o ravni storitve prejel 50.000 EUR namenskih prejemkov, povezanih s storitvami, zagotovljenimi nadzornemu organu Efte; ugotavlja, da proračun nadzornika zajema tudi delo neodvisnega sekretariata odbora;</w:t>
      </w:r>
    </w:p>
    <w:p w:rsidR="00752D52" w:rsidRPr="001B71E3" w:rsidRDefault="00752D52" w:rsidP="00752D52">
      <w:pPr>
        <w:pStyle w:val="NormalHanging12a"/>
        <w:rPr>
          <w:szCs w:val="24"/>
        </w:rPr>
      </w:pPr>
      <w:r w:rsidRPr="001B71E3">
        <w:t>7.</w:t>
      </w:r>
      <w:r w:rsidRPr="001B71E3">
        <w:tab/>
        <w:t>z zadovoljstvom ugotavlja, da je stopnja izvrševanja proračuna v letu 2022 znašala 98 %, kar je več kot leto prej, ko je znašala 86 %;</w:t>
      </w:r>
    </w:p>
    <w:p w:rsidR="00752D52" w:rsidRPr="001B71E3" w:rsidRDefault="00752D52" w:rsidP="00752D52">
      <w:pPr>
        <w:pStyle w:val="NormalHanging12a"/>
        <w:rPr>
          <w:szCs w:val="24"/>
        </w:rPr>
      </w:pPr>
      <w:r w:rsidRPr="001B71E3">
        <w:t>8.</w:t>
      </w:r>
      <w:r w:rsidRPr="001B71E3">
        <w:tab/>
        <w:t>ugotavlja, da je ruska vojaška agresija proti Ukrajini povzročila proračunski pritisk na nadzornika, tudi z naraščajočo inflacijo in prilagoditvijo plač, močno naraščajočimi stroški energije ter stroški blaga in storitev prek javnih naročil in sporazumov o ravni storitve z drugimi institucijami; pozdravlja notranje prerazporeditve znotraj proračunskih poglavij, ki so bile izvedene v letu 2022, da bi optimizirali izvrševanje proračuna;</w:t>
      </w:r>
    </w:p>
    <w:p w:rsidR="00752D52" w:rsidRPr="001B71E3" w:rsidRDefault="00752D52" w:rsidP="00752D52">
      <w:pPr>
        <w:pStyle w:val="NormalHanging12a"/>
        <w:rPr>
          <w:szCs w:val="24"/>
        </w:rPr>
      </w:pPr>
      <w:r w:rsidRPr="001B71E3">
        <w:t>9.</w:t>
      </w:r>
      <w:r w:rsidRPr="001B71E3">
        <w:tab/>
        <w:t>ugotavlja, da je povprečni rok za plačilo v letu 2022 znašal 21,54 dneva, kar je več kot leta 2021, ko je bil 19,98 dneva; pozdravlja uvedbo novega elektronskega plačilnega sistema za obdelavo računov, povezanih s stroški službenih potovanj, ki jih vnaprej plača potovalna agencija, kar naj bi pripomoglo k skrajšanju časa, ki je potreben za izvedbo plačil, ko bo popolnoma operativen; poziva nadzornika, naj preuči možnost razširitve tega sistema na druge vrste plačil;</w:t>
      </w:r>
    </w:p>
    <w:p w:rsidR="00752D52" w:rsidRPr="001B71E3" w:rsidRDefault="00752D52" w:rsidP="00752D52">
      <w:pPr>
        <w:pStyle w:val="NormalHanging12a"/>
        <w:rPr>
          <w:szCs w:val="24"/>
        </w:rPr>
      </w:pPr>
      <w:r w:rsidRPr="001B71E3">
        <w:t>10.</w:t>
      </w:r>
      <w:r w:rsidRPr="001B71E3">
        <w:tab/>
        <w:t xml:space="preserve">ugotavlja, da se je proračun nadzornika za službene poti osebja med letoma 2021 in 2022 povečal z 41.000 EUR na 251.000 EUR, kar je 512 % več zaradi ponovnih potovanj po pandemiji covida-19; ugotavlja tudi, da je imel nadzornik v okviru tega skupnega proračuna namenski proračun za službena potovanja nadzornika v letu 2022 v višini 33.000 EUR v primerjavi s 5.000 EUR v letu 2021, kar pomeni 560 % povečanje; ugotavlja, da sta povečanje inflacije in znatno zvišanje cen energije v letu 2022, povezana z rusko vojaško agresijo proti Ukrajini, negativno vplivala na letalske </w:t>
      </w:r>
      <w:r w:rsidRPr="001B71E3">
        <w:lastRenderedPageBreak/>
        <w:t>vozovnice in stroške hotela, zaradi česar so se povečali stroški misij;</w:t>
      </w:r>
    </w:p>
    <w:p w:rsidR="00752D52" w:rsidRPr="001B71E3" w:rsidRDefault="00752D52" w:rsidP="00752D52">
      <w:pPr>
        <w:pStyle w:val="NormalHanging12a"/>
        <w:rPr>
          <w:b/>
          <w:i/>
          <w:szCs w:val="24"/>
        </w:rPr>
      </w:pPr>
      <w:r w:rsidRPr="001B71E3">
        <w:rPr>
          <w:b/>
          <w:i/>
        </w:rPr>
        <w:t>Notranje upravljanje, uspešnost in notranja kontrola</w:t>
      </w:r>
    </w:p>
    <w:p w:rsidR="00752D52" w:rsidRPr="001B71E3" w:rsidRDefault="00752D52" w:rsidP="00752D52">
      <w:pPr>
        <w:pStyle w:val="NormalHanging12a"/>
        <w:rPr>
          <w:szCs w:val="24"/>
        </w:rPr>
      </w:pPr>
      <w:r w:rsidRPr="001B71E3">
        <w:t>11.</w:t>
      </w:r>
      <w:r w:rsidRPr="001B71E3">
        <w:tab/>
        <w:t>ugotavlja, da je nadzornik leta 2022 opravil vmesni pregled svoje strategije za obdobje 2020–2024 s poudarkom na treh stebrih „predvidevanje, ukrepanje in solidarnost“, v katerem je določil preusmerjeno vizijo in prednostne naloge za obdobje 2022–2024, da bi „oblikoval varnejšo digitalno prihodnost“;</w:t>
      </w:r>
    </w:p>
    <w:p w:rsidR="00752D52" w:rsidRPr="001B71E3" w:rsidRDefault="00752D52" w:rsidP="00752D52">
      <w:pPr>
        <w:pStyle w:val="NormalHanging12a"/>
        <w:rPr>
          <w:szCs w:val="24"/>
        </w:rPr>
      </w:pPr>
      <w:r w:rsidRPr="001B71E3">
        <w:t>12.</w:t>
      </w:r>
      <w:r w:rsidRPr="001B71E3">
        <w:tab/>
        <w:t>potrjuje velike organizacijske spremembe in ustrezno revizijo poslovnika, ki jo je nadzornik izvedel leta 2022, da bi podprl razvoj svojih nalog in izboljšal učinkovitost svojih procesov glede na hitro spreminjajoče se mednarodno okolje; zlasti ugotavlja, da je nadzornik zaradi teh sprememb vzpostavil novo funkcijo vodje sekretariata nadzornika na ravni generalnega sekretarja, posebno funkcijo pravne službe, sektor upravljanja in notranje skladnosti, dva nova operativna sektorja v enoti za nadzor in izvrševanje, nov finančni sektor v oddelku za človeške vire, enoto za proračun in upravo ter lokalni urad v Strasbourgu;</w:t>
      </w:r>
    </w:p>
    <w:p w:rsidR="00752D52" w:rsidRPr="001B71E3" w:rsidRDefault="00752D52" w:rsidP="009623A9">
      <w:pPr>
        <w:pStyle w:val="NormalHanging12a"/>
        <w:rPr>
          <w:szCs w:val="24"/>
        </w:rPr>
      </w:pPr>
      <w:r w:rsidRPr="001B71E3">
        <w:t>13.</w:t>
      </w:r>
      <w:r w:rsidRPr="001B71E3">
        <w:tab/>
        <w:t>ugotavlja, da so bile z začetkom veljavnosti Uredbe (EU) 2022/991 Evropskega parlamenta in Sveta</w:t>
      </w:r>
      <w:r w:rsidRPr="001B71E3">
        <w:rPr>
          <w:szCs w:val="24"/>
          <w:vertAlign w:val="superscript"/>
        </w:rPr>
        <w:footnoteReference w:id="6"/>
      </w:r>
      <w:r w:rsidRPr="001B71E3">
        <w:t xml:space="preserve"> </w:t>
      </w:r>
      <w:r w:rsidR="009623A9">
        <w:t>iz leta</w:t>
      </w:r>
      <w:bookmarkStart w:id="9" w:name="_GoBack"/>
      <w:bookmarkEnd w:id="9"/>
      <w:r w:rsidRPr="001B71E3">
        <w:t xml:space="preserve"> 2022 o spremembi Uredbe (EU) 2016/794 Evropskega parlamenta in Sveta</w:t>
      </w:r>
      <w:r w:rsidRPr="001B71E3">
        <w:rPr>
          <w:szCs w:val="24"/>
          <w:vertAlign w:val="superscript"/>
        </w:rPr>
        <w:footnoteReference w:id="7"/>
      </w:r>
      <w:r w:rsidRPr="001B71E3">
        <w:t xml:space="preserve"> o ustanovitvi Europola 28. junija 2022 okrepljene nadzorne funkcije nadzornika v zvezi z operativnimi osebnimi podatki, ki jih Europol obdeluje v okviru svojega mandata; ugotavlja, da so bile organizacijske spremembe, uvedene leta 2022, zlasti vzpostavitev novega </w:t>
      </w:r>
      <w:proofErr w:type="spellStart"/>
      <w:r w:rsidRPr="001B71E3">
        <w:t>podsektorja</w:t>
      </w:r>
      <w:proofErr w:type="spellEnd"/>
      <w:r w:rsidRPr="001B71E3">
        <w:t xml:space="preserve"> v enoti za nadzor in izvrševanje s specializiranim osebjem, namenjene zlasti razmisleku o posebnih pooblastilih nadzornika v zvezi z nadzorom agencij z območja svobode, varnosti in pravice, pri čemer je treba upoštevati tudi nova nadzorna pooblastila nadzornika v zvezi z Europolom; poziva nadzornika, naj organ za podelitev razrešnice obvešča o morebitnem nadaljnjem podaljšanju njegovega mandata in vplivu na vire;</w:t>
      </w:r>
    </w:p>
    <w:p w:rsidR="00752D52" w:rsidRPr="001B71E3" w:rsidRDefault="00752D52" w:rsidP="00752D52">
      <w:pPr>
        <w:pStyle w:val="NormalHanging12a"/>
        <w:rPr>
          <w:szCs w:val="24"/>
        </w:rPr>
      </w:pPr>
      <w:r w:rsidRPr="001B71E3">
        <w:t>14.</w:t>
      </w:r>
      <w:r w:rsidRPr="001B71E3">
        <w:tab/>
        <w:t>ugotavlja, da si je nadzornik v okviru sprememb, uvedenih leta 2022, prizadeval za racionalizacijo svojih notranjih postopkov za strožje obravnavanje preiskav in prerazporeditev specializiranega osebja; ugotavlja, da preiskovanje pritožb v okviru kazenskega pregona, npr. pritožb zoper odgovore Europola na zahtevke državljanov za dostop do podatkov, pogosto vključuje visoko stopnjo zapletenosti in v povprečju traja dlje kot druge pritožbe, zaradi vključenosti v postopek številnih deležnikov;</w:t>
      </w:r>
    </w:p>
    <w:p w:rsidR="00752D52" w:rsidRPr="001B71E3" w:rsidRDefault="00752D52" w:rsidP="00752D52">
      <w:pPr>
        <w:pStyle w:val="NormalHanging12a"/>
      </w:pPr>
      <w:r w:rsidRPr="001B71E3">
        <w:t>15.</w:t>
      </w:r>
      <w:r w:rsidRPr="001B71E3">
        <w:tab/>
        <w:t xml:space="preserve">ugotavlja, da je nadzornik leta 2022 prejel 367 pritožb, tj. 47 več kot leta 2021, od katerih jih je bilo 65 dopustnih, 302 pa nedopustni, poleg 129 dopustnih pritožb, ki so bile v letu 2022 v postopku obravnave; pozdravlja prizadevanja nadzornika za zmanjšanje velikega števila nedopustnih pritožb, ki se je od leta 2019 podvojilo, in s </w:t>
      </w:r>
      <w:r w:rsidRPr="001B71E3">
        <w:lastRenderedPageBreak/>
        <w:t>tem povečala potreba po sredstvih, potrebnih za njihovo obravnavo; ugotavlja, da je nadzornik izdal končno odločitev/mnenje/ ali odgovor v 23 od 65 primerov pritožb, prejetih leta 2022, v povprečju v 42 dneh; ugotavlja tudi, da je bila obravnava pritožb v zvezi z odgovori Europola na zahtevke državljanov za dostop do podatkov v povprečju zaključena v 5 do 12 mesecih; ugotavlja, da nadzornik nenehno ponovno ocenjuje svoje postopke in po potrebi izvaja izboljšave na podlagi preteklih izkušenj, da bi dodatno racionaliziral obravnavo pritožb in hitreje reševal pritožbe kljub omejenim sredstvom;</w:t>
      </w:r>
    </w:p>
    <w:p w:rsidR="00752D52" w:rsidRPr="001B71E3" w:rsidRDefault="00752D52" w:rsidP="00752D52">
      <w:pPr>
        <w:pStyle w:val="NormalHanging12a"/>
        <w:rPr>
          <w:szCs w:val="24"/>
        </w:rPr>
      </w:pPr>
      <w:r w:rsidRPr="001B71E3">
        <w:t>16.</w:t>
      </w:r>
      <w:r w:rsidRPr="001B71E3">
        <w:tab/>
        <w:t>ugotavlja, da je nadzornik leta 2022 izvedel dve predhodni preiskavi, v katerih je izrazil pomisleke glede morebitnih kršitev pravil o varstvu podatkov s strani institucije Unije, in nadaljeval tri tekoče formalne preiskave v obliki revizij varstva podatkov, od katerih je bila ena zaključena aprila 2022; poleg tega ugotavlja, da je nadzornik začel izvajati tudi štiri preiskave v obliki revizij varstva podatkov na podlagi pritožb v zvezi s spletnimi mesti nekaterih institucij, organov, uradov in agencij Unije ter eno preiskavo v sektorju območja svobode, varnosti in pravice ter nadaljeval tekoče preiskave, začete v prejšnjih letih; ugotavlja, da je revizija, ki jo je izvedel nadzornik glede načina, na katerega Europol obdeluje osebne podatke mladoletnikov, mlajših od 15 let, ki so jih agenciji predložile tretje države in mednarodne organizacije, in je bila zaključena septembra 2023 po 10-mesečni preiskavi, in potem, ko je nadzornik to temo prvotno izpostavil s priporočili, naslovljenimi na Europol decembra 2018, v zvezi z obdelavo občutljivih podatkov;</w:t>
      </w:r>
    </w:p>
    <w:p w:rsidR="00752D52" w:rsidRPr="001B71E3" w:rsidRDefault="00752D52" w:rsidP="00752D52">
      <w:pPr>
        <w:pStyle w:val="NormalHanging12a"/>
        <w:rPr>
          <w:szCs w:val="24"/>
        </w:rPr>
      </w:pPr>
      <w:r w:rsidRPr="001B71E3">
        <w:t>17.</w:t>
      </w:r>
      <w:r w:rsidRPr="001B71E3">
        <w:tab/>
        <w:t>poziva Evropskega nadzornika za varstvo podatkov, naj izboljša postopek in prednostno obravnava osebne podatke, ki se nanašajo na mladoletnike, mlajše od 15 let, saj gre za ranljive skupine, ki potrebujejo okrepljeno varstvo, in je zato upravičen do prednostnega statusa;</w:t>
      </w:r>
    </w:p>
    <w:p w:rsidR="00752D52" w:rsidRPr="001B71E3" w:rsidRDefault="00752D52" w:rsidP="00752D52">
      <w:pPr>
        <w:pStyle w:val="NormalHanging12a"/>
        <w:rPr>
          <w:szCs w:val="24"/>
        </w:rPr>
      </w:pPr>
      <w:r w:rsidRPr="001B71E3">
        <w:t>18.</w:t>
      </w:r>
      <w:r w:rsidRPr="001B71E3">
        <w:tab/>
        <w:t>ugotavlja, da je nadzornik 16. septembra 2022 pri Sodišču Evropske unije vložil tožbo za razglasitev ničnosti dveh določb spremenjene uredbe o Europolu, ki jo je Sodišče Evropske unije pozneje zavrnilo; poudarja, da dejstvo, da nadzornik v svoji nadzorni vlogi Sodišču Evropske unije predloži pomembne pravne zadeve, ne bi smelo vplivati na lojalno sodelovanje in dobre odnose med nadzornikom in subjekti, ki jih nadzoruje;</w:t>
      </w:r>
    </w:p>
    <w:p w:rsidR="00752D52" w:rsidRPr="001B71E3" w:rsidRDefault="00752D52" w:rsidP="00752D52">
      <w:pPr>
        <w:pStyle w:val="NormalHanging12a"/>
        <w:rPr>
          <w:szCs w:val="24"/>
        </w:rPr>
      </w:pPr>
      <w:r w:rsidRPr="001B71E3">
        <w:t>19.</w:t>
      </w:r>
      <w:r w:rsidRPr="001B71E3">
        <w:tab/>
        <w:t>z zadovoljstvom ugotavlja, da je nadzornik konec leta 2022 razvil nov okvir za obvladovanje tveganj, s čimer je okrepil svoj okvir notranje kontrole in vključil analizo tveganja v letno načrtovanje, v okviru katerega bi bilo treba vsako leto določiti prispevek za prednostne naloge nadzornika;</w:t>
      </w:r>
    </w:p>
    <w:p w:rsidR="00752D52" w:rsidRPr="001B71E3" w:rsidRDefault="00752D52" w:rsidP="00752D52">
      <w:pPr>
        <w:pStyle w:val="NormalHanging12a"/>
        <w:rPr>
          <w:szCs w:val="24"/>
        </w:rPr>
      </w:pPr>
      <w:r w:rsidRPr="001B71E3">
        <w:t>20.</w:t>
      </w:r>
      <w:r w:rsidRPr="001B71E3">
        <w:tab/>
        <w:t xml:space="preserve">ceni, da ima nadzornika pomembno posvetovalno in svetovalno vlogo v zakonodajnem postopku; ugotavlja, da je nadzornik podal nasvete v obliki 27 mnenj (12 v letu 2021), 49 uradnih pripomb (76 v letu 2021) in 30 neuradnih pripomb (29 v letu 2021) za Komisijo in </w:t>
      </w:r>
      <w:proofErr w:type="spellStart"/>
      <w:r w:rsidRPr="001B71E3">
        <w:t>sozakonodajalce</w:t>
      </w:r>
      <w:proofErr w:type="spellEnd"/>
      <w:r w:rsidRPr="001B71E3">
        <w:t xml:space="preserve"> v odziv na zahteve za zakonodajno posvetovanje v letu 2022;</w:t>
      </w:r>
    </w:p>
    <w:p w:rsidR="00752D52" w:rsidRPr="001B71E3" w:rsidRDefault="00752D52" w:rsidP="00752D52">
      <w:pPr>
        <w:pStyle w:val="NormalHanging12a"/>
        <w:rPr>
          <w:szCs w:val="24"/>
        </w:rPr>
      </w:pPr>
      <w:r w:rsidRPr="001B71E3">
        <w:t>21.</w:t>
      </w:r>
      <w:r w:rsidRPr="001B71E3">
        <w:tab/>
        <w:t>poziva ENVP, naj pregleda svoj poslovnik o zagotavljanju pravočasnega pregleda pritožb državljanov, pri čemer naj upošteva vse ustrezne informacije, in organ za podelitev razrešnice obvesti o napredku, doseženem na tem področju;</w:t>
      </w:r>
    </w:p>
    <w:p w:rsidR="00752D52" w:rsidRPr="001B71E3" w:rsidRDefault="00752D52" w:rsidP="00752D52">
      <w:pPr>
        <w:pStyle w:val="NormalHanging12a"/>
        <w:rPr>
          <w:b/>
          <w:i/>
          <w:szCs w:val="24"/>
        </w:rPr>
      </w:pPr>
      <w:r w:rsidRPr="001B71E3">
        <w:rPr>
          <w:b/>
          <w:i/>
        </w:rPr>
        <w:t>Človeški viri, enakost in dobro počutje zaposlenih</w:t>
      </w:r>
    </w:p>
    <w:p w:rsidR="00752D52" w:rsidRPr="001B71E3" w:rsidRDefault="00752D52" w:rsidP="00752D52">
      <w:pPr>
        <w:pStyle w:val="NormalHanging12a"/>
        <w:rPr>
          <w:szCs w:val="24"/>
        </w:rPr>
      </w:pPr>
      <w:r w:rsidRPr="001B71E3">
        <w:t>22.</w:t>
      </w:r>
      <w:r w:rsidRPr="001B71E3">
        <w:tab/>
        <w:t xml:space="preserve">ugotavlja, da je imel nadzornik konec leta 2022 127 uslužbencev (konec leta 2021 124, </w:t>
      </w:r>
      <w:r w:rsidRPr="001B71E3">
        <w:lastRenderedPageBreak/>
        <w:t>konec leta 2020 pa 114); ugotavlja, da je nadzornik zaposloval 52 pogodbenih uslužbencev v skladu s členom 3(b) kadrovskih predpisov za uradnike in pogojev za zaposlitev drugih uslužbencev ter 6 začasnih uslužbencev v skladu s členoma 2(b) in 2(c); ugotavlja tudi, da je nadzornik v letu 2022 zaposloval osem zunanjih ponudnikov storitev, ki so delali na kraju samem; poziva ga, naj organ za podelitev razrešnice obvesti o ukrepih, ki so bili sprejeti, da se dostop zunanjih ponudnikov storitev do informacij upravlja v skladu s stopnjo zaupnosti, ki jo zahtevajo obravnavane zadeve;</w:t>
      </w:r>
    </w:p>
    <w:p w:rsidR="00752D52" w:rsidRPr="001B71E3" w:rsidRDefault="00752D52" w:rsidP="00752D52">
      <w:pPr>
        <w:pStyle w:val="NormalHanging12a"/>
        <w:rPr>
          <w:szCs w:val="24"/>
        </w:rPr>
      </w:pPr>
      <w:r w:rsidRPr="001B71E3">
        <w:t>23.</w:t>
      </w:r>
      <w:r w:rsidRPr="001B71E3">
        <w:tab/>
        <w:t>meni, da bi moral nadzornik glede na povečano delovno obremenitev zaradi novih nalog in odgovornosti, dodeljenih Evropskemu nadzorniku za varstvo podatkov, ter glede na veliko več zakonodajnih posvetovanj in naborov podatkov, ki jih je treba spremljati, sorazmerno povečati število zaposlenih, da bi ohranil učinkovite delovne postopke z razumnim odzivnim časom; spodbuja nadzornika, naj svojim zaposlenim ponudi pogodbe za nedoločen čas, da bi zagotovil nemoteno poslovanje in zanesljivo zaposlitev;</w:t>
      </w:r>
    </w:p>
    <w:p w:rsidR="00752D52" w:rsidRPr="001B71E3" w:rsidRDefault="00752D52" w:rsidP="00752D52">
      <w:pPr>
        <w:pStyle w:val="NormalHanging12a"/>
        <w:rPr>
          <w:szCs w:val="24"/>
        </w:rPr>
      </w:pPr>
      <w:r w:rsidRPr="001B71E3">
        <w:t>24.</w:t>
      </w:r>
      <w:r w:rsidRPr="001B71E3">
        <w:tab/>
        <w:t>ugotavlja, da je stopnja zasedenosti delovnih mest v kadrovskem načrtu konec leta 2022 znašala 86,9 %; obžaluje, da je stopnja zasedenosti delovnih mest po kadrovskem načrtu nižja od cilja za leto 2022; ugotavlja, da primanjkuje usposobljenih strokovnjakov; spodbuja nadzornika, naj preuči strategije za večjo prepoznavnost prostih delovnih mest; ugotavlja, da je nadzornik leta 2022 organiziral zunanji izbirni postopek za pripravo rezervnega seznama specializiranih kandidatov glede na potrebe po zaposlovanju od leta 2022 dalje;</w:t>
      </w:r>
    </w:p>
    <w:p w:rsidR="00752D52" w:rsidRPr="001B71E3" w:rsidRDefault="00752D52" w:rsidP="00752D52">
      <w:pPr>
        <w:pStyle w:val="NormalHanging12a"/>
        <w:rPr>
          <w:szCs w:val="24"/>
        </w:rPr>
      </w:pPr>
      <w:r w:rsidRPr="001B71E3">
        <w:t>25.</w:t>
      </w:r>
      <w:r w:rsidRPr="001B71E3">
        <w:tab/>
        <w:t>ugotavlja, da je nadzornik ob upoštevanju izkušenj, pridobljenih med pandemijo covida-19, maja 2022 sprejel nov sklep o delovnem času in hibridnem delu, v skladu s katerim lahko zaposleni precej spreminjajo svoj delovni čas glede na režim gibljivega delovnega časa in do tri dni na teden delajo na daljavo; pozdravlja rezultate ankete med zaposlenimi, izvedene po sprejetju tega sklepa, ki je pokazala, da je bila večina zaposlenih zadovoljna z novo ureditvijo dela;</w:t>
      </w:r>
    </w:p>
    <w:p w:rsidR="00752D52" w:rsidRPr="001B71E3" w:rsidRDefault="00752D52" w:rsidP="00752D52">
      <w:pPr>
        <w:pStyle w:val="NormalHanging12a"/>
        <w:rPr>
          <w:b/>
          <w:i/>
          <w:szCs w:val="24"/>
        </w:rPr>
      </w:pPr>
      <w:r w:rsidRPr="001B71E3">
        <w:t>26.</w:t>
      </w:r>
      <w:r w:rsidRPr="001B71E3">
        <w:tab/>
        <w:t>čestita nadzorniku, ker je bilo leta 2022 med zaposlenimi 22 narodnosti, kar pomeni izboljšanje v primerjavi z 21 narodnostmi leta 2021 in je kljub preveliki zastopanosti petih narodnosti za tako majhno institucijo odlična ocena; poziva nadzornika, naj si prizadeva za pravičnejšo geografsko zastopanost med vsemi državami članicami, pri čemer naj posebno pozornost nameni odpravljanju premajhne zastopanosti nekaterih držav;</w:t>
      </w:r>
    </w:p>
    <w:p w:rsidR="00752D52" w:rsidRPr="001B71E3" w:rsidRDefault="00752D52" w:rsidP="00752D52">
      <w:pPr>
        <w:pStyle w:val="NormalHanging12a"/>
        <w:rPr>
          <w:szCs w:val="24"/>
        </w:rPr>
      </w:pPr>
      <w:r w:rsidRPr="001B71E3">
        <w:t>27.</w:t>
      </w:r>
      <w:r w:rsidRPr="001B71E3">
        <w:tab/>
        <w:t>ugotavlja, da je nadzornik leta 2022 zaposloval 64 % žensk in 36 % moških, kar je enako kot v prejšnjih letih, ko je bila porazdelitev med ženskami in moškimi 63 % oziroma 37 %; obžaluje, da v letu 2022 ni bilo žensk na višjih vodstvenih položajih, medtem ko je bila zastopanost spolov pri štirih srednjih vodstvenih delavcih med letom uravnotežena; poziva nadzornika, naj si še naprej prizadeva za uravnoteženo zastopanost spolov pri zaposlenih;</w:t>
      </w:r>
    </w:p>
    <w:p w:rsidR="00752D52" w:rsidRPr="001B71E3" w:rsidRDefault="00752D52" w:rsidP="00752D52">
      <w:pPr>
        <w:pStyle w:val="NormalHanging12a"/>
        <w:rPr>
          <w:szCs w:val="24"/>
        </w:rPr>
      </w:pPr>
      <w:r w:rsidRPr="001B71E3">
        <w:t>28.</w:t>
      </w:r>
      <w:r w:rsidRPr="001B71E3">
        <w:tab/>
        <w:t xml:space="preserve">z zadovoljstvom ugotavlja, da uslužbenci nadzornika v letu 2022 niso poročali o nobenem primeru izgorelosti ali nadlegovanja; pozdravlja, da je nadzornik ustanovil delovno skupino za razpravo o vprašanjih v zvezi z razdelitvijo in dodeljevanjem dela na podlagi rezultatov dvoletne ankete o zadovoljstvu zaposlenih, izvedene junija 2022, v skladu s katero so nekateri uslužbenci nadzornika menili, da delovna obremenitev ni bila enakomerno ali dobro porazdeljena po skupinah in med sodelavci; poziva </w:t>
      </w:r>
      <w:r w:rsidRPr="001B71E3">
        <w:lastRenderedPageBreak/>
        <w:t>nadzornika, naj organ za podelitev razrešnice obvešča o izidu razprav v delovni skupini in podrobnostih akcijskega načrta v pripravi;</w:t>
      </w:r>
    </w:p>
    <w:p w:rsidR="00752D52" w:rsidRPr="001B71E3" w:rsidRDefault="00752D52" w:rsidP="00752D52">
      <w:pPr>
        <w:pStyle w:val="NormalHanging12a"/>
        <w:rPr>
          <w:szCs w:val="24"/>
        </w:rPr>
      </w:pPr>
      <w:r w:rsidRPr="001B71E3">
        <w:t>29.</w:t>
      </w:r>
      <w:r w:rsidRPr="001B71E3">
        <w:tab/>
        <w:t>pozdravlja, da si je nadzornik še naprej prizadeval za boljše telesno in duševno dobro počutje zaposlenih;</w:t>
      </w:r>
    </w:p>
    <w:p w:rsidR="00752D52" w:rsidRPr="001B71E3" w:rsidRDefault="00752D52" w:rsidP="00752D52">
      <w:pPr>
        <w:pStyle w:val="NormalHanging12a"/>
        <w:rPr>
          <w:szCs w:val="24"/>
        </w:rPr>
      </w:pPr>
      <w:r w:rsidRPr="001B71E3">
        <w:t>30.</w:t>
      </w:r>
      <w:r w:rsidRPr="001B71E3">
        <w:tab/>
        <w:t>z zadovoljstvom ugotavlja, da je nadzornik v letu 2022 rekrutiral 18 pripravnikov, ki so prejemali plačilo in imeli enake delovne dogovore kot preostali uslužbenci;</w:t>
      </w:r>
    </w:p>
    <w:p w:rsidR="00752D52" w:rsidRPr="001B71E3" w:rsidRDefault="00752D52" w:rsidP="00752D52">
      <w:pPr>
        <w:pStyle w:val="NormalHanging12a"/>
        <w:rPr>
          <w:b/>
          <w:i/>
          <w:szCs w:val="24"/>
        </w:rPr>
      </w:pPr>
      <w:r w:rsidRPr="001B71E3">
        <w:rPr>
          <w:b/>
          <w:i/>
        </w:rPr>
        <w:t>Etični okvir in preglednost</w:t>
      </w:r>
    </w:p>
    <w:p w:rsidR="00752D52" w:rsidRPr="001B71E3" w:rsidRDefault="00752D52" w:rsidP="00752D52">
      <w:pPr>
        <w:pStyle w:val="NormalHanging12a"/>
        <w:rPr>
          <w:szCs w:val="24"/>
        </w:rPr>
      </w:pPr>
      <w:r w:rsidRPr="001B71E3">
        <w:t>31.</w:t>
      </w:r>
      <w:r w:rsidRPr="001B71E3">
        <w:tab/>
        <w:t>ugotavlja, da je nadzornik v letu 2022 svoja prizadevanja osredotočil na povečanje ozaveščenosti zaposlenih o etičnem okviru nadzornika/odbora z organizacijo obveznih namenskih usposabljanj za vse zaposlene in uvodnih usposabljanj za nove uslužbence nadzornika/odbora; spodbuja nadzornika, naj še naprej ozavešča in organizira raziskave za oceno ravni ozaveščenosti zaposlenih o etičnem okviru nadzornika/odbora;</w:t>
      </w:r>
    </w:p>
    <w:p w:rsidR="00752D52" w:rsidRPr="001B71E3" w:rsidRDefault="00752D52" w:rsidP="00752D52">
      <w:pPr>
        <w:pStyle w:val="NormalHanging12a"/>
        <w:rPr>
          <w:szCs w:val="24"/>
        </w:rPr>
      </w:pPr>
      <w:r w:rsidRPr="001B71E3">
        <w:t>32.</w:t>
      </w:r>
      <w:r w:rsidRPr="001B71E3">
        <w:tab/>
        <w:t>pozdravlja splošno visoko raven preglednosti, ki jo je nadzornik dosegel v zvezi s svojimi dejavnostmi, zlasti kar zadeva objavo dnevnega reda in izjave o interesih nadzornika in vodje uprave nadzornika, v skladu s kodeksom ravnanja nadzornika iz leta 2019; obžaluje, da se je nadzornik odločil, da bo za vodjo uprave nadzornika uporabil kodeks ravnanja nadzornika, namesto da bi sprejel poseben kodeks ravnanja za višje vodstvene položaje;</w:t>
      </w:r>
    </w:p>
    <w:p w:rsidR="00752D52" w:rsidRPr="001B71E3" w:rsidRDefault="00752D52" w:rsidP="00752D52">
      <w:pPr>
        <w:pStyle w:val="NormalHanging12a"/>
        <w:rPr>
          <w:szCs w:val="24"/>
        </w:rPr>
      </w:pPr>
      <w:r w:rsidRPr="001B71E3">
        <w:t>33.</w:t>
      </w:r>
      <w:r w:rsidRPr="001B71E3">
        <w:tab/>
        <w:t xml:space="preserve">z zadovoljstvom ugotavlja, da nadzornik od svoje ustanovitve nikoli ni bil vključen v preiskave Evropskega urada za boj proti goljufijam (OLAF); </w:t>
      </w:r>
    </w:p>
    <w:p w:rsidR="00752D52" w:rsidRPr="001B71E3" w:rsidRDefault="00752D52" w:rsidP="00752D52">
      <w:pPr>
        <w:pStyle w:val="NormalHanging12a"/>
        <w:rPr>
          <w:szCs w:val="24"/>
        </w:rPr>
      </w:pPr>
      <w:r w:rsidRPr="001B71E3">
        <w:t>34.</w:t>
      </w:r>
      <w:r w:rsidRPr="001B71E3">
        <w:tab/>
        <w:t>z zadovoljstvom ugotavlja, da sta bili preiskavi, ki ju je varuhinja človekovih pravic začela leta 2022 v zvezi z nadzornikom, zaključeni brez ugotovitev nepravilnosti;</w:t>
      </w:r>
    </w:p>
    <w:p w:rsidR="00752D52" w:rsidRPr="001B71E3" w:rsidRDefault="00752D52" w:rsidP="00752D52">
      <w:pPr>
        <w:pStyle w:val="NormalHanging12a"/>
        <w:rPr>
          <w:b/>
          <w:i/>
          <w:szCs w:val="24"/>
        </w:rPr>
      </w:pPr>
      <w:r w:rsidRPr="001B71E3">
        <w:t>35.</w:t>
      </w:r>
      <w:r w:rsidRPr="001B71E3">
        <w:tab/>
        <w:t xml:space="preserve">obžaluje, da se nadzornik še vedno ni formalno pridružil registru za preglednost; kljub temu pozdravlja uskladitev pravil nadzornika o preglednosti z načeli registra za preglednost v zvezi z obveznimi predhodnimi preverjanji v registru za preglednost za sestanke tretjih oseb z nadzornikom in vodjo uprave nadzornika; poudarja, da bi bilo preglednost mogoče bolje podpreti z dejavnim vpisom v register za preglednost; ponovno poziva nadzornika, naj se pridruži registru EU za preglednost; </w:t>
      </w:r>
    </w:p>
    <w:p w:rsidR="00752D52" w:rsidRPr="001B71E3" w:rsidRDefault="00752D52" w:rsidP="00752D52">
      <w:pPr>
        <w:pStyle w:val="NormalHanging12a"/>
        <w:rPr>
          <w:szCs w:val="24"/>
        </w:rPr>
      </w:pPr>
      <w:r w:rsidRPr="001B71E3">
        <w:t>36.</w:t>
      </w:r>
      <w:r w:rsidRPr="001B71E3">
        <w:tab/>
        <w:t>ugotavlja, da je nadzornik s kodeksi ravnanja, ozaveščanjem in izjavami vzpostavil okvir za preprečevanje nasprotij interesov na ravni višjega vodstva in osebja; z zadovoljstvom ugotavlja, da v letu 2022 ni bil odkrit noben primer nasprotij interesov;</w:t>
      </w:r>
    </w:p>
    <w:p w:rsidR="00752D52" w:rsidRPr="001B71E3" w:rsidRDefault="00752D52" w:rsidP="00752D52">
      <w:pPr>
        <w:pStyle w:val="NormalHanging12a"/>
        <w:rPr>
          <w:szCs w:val="24"/>
        </w:rPr>
      </w:pPr>
      <w:r w:rsidRPr="001B71E3">
        <w:t>37.</w:t>
      </w:r>
      <w:r w:rsidRPr="001B71E3">
        <w:tab/>
        <w:t>ugotavlja, da ima nadzornik notranja pravila o prijavljanju nepravilnosti, ki opredeljujejo varne poti in kanale, prek katerih lahko uslužbenci izrazijo pomisleke glede goljufij, korupcije ali drugih resnih kršitev brez poseganja v zaupnost identitete prijavitelja nepravilnosti in sporočenih informacij; ugotavlja, da se v letu 2022 ni poročalo o primerih prijavljanja nepravilnosti;</w:t>
      </w:r>
    </w:p>
    <w:p w:rsidR="00752D52" w:rsidRPr="001B71E3" w:rsidRDefault="00752D52" w:rsidP="00752D52">
      <w:pPr>
        <w:pStyle w:val="NormalHanging12a"/>
        <w:rPr>
          <w:b/>
          <w:i/>
          <w:szCs w:val="24"/>
        </w:rPr>
      </w:pPr>
      <w:r w:rsidRPr="001B71E3">
        <w:rPr>
          <w:b/>
          <w:i/>
        </w:rPr>
        <w:t>Digitalizacija, kibernetska varnost in varstvo podatkov</w:t>
      </w:r>
    </w:p>
    <w:p w:rsidR="00752D52" w:rsidRPr="001B71E3" w:rsidRDefault="00752D52" w:rsidP="00752D52">
      <w:pPr>
        <w:pStyle w:val="NormalHanging12a"/>
        <w:rPr>
          <w:szCs w:val="24"/>
        </w:rPr>
      </w:pPr>
      <w:r w:rsidRPr="001B71E3">
        <w:t>38.</w:t>
      </w:r>
      <w:r w:rsidRPr="001B71E3">
        <w:tab/>
        <w:t>ugotavlja, da je bil proračun za leto 2022 za opremo in projekte IT za 21 % višji v primerjavi z letom 2021; ugotavlja, da je treba pri teh informacijah upoštevati, da je bil proračun za IT za leto 2021 za 20 % višji v primerjavi s proračunom za leto 2020;</w:t>
      </w:r>
    </w:p>
    <w:p w:rsidR="00752D52" w:rsidRPr="001B71E3" w:rsidRDefault="00752D52" w:rsidP="00752D52">
      <w:pPr>
        <w:pStyle w:val="NormalHanging12a"/>
        <w:rPr>
          <w:szCs w:val="24"/>
        </w:rPr>
      </w:pPr>
      <w:r w:rsidRPr="001B71E3">
        <w:lastRenderedPageBreak/>
        <w:t>39.</w:t>
      </w:r>
      <w:r w:rsidRPr="001B71E3">
        <w:tab/>
        <w:t>ugotavlja, da je nadzornik leta 2022 v okviru obsežne študije izvedljivosti IT opravil raziskavo o strategijah IT več institucij, organov, uradov in agencij Unije, ki je bila podlaga za opredelitev njegove strategije za informacijsko tehnologijo v prihodnjih letih; poziva ga, naj organ za podelitev razrešnice obvešča o rezultatih te analize in njenem vplivu na vire;</w:t>
      </w:r>
    </w:p>
    <w:p w:rsidR="00752D52" w:rsidRPr="001B71E3" w:rsidRDefault="00752D52" w:rsidP="00752D52">
      <w:pPr>
        <w:pStyle w:val="NormalHanging12a"/>
        <w:rPr>
          <w:szCs w:val="24"/>
        </w:rPr>
      </w:pPr>
      <w:r w:rsidRPr="001B71E3">
        <w:t>40.</w:t>
      </w:r>
      <w:r w:rsidRPr="001B71E3">
        <w:tab/>
        <w:t>ugotavlja, da Parlament nadzorniku kot svojemu korporativnemu ponudniku storitev zagotavlja opremo in storitve IT; pozdravlja prizadevanja nadzornika za nenehno izboljševanje učinkovitosti in varnosti svojega digitalnega delovnega prostora, ki sta večji od tistih, ki ju zagotavlja Parlament; ugotavlja, da je to vključevalo izboljšanje kakovosti in učinkovitosti računalnikov, ki jih zaposleni pri nadzorniku prejmejo v sodelovanju s Parlamentom, z namenom posploševanja hibridnega dela;</w:t>
      </w:r>
    </w:p>
    <w:p w:rsidR="00752D52" w:rsidRPr="001B71E3" w:rsidRDefault="00752D52" w:rsidP="00752D52">
      <w:pPr>
        <w:pStyle w:val="NormalHanging12a"/>
        <w:rPr>
          <w:szCs w:val="24"/>
        </w:rPr>
      </w:pPr>
      <w:r w:rsidRPr="001B71E3">
        <w:t>41.</w:t>
      </w:r>
      <w:r w:rsidRPr="001B71E3">
        <w:tab/>
        <w:t>priznava vodilno vlogo, ki jo ima nadzornik pri krepitvi pripravljenosti institucij, organov, uradov in agencij Unije na področju kibernetske varnosti; ugotavlja, da je nadzornik v letu 2022 še naprej izboljševal svojo pripravljenost za zaščito osebnih podatkov in občutljivih informacij pred kibernetskimi napadi glede na hitro spreminjajoče se okolje kibernetskih groženj; čestita nadzorniku, ker je pred začetkom veljavnosti akta EU o kibernetski varnosti pregledal svoje varnostne politike in metodologije ter prilagodil svoje pogodbene zahteve za kibernetsko varnost v skladu s smernicami skupine CERT-EU v korist vseh institucij; ugotavlja, da nadzornik v letu 2022 ni bil deležen nobenega kibernetskega napada;</w:t>
      </w:r>
    </w:p>
    <w:p w:rsidR="00752D52" w:rsidRPr="001B71E3" w:rsidRDefault="00752D52" w:rsidP="00752D52">
      <w:pPr>
        <w:pStyle w:val="NormalHanging12a"/>
        <w:rPr>
          <w:szCs w:val="24"/>
        </w:rPr>
      </w:pPr>
      <w:r w:rsidRPr="001B71E3">
        <w:t>42.</w:t>
      </w:r>
      <w:r w:rsidRPr="001B71E3">
        <w:tab/>
        <w:t>Ugotavlja, da nadzornik poskusno izvaja in razvija inovativne odprtokodne informacijske rešitve, ki spoštujejo zasebnost; meni, da bi nadzornik moral te izkušnje deliti z drugimi institucijami, organi, uradi in agencijami Unije;</w:t>
      </w:r>
    </w:p>
    <w:p w:rsidR="00752D52" w:rsidRPr="001B71E3" w:rsidRDefault="00752D52" w:rsidP="00752D52">
      <w:pPr>
        <w:pStyle w:val="NormalHanging12a"/>
        <w:rPr>
          <w:szCs w:val="24"/>
        </w:rPr>
      </w:pPr>
      <w:r w:rsidRPr="001B71E3">
        <w:t>43.</w:t>
      </w:r>
      <w:r w:rsidRPr="001B71E3">
        <w:tab/>
        <w:t xml:space="preserve">pozdravlja nadaljnje ukrepe ENVP v zvezi s sodbo </w:t>
      </w:r>
      <w:proofErr w:type="spellStart"/>
      <w:r w:rsidRPr="001B71E3">
        <w:t>Schrems</w:t>
      </w:r>
      <w:proofErr w:type="spellEnd"/>
      <w:r w:rsidRPr="001B71E3">
        <w:t xml:space="preserve"> II, pri čemer se je osredotočil zlasti na pogodbe institucij, uradov in organov EU z zasebnimi subjekti v letu 2022, zlasti velikimi ponudniki IKT, ter na dogovore med institucijami, uradi in organi EU in javnimi organi ali mednarodnimi organizacijami zunaj EU/EGP;</w:t>
      </w:r>
    </w:p>
    <w:p w:rsidR="00752D52" w:rsidRPr="001B71E3" w:rsidRDefault="00752D52" w:rsidP="00752D52">
      <w:pPr>
        <w:pStyle w:val="NormalHanging12a"/>
        <w:ind w:left="0" w:firstLine="0"/>
        <w:rPr>
          <w:b/>
          <w:i/>
          <w:szCs w:val="24"/>
        </w:rPr>
      </w:pPr>
      <w:r w:rsidRPr="001B71E3">
        <w:rPr>
          <w:b/>
          <w:i/>
        </w:rPr>
        <w:t>Stavbe</w:t>
      </w:r>
    </w:p>
    <w:p w:rsidR="00752D52" w:rsidRPr="001B71E3" w:rsidRDefault="00752D52" w:rsidP="00752D52">
      <w:pPr>
        <w:pStyle w:val="NormalHanging12a"/>
        <w:rPr>
          <w:szCs w:val="24"/>
        </w:rPr>
      </w:pPr>
      <w:r w:rsidRPr="001B71E3">
        <w:t>44.</w:t>
      </w:r>
      <w:r w:rsidRPr="001B71E3">
        <w:tab/>
        <w:t>ugotavlja, da sta bila nadzornik in odbor leta 2022 edina najemnika stavbe Parlamenta, v kateri sta imela sedež, potem ko se je evropska varuhinja človekovih pravic preselila konec leta 2021; ugotavlja, da so bila po selitvi tri nadstropja stavbe v celoti obnovljena, da bi se lahko vselili uslužbenci nadzornika in odbora ter da bi se prostori prilagodili novim delovnim pogojem, ki so prevladovali po pandemiji covida-19;</w:t>
      </w:r>
    </w:p>
    <w:p w:rsidR="00752D52" w:rsidRPr="001B71E3" w:rsidRDefault="00752D52" w:rsidP="00752D52">
      <w:pPr>
        <w:pStyle w:val="NormalHanging12a"/>
        <w:rPr>
          <w:szCs w:val="24"/>
        </w:rPr>
      </w:pPr>
      <w:r w:rsidRPr="001B71E3">
        <w:t>45.</w:t>
      </w:r>
      <w:r w:rsidRPr="001B71E3">
        <w:tab/>
        <w:t>ugotavlja, da se nadzornik pri dostopnosti do stavbe zanaša na odločitve, ki jih sprejme in izvaja Parlament v okviru svoje nepremičninske politike; poziva nadzornika, naj se zavzame za to, da se je treba osredotočiti na potrebe oseb z omejeno mobilnostjo ali invalidov, in organ za podelitev razrešnice obvesti o vseh novih odločitvah, sprejetih v zvezi s tem;</w:t>
      </w:r>
    </w:p>
    <w:p w:rsidR="00752D52" w:rsidRPr="001B71E3" w:rsidRDefault="00752D52" w:rsidP="00752D52">
      <w:pPr>
        <w:pStyle w:val="NormalHanging12a"/>
        <w:ind w:left="0" w:firstLine="0"/>
        <w:rPr>
          <w:b/>
          <w:i/>
          <w:szCs w:val="24"/>
        </w:rPr>
      </w:pPr>
      <w:r w:rsidRPr="001B71E3">
        <w:rPr>
          <w:b/>
          <w:i/>
        </w:rPr>
        <w:t xml:space="preserve">Okolje in </w:t>
      </w:r>
      <w:proofErr w:type="spellStart"/>
      <w:r w:rsidRPr="001B71E3">
        <w:rPr>
          <w:b/>
          <w:i/>
        </w:rPr>
        <w:t>trajnostnost</w:t>
      </w:r>
      <w:proofErr w:type="spellEnd"/>
    </w:p>
    <w:p w:rsidR="00752D52" w:rsidRPr="001B71E3" w:rsidRDefault="00752D52" w:rsidP="00752D52">
      <w:pPr>
        <w:pStyle w:val="NormalHanging12a"/>
        <w:rPr>
          <w:szCs w:val="24"/>
        </w:rPr>
      </w:pPr>
      <w:r w:rsidRPr="001B71E3">
        <w:t>46.</w:t>
      </w:r>
      <w:r w:rsidRPr="001B71E3">
        <w:tab/>
        <w:t xml:space="preserve">ugotavlja, da se nadzornik ni pridružil sistemu za okoljsko ravnanje in presojo (EMAS), ampak je izvedel več ukrepov za zmanjšanje svojega okoljskega odtisa, kot je zmanjšanje količine papirja po digitalizaciji procesov človeških virov ali recikliranje </w:t>
      </w:r>
      <w:r w:rsidRPr="001B71E3">
        <w:lastRenderedPageBreak/>
        <w:t>odpadkov; ugotavlja, da v zvezi z okoljsko infrastrukturo v stavbi, ki jo je najel Parlament, niso bili nameščeni sončni paneli; poziva nadzornika, naj organ za podelitev razrešnice obvesti o vseh novih odločitvah o namestitvi sončnih panelov na stavbo;</w:t>
      </w:r>
    </w:p>
    <w:p w:rsidR="00752D52" w:rsidRPr="001B71E3" w:rsidRDefault="00752D52" w:rsidP="00752D52">
      <w:pPr>
        <w:pStyle w:val="NormalHanging12a"/>
        <w:rPr>
          <w:szCs w:val="24"/>
        </w:rPr>
      </w:pPr>
      <w:r w:rsidRPr="001B71E3">
        <w:t>47.</w:t>
      </w:r>
      <w:r w:rsidRPr="001B71E3">
        <w:tab/>
        <w:t>pozdravlja, da nadzornik še naprej spodbuja trajnostno mobilnost osebja s povračilom 50 % mesečnih/letnih naročnin za uporabo javnega prevoza in z dodelitvijo dovolj prostora v garažnih prostorih za osebje, da lahko parkira svoja kolesa;</w:t>
      </w:r>
    </w:p>
    <w:p w:rsidR="00752D52" w:rsidRPr="001B71E3" w:rsidRDefault="00752D52" w:rsidP="00752D52">
      <w:pPr>
        <w:pStyle w:val="NormalHanging12a"/>
        <w:rPr>
          <w:b/>
          <w:i/>
          <w:szCs w:val="24"/>
        </w:rPr>
      </w:pPr>
      <w:r w:rsidRPr="001B71E3">
        <w:rPr>
          <w:b/>
          <w:i/>
        </w:rPr>
        <w:t>Medinstitucionalno sodelovanje</w:t>
      </w:r>
    </w:p>
    <w:p w:rsidR="00752D52" w:rsidRPr="001B71E3" w:rsidRDefault="00752D52" w:rsidP="00752D52">
      <w:pPr>
        <w:pStyle w:val="NormalHanging12a"/>
        <w:rPr>
          <w:szCs w:val="24"/>
        </w:rPr>
      </w:pPr>
      <w:r w:rsidRPr="001B71E3">
        <w:t>48.</w:t>
      </w:r>
      <w:r w:rsidRPr="001B71E3">
        <w:tab/>
        <w:t>pozdravlja proračunske in upravne prihranke, dosežene z medinstitucionalnim sodelovanjem, zlasti s sklenitvijo sporazumov o ravni storitve s Parlamentom za najem njegovih prostorov in uporabo aplikacij sistema IT, strojne opreme in vzdrževanja ter s Komisijo za storitve IKT;</w:t>
      </w:r>
    </w:p>
    <w:p w:rsidR="00752D52" w:rsidRPr="001B71E3" w:rsidRDefault="00752D52" w:rsidP="00752D52">
      <w:pPr>
        <w:pStyle w:val="NormalHanging12a"/>
        <w:rPr>
          <w:szCs w:val="24"/>
        </w:rPr>
      </w:pPr>
      <w:r w:rsidRPr="001B71E3">
        <w:t>49.</w:t>
      </w:r>
      <w:r w:rsidRPr="001B71E3">
        <w:tab/>
        <w:t>ugotavlja, da nadzornik tesno, čeprav neformalno, sodeluje z uradom OLAF, Evropskim javnim tožilstvom in Računskim sodiščem ter jim svetuje o posebnih projektih in vprašanjih, ki dopolnjujejo njegovo nadzorno vlogo; zlasti pozdravlja redni dialog z Evropskim javnim tožilstvom kot novoustanovljeno institucijo v letu 2022; pozdravlja, da nadzornik bolj strukturirano sodeluje z evropsko varuhinjo človekovih pravic z memorandumom o soglasju, namen katerega je opredeliti načine za njegovo sodelovanje na ravni obravnave pritožb;</w:t>
      </w:r>
    </w:p>
    <w:p w:rsidR="00752D52" w:rsidRPr="001B71E3" w:rsidRDefault="00752D52" w:rsidP="00752D52">
      <w:pPr>
        <w:pStyle w:val="NormalHanging12a"/>
        <w:rPr>
          <w:szCs w:val="24"/>
        </w:rPr>
      </w:pPr>
      <w:r w:rsidRPr="001B71E3">
        <w:t>50.</w:t>
      </w:r>
      <w:r w:rsidRPr="001B71E3">
        <w:tab/>
        <w:t xml:space="preserve">ugotavlja, da je medinstitucionalno sodelovanje z nadzornikom v njegovi nadzorni vlogi ključnega pomena za druge institucije, organe, urade in agencije Unije, da izboljšajo svojo raven skladnosti s pravnim okvirom za varstvo podatkov; čestita nadzorniku, ker je prevzel vodilno vlogo pri oddaji medinstitucionalne pogodbe za zagotavljanje storitev </w:t>
      </w:r>
      <w:proofErr w:type="spellStart"/>
      <w:r w:rsidRPr="001B71E3">
        <w:t>Nextcloud</w:t>
      </w:r>
      <w:proofErr w:type="spellEnd"/>
      <w:r w:rsidRPr="001B71E3">
        <w:t xml:space="preserve"> za institucije, organe, urade in agencije Unije kot podpisnice;</w:t>
      </w:r>
    </w:p>
    <w:p w:rsidR="00752D52" w:rsidRPr="001B71E3" w:rsidRDefault="00752D52" w:rsidP="00752D52">
      <w:pPr>
        <w:pStyle w:val="NormalHanging12a"/>
        <w:rPr>
          <w:szCs w:val="24"/>
        </w:rPr>
      </w:pPr>
      <w:r w:rsidRPr="001B71E3">
        <w:t>51.</w:t>
      </w:r>
      <w:r w:rsidRPr="001B71E3">
        <w:tab/>
        <w:t>pozdravlja ključno vlogo nadzornika v letu 2022 pri usklajevanju organov za varstvo podatkov držav članic, ki so zastopani v odboru, da bi spodbujali dosledno varstvo podatkov po vsej Uniji; ugotavlja, da je nadzornik sodeloval pri usklajenem izvršilnem ukrepu odbora za leto 2022 v zvezi z uporabo storitev v oblaku v Uniji, katerega namen je bil izmenjava znanja in dobre prakse med nadzornikom, institucijami, organi, uradi in agencijami Unije ter organi za varstvo podatkov;</w:t>
      </w:r>
    </w:p>
    <w:p w:rsidR="00752D52" w:rsidRPr="001B71E3" w:rsidRDefault="00752D52" w:rsidP="00752D52">
      <w:pPr>
        <w:pStyle w:val="NormalHanging12a"/>
        <w:rPr>
          <w:b/>
          <w:i/>
          <w:szCs w:val="24"/>
        </w:rPr>
      </w:pPr>
      <w:r w:rsidRPr="001B71E3">
        <w:rPr>
          <w:b/>
          <w:i/>
        </w:rPr>
        <w:t>Komunikacija</w:t>
      </w:r>
    </w:p>
    <w:p w:rsidR="00752D52" w:rsidRPr="001B71E3" w:rsidRDefault="00752D52" w:rsidP="00752D52">
      <w:pPr>
        <w:pStyle w:val="NormalHanging12a"/>
        <w:rPr>
          <w:szCs w:val="24"/>
        </w:rPr>
      </w:pPr>
      <w:r w:rsidRPr="001B71E3">
        <w:t>52.</w:t>
      </w:r>
      <w:r w:rsidRPr="001B71E3">
        <w:tab/>
        <w:t>ugotavlja, da je proračun za javne komunikacijske in promocijske dejavnosti v letu 2022 znašal 304.665 EUR, kar je 19 % več kot leta 2021; pozdravlja celovito komunikacijsko strategijo, namenjeno ozaveščanju o vlogi in pomenu spoštovanja pravil Unije o varstvu podatkov, ki se osredotoča na institucije, organe, urade in agencije Unije, strokovnjake EU za varstvo podatkov in splošno javnost;</w:t>
      </w:r>
    </w:p>
    <w:p w:rsidR="00752D52" w:rsidRPr="001B71E3" w:rsidRDefault="00752D52" w:rsidP="00752D52">
      <w:pPr>
        <w:pStyle w:val="NormalHanging12a"/>
        <w:rPr>
          <w:szCs w:val="24"/>
        </w:rPr>
      </w:pPr>
      <w:r w:rsidRPr="001B71E3">
        <w:t>53.</w:t>
      </w:r>
      <w:r w:rsidRPr="001B71E3">
        <w:tab/>
        <w:t>z zadovoljstvom ugotavlja, da je nadzornik v letu 2022 organiziral več dogodkov za komuniciranje v hibridni obliki, zlasti pomembno mednarodno konferenco z naslovom Prihodnost varstva podatkov: učinkovito izvrševanje v digitalnem svetu, na kateri je sodelovalo več kot 2000 udeležencev, tako osebno kot na daljavo;</w:t>
      </w:r>
    </w:p>
    <w:p w:rsidR="00752D52" w:rsidRPr="001B71E3" w:rsidRDefault="00752D52" w:rsidP="00752D52">
      <w:pPr>
        <w:pStyle w:val="NormalHanging12a"/>
        <w:rPr>
          <w:szCs w:val="24"/>
        </w:rPr>
      </w:pPr>
      <w:r w:rsidRPr="001B71E3">
        <w:t>54.</w:t>
      </w:r>
      <w:r w:rsidRPr="001B71E3">
        <w:tab/>
        <w:t xml:space="preserve">ugotavlja, da nadzornik prek svojega spletnega mesta in računov na družbenih omrežjih komunicira na aplikaciji X (prej </w:t>
      </w:r>
      <w:proofErr w:type="spellStart"/>
      <w:r w:rsidRPr="001B71E3">
        <w:t>Twitter</w:t>
      </w:r>
      <w:proofErr w:type="spellEnd"/>
      <w:r w:rsidRPr="001B71E3">
        <w:t xml:space="preserve">) (29.100 sledilcev), </w:t>
      </w:r>
      <w:proofErr w:type="spellStart"/>
      <w:r w:rsidRPr="001B71E3">
        <w:t>LinkedIn</w:t>
      </w:r>
      <w:proofErr w:type="spellEnd"/>
      <w:r w:rsidRPr="001B71E3">
        <w:t xml:space="preserve"> (63.000 sledilcev), YouTube (275 000 sledilcev), EU-</w:t>
      </w:r>
      <w:proofErr w:type="spellStart"/>
      <w:r w:rsidRPr="001B71E3">
        <w:t>Voice</w:t>
      </w:r>
      <w:proofErr w:type="spellEnd"/>
      <w:r w:rsidRPr="001B71E3">
        <w:t xml:space="preserve"> (5.100 sledilcev) in EU-</w:t>
      </w:r>
      <w:r w:rsidRPr="001B71E3">
        <w:lastRenderedPageBreak/>
        <w:t>Video (690 sledilcev); ugotavlja, da je nadzornik v letu 2022 začel več kampanj v družbenih medijih, namenjenih spodbujanju posameznih pobud ali izvedenih v partnerstvu z drugimi institucijami, organi, uradi in agencijami Unije, da bi povečal doseg in javnost obveščal o svojih dejavnostih;</w:t>
      </w:r>
    </w:p>
    <w:p w:rsidR="00752D52" w:rsidRPr="001B71E3" w:rsidRDefault="00752D52" w:rsidP="00752D52">
      <w:pPr>
        <w:pStyle w:val="NormalHanging12a"/>
        <w:rPr>
          <w:szCs w:val="24"/>
        </w:rPr>
      </w:pPr>
      <w:r w:rsidRPr="001B71E3">
        <w:t>55.</w:t>
      </w:r>
      <w:r w:rsidRPr="001B71E3">
        <w:tab/>
        <w:t>je seznanjen, da ima nadzornik vodilno vlogo pri pilotnem izvajanju in spodbujanju kanalov družbenih medijev, ki prispevajo k strategiji Unije za podatkovno in digitalno suverenost, kar je v skladu s pravnim okvirom za varstvo podatkov;</w:t>
      </w:r>
    </w:p>
    <w:p w:rsidR="00752D52" w:rsidRPr="001B71E3" w:rsidRDefault="00752D52" w:rsidP="000A684A">
      <w:pPr>
        <w:pStyle w:val="NormalHanging12a"/>
      </w:pPr>
      <w:r w:rsidRPr="001B71E3">
        <w:t>56.</w:t>
      </w:r>
      <w:r w:rsidRPr="001B71E3">
        <w:tab/>
        <w:t xml:space="preserve">ponovno izraža podporo prizadevanjem nadzornika, da bi na primer v poročilih </w:t>
      </w:r>
      <w:proofErr w:type="spellStart"/>
      <w:r w:rsidRPr="001B71E3">
        <w:t>TechDispatch</w:t>
      </w:r>
      <w:proofErr w:type="spellEnd"/>
      <w:r w:rsidRPr="001B71E3">
        <w:t xml:space="preserve"> in </w:t>
      </w:r>
      <w:proofErr w:type="spellStart"/>
      <w:r w:rsidRPr="001B71E3">
        <w:t>TechSonar</w:t>
      </w:r>
      <w:proofErr w:type="spellEnd"/>
      <w:r w:rsidRPr="001B71E3">
        <w:t xml:space="preserve"> spremljal in širši javnosti pojasnil razvoj tehnologije in njegov morebitni vpliv na varstvo podatkov in zasebnost; poleg tega spodbuja nadzornika, naj poveča svoje zmogljivosti za spremljanje tehnologije in začne javnost obveščati o svojih ugotovitvah in priporočilih.</w:t>
      </w:r>
    </w:p>
    <w:sectPr w:rsidR="00752D52" w:rsidRPr="001B71E3" w:rsidSect="001B71E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A8F" w:rsidRPr="001B71E3" w:rsidRDefault="00046A8F">
      <w:r w:rsidRPr="001B71E3">
        <w:separator/>
      </w:r>
    </w:p>
  </w:endnote>
  <w:endnote w:type="continuationSeparator" w:id="0">
    <w:p w:rsidR="00046A8F" w:rsidRPr="001B71E3" w:rsidRDefault="00046A8F">
      <w:r w:rsidRPr="001B71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D52" w:rsidRPr="001B71E3" w:rsidRDefault="00752D52" w:rsidP="00D153C8">
    <w:pPr>
      <w:pStyle w:val="EPFooter"/>
    </w:pPr>
    <w:r w:rsidRPr="001B71E3">
      <w:t>PE</w:t>
    </w:r>
    <w:r w:rsidRPr="001B71E3">
      <w:rPr>
        <w:rStyle w:val="HideTWBExt"/>
      </w:rPr>
      <w:t>&lt;</w:t>
    </w:r>
    <w:proofErr w:type="spellStart"/>
    <w:r w:rsidRPr="001B71E3">
      <w:rPr>
        <w:rStyle w:val="HideTWBExt"/>
      </w:rPr>
      <w:t>NoPE</w:t>
    </w:r>
    <w:proofErr w:type="spellEnd"/>
    <w:r w:rsidRPr="001B71E3">
      <w:rPr>
        <w:rStyle w:val="HideTWBExt"/>
      </w:rPr>
      <w:t>&gt;</w:t>
    </w:r>
    <w:r w:rsidRPr="001B71E3">
      <w:t>753.487</w:t>
    </w:r>
    <w:r w:rsidRPr="001B71E3">
      <w:rPr>
        <w:rStyle w:val="HideTWBExt"/>
      </w:rPr>
      <w:t>&lt;/</w:t>
    </w:r>
    <w:proofErr w:type="spellStart"/>
    <w:r w:rsidRPr="001B71E3">
      <w:rPr>
        <w:rStyle w:val="HideTWBExt"/>
      </w:rPr>
      <w:t>NoPE</w:t>
    </w:r>
    <w:proofErr w:type="spellEnd"/>
    <w:r w:rsidRPr="001B71E3">
      <w:rPr>
        <w:rStyle w:val="HideTWBExt"/>
      </w:rPr>
      <w:t>&gt;&lt;Version&gt;</w:t>
    </w:r>
    <w:r w:rsidRPr="001B71E3">
      <w:t>v02-00</w:t>
    </w:r>
    <w:r w:rsidRPr="001B71E3">
      <w:rPr>
        <w:rStyle w:val="HideTWBExt"/>
      </w:rPr>
      <w:t>&lt;/</w:t>
    </w:r>
    <w:proofErr w:type="spellStart"/>
    <w:r w:rsidRPr="001B71E3">
      <w:rPr>
        <w:rStyle w:val="HideTWBExt"/>
      </w:rPr>
      <w:t>Version</w:t>
    </w:r>
    <w:proofErr w:type="spellEnd"/>
    <w:r w:rsidRPr="001B71E3">
      <w:rPr>
        <w:rStyle w:val="HideTWBExt"/>
      </w:rPr>
      <w:t>&gt;</w:t>
    </w:r>
    <w:r w:rsidRPr="001B71E3">
      <w:tab/>
    </w:r>
    <w:r w:rsidRPr="001B71E3">
      <w:fldChar w:fldCharType="begin"/>
    </w:r>
    <w:r w:rsidRPr="001B71E3">
      <w:instrText xml:space="preserve"> PAGE  \* MERGEFORMAT </w:instrText>
    </w:r>
    <w:r w:rsidRPr="001B71E3">
      <w:fldChar w:fldCharType="separate"/>
    </w:r>
    <w:r w:rsidR="001B71E3" w:rsidRPr="001B71E3">
      <w:rPr>
        <w:noProof/>
      </w:rPr>
      <w:t>2</w:t>
    </w:r>
    <w:r w:rsidRPr="001B71E3">
      <w:fldChar w:fldCharType="end"/>
    </w:r>
    <w:r w:rsidRPr="001B71E3">
      <w:t>/</w:t>
    </w:r>
    <w:r w:rsidR="009623A9">
      <w:fldChar w:fldCharType="begin"/>
    </w:r>
    <w:r w:rsidR="009623A9">
      <w:instrText xml:space="preserve"> NUMPAGES  \* MERGEFORMAT </w:instrText>
    </w:r>
    <w:r w:rsidR="009623A9">
      <w:fldChar w:fldCharType="separate"/>
    </w:r>
    <w:r w:rsidR="001B71E3" w:rsidRPr="001B71E3">
      <w:rPr>
        <w:noProof/>
      </w:rPr>
      <w:t>4</w:t>
    </w:r>
    <w:r w:rsidR="009623A9">
      <w:rPr>
        <w:noProof/>
      </w:rPr>
      <w:fldChar w:fldCharType="end"/>
    </w:r>
    <w:r w:rsidRPr="001B71E3">
      <w:tab/>
    </w:r>
    <w:r w:rsidRPr="001B71E3">
      <w:rPr>
        <w:rStyle w:val="HideTWBExt"/>
      </w:rPr>
      <w:t>&lt;PathFdR&gt;</w:t>
    </w:r>
    <w:r w:rsidRPr="001B71E3">
      <w:t>RR\1298695SL.docx</w:t>
    </w:r>
    <w:r w:rsidRPr="001B71E3">
      <w:rPr>
        <w:rStyle w:val="HideTWBExt"/>
      </w:rPr>
      <w:t>&lt;/</w:t>
    </w:r>
    <w:proofErr w:type="spellStart"/>
    <w:r w:rsidRPr="001B71E3">
      <w:rPr>
        <w:rStyle w:val="HideTWBExt"/>
      </w:rPr>
      <w:t>PathFdR</w:t>
    </w:r>
    <w:proofErr w:type="spellEnd"/>
    <w:r w:rsidRPr="001B71E3">
      <w:rPr>
        <w:rStyle w:val="HideTWBExt"/>
      </w:rPr>
      <w:t>&gt;</w:t>
    </w:r>
  </w:p>
  <w:p w:rsidR="00752D52" w:rsidRPr="001B71E3" w:rsidRDefault="00752D52" w:rsidP="00D153C8">
    <w:pPr>
      <w:pStyle w:val="EPFooter2"/>
    </w:pPr>
    <w:r w:rsidRPr="001B71E3">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D52" w:rsidRPr="001B71E3" w:rsidRDefault="00752D52" w:rsidP="00D153C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D52" w:rsidRPr="001B71E3" w:rsidRDefault="00752D52" w:rsidP="00D153C8">
    <w:pPr>
      <w:pStyle w:val="EPFooter"/>
    </w:pPr>
    <w:r w:rsidRPr="001B71E3">
      <w:rPr>
        <w:rStyle w:val="HideTWBExt"/>
      </w:rPr>
      <w:t>&lt;PathFdR&gt;</w:t>
    </w:r>
    <w:r w:rsidRPr="001B71E3">
      <w:t>RR\1298695SL.docx</w:t>
    </w:r>
    <w:r w:rsidRPr="001B71E3">
      <w:rPr>
        <w:rStyle w:val="HideTWBExt"/>
      </w:rPr>
      <w:t>&lt;/</w:t>
    </w:r>
    <w:proofErr w:type="spellStart"/>
    <w:r w:rsidRPr="001B71E3">
      <w:rPr>
        <w:rStyle w:val="HideTWBExt"/>
      </w:rPr>
      <w:t>PathFdR</w:t>
    </w:r>
    <w:proofErr w:type="spellEnd"/>
    <w:r w:rsidRPr="001B71E3">
      <w:rPr>
        <w:rStyle w:val="HideTWBExt"/>
      </w:rPr>
      <w:t>&gt;</w:t>
    </w:r>
    <w:r w:rsidRPr="001B71E3">
      <w:tab/>
    </w:r>
    <w:r w:rsidRPr="001B71E3">
      <w:tab/>
      <w:t>PE</w:t>
    </w:r>
    <w:r w:rsidRPr="001B71E3">
      <w:rPr>
        <w:rStyle w:val="HideTWBExt"/>
      </w:rPr>
      <w:t>&lt;</w:t>
    </w:r>
    <w:proofErr w:type="spellStart"/>
    <w:r w:rsidRPr="001B71E3">
      <w:rPr>
        <w:rStyle w:val="HideTWBExt"/>
      </w:rPr>
      <w:t>NoPE</w:t>
    </w:r>
    <w:proofErr w:type="spellEnd"/>
    <w:r w:rsidRPr="001B71E3">
      <w:rPr>
        <w:rStyle w:val="HideTWBExt"/>
      </w:rPr>
      <w:t>&gt;</w:t>
    </w:r>
    <w:r w:rsidRPr="001B71E3">
      <w:t>753.487</w:t>
    </w:r>
    <w:r w:rsidRPr="001B71E3">
      <w:rPr>
        <w:rStyle w:val="HideTWBExt"/>
      </w:rPr>
      <w:t>&lt;/</w:t>
    </w:r>
    <w:proofErr w:type="spellStart"/>
    <w:r w:rsidRPr="001B71E3">
      <w:rPr>
        <w:rStyle w:val="HideTWBExt"/>
      </w:rPr>
      <w:t>NoPE</w:t>
    </w:r>
    <w:proofErr w:type="spellEnd"/>
    <w:r w:rsidRPr="001B71E3">
      <w:rPr>
        <w:rStyle w:val="HideTWBExt"/>
      </w:rPr>
      <w:t>&gt;&lt;Version&gt;</w:t>
    </w:r>
    <w:r w:rsidRPr="001B71E3">
      <w:t>v02-00</w:t>
    </w:r>
    <w:r w:rsidRPr="001B71E3">
      <w:rPr>
        <w:rStyle w:val="HideTWBExt"/>
      </w:rPr>
      <w:t>&lt;/</w:t>
    </w:r>
    <w:proofErr w:type="spellStart"/>
    <w:r w:rsidRPr="001B71E3">
      <w:rPr>
        <w:rStyle w:val="HideTWBExt"/>
      </w:rPr>
      <w:t>Version</w:t>
    </w:r>
    <w:proofErr w:type="spellEnd"/>
    <w:r w:rsidRPr="001B71E3">
      <w:rPr>
        <w:rStyle w:val="HideTWBExt"/>
      </w:rPr>
      <w:t>&gt;</w:t>
    </w:r>
  </w:p>
  <w:p w:rsidR="00752D52" w:rsidRPr="001B71E3" w:rsidRDefault="00752D52" w:rsidP="00D153C8">
    <w:pPr>
      <w:pStyle w:val="EPFooter2"/>
    </w:pPr>
    <w:r w:rsidRPr="001B71E3">
      <w:t>SL</w:t>
    </w:r>
    <w:r w:rsidRPr="001B71E3">
      <w:tab/>
    </w:r>
    <w:r w:rsidRPr="001B71E3">
      <w:rPr>
        <w:b w:val="0"/>
        <w:i/>
        <w:color w:val="C0C0C0"/>
        <w:sz w:val="22"/>
      </w:rPr>
      <w:t>Združena v raznolikosti</w:t>
    </w:r>
    <w:r w:rsidRPr="001B71E3">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1E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1E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1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A8F" w:rsidRPr="001B71E3" w:rsidRDefault="00046A8F">
      <w:r w:rsidRPr="001B71E3">
        <w:separator/>
      </w:r>
    </w:p>
  </w:footnote>
  <w:footnote w:type="continuationSeparator" w:id="0">
    <w:p w:rsidR="00046A8F" w:rsidRPr="001B71E3" w:rsidRDefault="00046A8F">
      <w:r w:rsidRPr="001B71E3">
        <w:continuationSeparator/>
      </w:r>
    </w:p>
  </w:footnote>
  <w:footnote w:id="1">
    <w:p w:rsidR="00752D52" w:rsidRPr="001B71E3" w:rsidRDefault="00752D52" w:rsidP="001B71E3">
      <w:pPr>
        <w:pStyle w:val="FootnoteText"/>
        <w:ind w:left="567" w:hanging="567"/>
        <w:rPr>
          <w:sz w:val="24"/>
          <w:lang w:val="sl-SI"/>
        </w:rPr>
      </w:pPr>
      <w:r w:rsidRPr="001B71E3">
        <w:rPr>
          <w:rStyle w:val="FootnoteReference"/>
          <w:sz w:val="24"/>
          <w:lang w:val="sl-SI"/>
        </w:rPr>
        <w:footnoteRef/>
      </w:r>
      <w:r w:rsidR="001B71E3" w:rsidRPr="001B71E3">
        <w:rPr>
          <w:sz w:val="24"/>
          <w:lang w:val="sl-SI"/>
        </w:rPr>
        <w:t xml:space="preserve"> </w:t>
      </w:r>
      <w:r w:rsidR="001B71E3" w:rsidRPr="001B71E3">
        <w:rPr>
          <w:sz w:val="24"/>
          <w:lang w:val="sl-SI"/>
        </w:rPr>
        <w:tab/>
      </w:r>
      <w:r w:rsidRPr="001B71E3">
        <w:rPr>
          <w:sz w:val="24"/>
          <w:lang w:val="sl-SI"/>
        </w:rPr>
        <w:t>UL L 45, 24.2.2022.</w:t>
      </w:r>
    </w:p>
  </w:footnote>
  <w:footnote w:id="2">
    <w:p w:rsidR="00752D52" w:rsidRPr="001B71E3" w:rsidRDefault="00752D52" w:rsidP="001B71E3">
      <w:pPr>
        <w:pStyle w:val="FootnoteText"/>
        <w:ind w:left="567" w:hanging="567"/>
        <w:rPr>
          <w:sz w:val="24"/>
          <w:lang w:val="sl-SI"/>
        </w:rPr>
      </w:pPr>
      <w:r w:rsidRPr="001B71E3">
        <w:rPr>
          <w:rStyle w:val="FootnoteReference"/>
          <w:sz w:val="24"/>
          <w:lang w:val="sl-SI"/>
        </w:rPr>
        <w:footnoteRef/>
      </w:r>
      <w:r w:rsidR="001B71E3" w:rsidRPr="001B71E3">
        <w:rPr>
          <w:sz w:val="24"/>
          <w:lang w:val="sl-SI"/>
        </w:rPr>
        <w:t xml:space="preserve"> </w:t>
      </w:r>
      <w:r w:rsidR="001B71E3" w:rsidRPr="001B71E3">
        <w:rPr>
          <w:sz w:val="24"/>
          <w:lang w:val="sl-SI"/>
        </w:rPr>
        <w:tab/>
      </w:r>
      <w:r w:rsidRPr="001B71E3">
        <w:rPr>
          <w:sz w:val="24"/>
          <w:lang w:val="sl-SI"/>
        </w:rPr>
        <w:t>UL C, C/2023/2, 12.10.2023</w:t>
      </w:r>
    </w:p>
  </w:footnote>
  <w:footnote w:id="3">
    <w:p w:rsidR="00752D52" w:rsidRPr="001B71E3" w:rsidRDefault="00752D52" w:rsidP="001B71E3">
      <w:pPr>
        <w:pStyle w:val="FootnoteText"/>
        <w:ind w:left="567" w:hanging="567"/>
        <w:rPr>
          <w:sz w:val="24"/>
          <w:lang w:val="sl-SI"/>
        </w:rPr>
      </w:pPr>
      <w:r w:rsidRPr="001B71E3">
        <w:rPr>
          <w:rStyle w:val="FootnoteReference"/>
          <w:sz w:val="24"/>
          <w:lang w:val="sl-SI"/>
        </w:rPr>
        <w:footnoteRef/>
      </w:r>
      <w:r w:rsidR="001B71E3" w:rsidRPr="001B71E3">
        <w:rPr>
          <w:sz w:val="24"/>
          <w:lang w:val="sl-SI"/>
        </w:rPr>
        <w:t xml:space="preserve"> </w:t>
      </w:r>
      <w:r w:rsidR="001B71E3" w:rsidRPr="001B71E3">
        <w:rPr>
          <w:sz w:val="24"/>
          <w:lang w:val="sl-SI"/>
        </w:rPr>
        <w:tab/>
      </w:r>
      <w:r w:rsidRPr="001B71E3">
        <w:rPr>
          <w:sz w:val="24"/>
          <w:lang w:val="sl-SI"/>
        </w:rPr>
        <w:t>UL C, C/2023/103, 4.10.2023.</w:t>
      </w:r>
    </w:p>
  </w:footnote>
  <w:footnote w:id="4">
    <w:p w:rsidR="00752D52" w:rsidRPr="001B71E3" w:rsidRDefault="00752D52" w:rsidP="001B71E3">
      <w:pPr>
        <w:pStyle w:val="FootnoteText"/>
        <w:ind w:left="567" w:hanging="567"/>
        <w:rPr>
          <w:sz w:val="24"/>
          <w:lang w:val="sl-SI"/>
        </w:rPr>
      </w:pPr>
      <w:r w:rsidRPr="001B71E3">
        <w:rPr>
          <w:rStyle w:val="FootnoteReference"/>
          <w:sz w:val="24"/>
          <w:lang w:val="sl-SI"/>
        </w:rPr>
        <w:footnoteRef/>
      </w:r>
      <w:r w:rsidR="001B71E3" w:rsidRPr="001B71E3">
        <w:rPr>
          <w:sz w:val="24"/>
          <w:lang w:val="sl-SI"/>
        </w:rPr>
        <w:t xml:space="preserve"> </w:t>
      </w:r>
      <w:r w:rsidR="001B71E3" w:rsidRPr="001B71E3">
        <w:rPr>
          <w:sz w:val="24"/>
          <w:lang w:val="sl-SI"/>
        </w:rPr>
        <w:tab/>
      </w:r>
      <w:r w:rsidRPr="001B71E3">
        <w:rPr>
          <w:sz w:val="24"/>
          <w:lang w:val="sl-SI"/>
        </w:rPr>
        <w:t>UL C, C/2023/112, 12.10.2023.</w:t>
      </w:r>
    </w:p>
  </w:footnote>
  <w:footnote w:id="5">
    <w:p w:rsidR="00752D52" w:rsidRPr="001B71E3" w:rsidRDefault="00752D52" w:rsidP="001B71E3">
      <w:pPr>
        <w:pStyle w:val="FootnoteText"/>
        <w:ind w:left="567" w:hanging="567"/>
        <w:rPr>
          <w:sz w:val="24"/>
          <w:lang w:val="sl-SI"/>
        </w:rPr>
      </w:pPr>
      <w:r w:rsidRPr="001B71E3">
        <w:rPr>
          <w:rStyle w:val="FootnoteReference"/>
          <w:sz w:val="24"/>
          <w:lang w:val="sl-SI"/>
        </w:rPr>
        <w:footnoteRef/>
      </w:r>
      <w:r w:rsidR="001B71E3" w:rsidRPr="001B71E3">
        <w:rPr>
          <w:sz w:val="24"/>
          <w:lang w:val="sl-SI"/>
        </w:rPr>
        <w:t xml:space="preserve"> </w:t>
      </w:r>
      <w:r w:rsidR="001B71E3" w:rsidRPr="001B71E3">
        <w:rPr>
          <w:sz w:val="24"/>
          <w:lang w:val="sl-SI"/>
        </w:rPr>
        <w:tab/>
      </w:r>
      <w:r w:rsidRPr="001B71E3">
        <w:rPr>
          <w:sz w:val="24"/>
          <w:lang w:val="sl-SI"/>
        </w:rPr>
        <w:t>UL L 193, 30.7.2018, str. 1.</w:t>
      </w:r>
    </w:p>
  </w:footnote>
  <w:footnote w:id="6">
    <w:p w:rsidR="00752D52" w:rsidRPr="001B71E3" w:rsidRDefault="00752D52" w:rsidP="001B71E3">
      <w:pPr>
        <w:pStyle w:val="FootnoteText"/>
        <w:ind w:left="567" w:hanging="567"/>
        <w:rPr>
          <w:sz w:val="24"/>
          <w:lang w:val="sl-SI"/>
        </w:rPr>
      </w:pPr>
      <w:r w:rsidRPr="001B71E3">
        <w:rPr>
          <w:rStyle w:val="FootnoteReference"/>
          <w:sz w:val="24"/>
          <w:lang w:val="sl-SI"/>
        </w:rPr>
        <w:footnoteRef/>
      </w:r>
      <w:r w:rsidR="001B71E3" w:rsidRPr="001B71E3">
        <w:rPr>
          <w:sz w:val="24"/>
          <w:lang w:val="sl-SI"/>
        </w:rPr>
        <w:t xml:space="preserve"> </w:t>
      </w:r>
      <w:r w:rsidR="001B71E3" w:rsidRPr="001B71E3">
        <w:rPr>
          <w:sz w:val="24"/>
          <w:lang w:val="sl-SI"/>
        </w:rPr>
        <w:tab/>
      </w:r>
      <w:r w:rsidRPr="001B71E3">
        <w:rPr>
          <w:sz w:val="24"/>
          <w:lang w:val="sl-SI"/>
        </w:rPr>
        <w:t>Uredba (EU) 2022/991 Evropskega parlamenta in Sveta z dne 8. junija 2022 o spremembi Uredbe (EU) 2016/794 v zvezi s sodelovanjem Europola z zasebnimi strankami, obdelavo osebnih podatkov s strani Europola pri podpiranju preiskav kaznivih dejanj in vlogo Europola pri raziskavah in inovacijah (UL L 169, 27.6.2022, str. 1).</w:t>
      </w:r>
    </w:p>
  </w:footnote>
  <w:footnote w:id="7">
    <w:p w:rsidR="00752D52" w:rsidRPr="001B71E3" w:rsidRDefault="00752D52" w:rsidP="001B71E3">
      <w:pPr>
        <w:pStyle w:val="FootnoteText"/>
        <w:ind w:left="567" w:hanging="567"/>
        <w:rPr>
          <w:sz w:val="24"/>
          <w:lang w:val="sl-SI"/>
        </w:rPr>
      </w:pPr>
      <w:r w:rsidRPr="001B71E3">
        <w:rPr>
          <w:rStyle w:val="FootnoteReference"/>
          <w:sz w:val="24"/>
          <w:lang w:val="sl-SI"/>
        </w:rPr>
        <w:footnoteRef/>
      </w:r>
      <w:r w:rsidR="001B71E3" w:rsidRPr="001B71E3">
        <w:rPr>
          <w:sz w:val="24"/>
          <w:lang w:val="sl-SI"/>
        </w:rPr>
        <w:t xml:space="preserve"> </w:t>
      </w:r>
      <w:r w:rsidR="001B71E3" w:rsidRPr="001B71E3">
        <w:rPr>
          <w:sz w:val="24"/>
          <w:lang w:val="sl-SI"/>
        </w:rPr>
        <w:tab/>
      </w:r>
      <w:r w:rsidRPr="001B71E3">
        <w:rPr>
          <w:sz w:val="24"/>
          <w:lang w:val="sl-SI"/>
        </w:rPr>
        <w:t>Uredba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 (UL L 135, 24.5.2016, str.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D52" w:rsidRPr="001B71E3" w:rsidRDefault="00752D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D52" w:rsidRPr="001B71E3" w:rsidRDefault="00752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D52" w:rsidRPr="001B71E3" w:rsidRDefault="00752D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1E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1E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71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SL"/>
    <w:docVar w:name="dvnumam" w:val="0"/>
    <w:docVar w:name="dvpe" w:val="753.487"/>
    <w:docVar w:name="dvrapporteur" w:val="Poročevalec: "/>
    <w:docVar w:name="dvtitre" w:val="Sklep Evropskega parlamenta z dne … 2024 o razrešnici glede izvrševanja splošnega proračuna Evropske unije za proračunsko leto 2022, oddelek IX – Evropski nadzornik za varstvo podatkov(2023/2138(DEC))"/>
  </w:docVars>
  <w:rsids>
    <w:rsidRoot w:val="00046A8F"/>
    <w:rsid w:val="00002272"/>
    <w:rsid w:val="00046A8F"/>
    <w:rsid w:val="00064002"/>
    <w:rsid w:val="000677B9"/>
    <w:rsid w:val="000831BA"/>
    <w:rsid w:val="000A42CC"/>
    <w:rsid w:val="000A684A"/>
    <w:rsid w:val="000E7DD9"/>
    <w:rsid w:val="0010095E"/>
    <w:rsid w:val="00125B37"/>
    <w:rsid w:val="00187494"/>
    <w:rsid w:val="001B71E3"/>
    <w:rsid w:val="001F32AE"/>
    <w:rsid w:val="00257BAE"/>
    <w:rsid w:val="002767FF"/>
    <w:rsid w:val="002B18FE"/>
    <w:rsid w:val="002B5493"/>
    <w:rsid w:val="00343214"/>
    <w:rsid w:val="00354C8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62A8"/>
    <w:rsid w:val="006037C0"/>
    <w:rsid w:val="006631B6"/>
    <w:rsid w:val="00680577"/>
    <w:rsid w:val="006F74FA"/>
    <w:rsid w:val="00731ADD"/>
    <w:rsid w:val="00734777"/>
    <w:rsid w:val="00747932"/>
    <w:rsid w:val="00751A4A"/>
    <w:rsid w:val="00752D52"/>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CA2"/>
    <w:rsid w:val="009509D8"/>
    <w:rsid w:val="00950B64"/>
    <w:rsid w:val="009623A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E0B"/>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143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2704F"/>
  <w15:chartTrackingRefBased/>
  <w15:docId w15:val="{6EB05FC6-A739-4E1C-9B7D-404432C89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52D5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52D52"/>
    <w:pPr>
      <w:spacing w:before="480" w:after="240"/>
    </w:pPr>
  </w:style>
  <w:style w:type="paragraph" w:customStyle="1" w:styleId="PageHeading">
    <w:name w:val="PageHeading"/>
    <w:basedOn w:val="Normal"/>
    <w:rsid w:val="00752D52"/>
    <w:pPr>
      <w:keepNext/>
      <w:spacing w:after="480"/>
      <w:jc w:val="center"/>
    </w:pPr>
    <w:rPr>
      <w:rFonts w:ascii="Arial" w:hAnsi="Arial" w:cs="Arial"/>
      <w:b/>
    </w:rPr>
  </w:style>
  <w:style w:type="paragraph" w:customStyle="1" w:styleId="NormalBold">
    <w:name w:val="NormalBold"/>
    <w:basedOn w:val="Normal"/>
    <w:rsid w:val="00752D52"/>
    <w:rPr>
      <w:b/>
    </w:rPr>
  </w:style>
  <w:style w:type="paragraph" w:customStyle="1" w:styleId="NormalHanging12a">
    <w:name w:val="NormalHanging12a"/>
    <w:basedOn w:val="Normal"/>
    <w:link w:val="NormalHanging12aChar"/>
    <w:qFormat/>
    <w:rsid w:val="00752D52"/>
    <w:pPr>
      <w:spacing w:after="240"/>
      <w:ind w:left="567" w:hanging="567"/>
    </w:pPr>
  </w:style>
  <w:style w:type="paragraph" w:styleId="Header">
    <w:name w:val="header"/>
    <w:basedOn w:val="Normal"/>
    <w:link w:val="HeaderChar"/>
    <w:rsid w:val="00752D52"/>
    <w:pPr>
      <w:tabs>
        <w:tab w:val="center" w:pos="4513"/>
        <w:tab w:val="right" w:pos="9026"/>
      </w:tabs>
    </w:pPr>
  </w:style>
  <w:style w:type="character" w:customStyle="1" w:styleId="HeaderChar">
    <w:name w:val="Header Char"/>
    <w:basedOn w:val="DefaultParagraphFont"/>
    <w:link w:val="Header"/>
    <w:rsid w:val="00752D52"/>
    <w:rPr>
      <w:sz w:val="24"/>
      <w:lang w:val="sl-SI"/>
    </w:rPr>
  </w:style>
  <w:style w:type="paragraph" w:customStyle="1" w:styleId="EPFooter">
    <w:name w:val="EPFooter"/>
    <w:basedOn w:val="Normal"/>
    <w:rsid w:val="00752D5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52D5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20EC2-6D79-4F81-A736-614253F38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4149</Words>
  <Characters>24587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2024-05-21T12:05:00Z</dcterms:created>
  <dcterms:modified xsi:type="dcterms:W3CDTF">2024-05-21T12:05:00Z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P9_TA(2024)0235_</vt:lpwstr>
  </property>
  <property fmtid="{D5CDD505-2E9C-101B-9397-08002B2CF9AE}" pid="4" name="&lt;Type&gt;">
    <vt:lpwstr>RR</vt:lpwstr>
  </property>
</Properties>
</file>