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FF2" w:rsidTr="0010095E">
        <w:trPr>
          <w:trHeight w:hRule="exact" w:val="1418"/>
        </w:trPr>
        <w:tc>
          <w:tcPr>
            <w:tcW w:w="6804" w:type="dxa"/>
            <w:shd w:val="clear" w:color="auto" w:fill="auto"/>
            <w:vAlign w:val="center"/>
          </w:tcPr>
          <w:p w:rsidR="00751A4A" w:rsidRPr="00CD1FF2" w:rsidRDefault="005A6BC1" w:rsidP="0010095E">
            <w:pPr>
              <w:pStyle w:val="EPName"/>
            </w:pPr>
            <w:r w:rsidRPr="00CD1FF2">
              <w:t>Europaparlamentet</w:t>
            </w:r>
          </w:p>
          <w:p w:rsidR="00751A4A" w:rsidRPr="00CD1FF2" w:rsidRDefault="00817416" w:rsidP="00756632">
            <w:pPr>
              <w:pStyle w:val="EPTerm"/>
              <w:rPr>
                <w:rStyle w:val="HideTWBExt"/>
                <w:noProof w:val="0"/>
                <w:vanish w:val="0"/>
                <w:color w:val="auto"/>
              </w:rPr>
            </w:pPr>
            <w:r w:rsidRPr="00CD1FF2">
              <w:t>2019-2024</w:t>
            </w:r>
          </w:p>
        </w:tc>
        <w:tc>
          <w:tcPr>
            <w:tcW w:w="2268" w:type="dxa"/>
            <w:shd w:val="clear" w:color="auto" w:fill="auto"/>
          </w:tcPr>
          <w:p w:rsidR="00751A4A" w:rsidRPr="00CD1FF2" w:rsidRDefault="00187494" w:rsidP="0010095E">
            <w:pPr>
              <w:pStyle w:val="EPLogo"/>
            </w:pPr>
            <w:r w:rsidRPr="00CD1F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1FF2" w:rsidRDefault="00D058B8" w:rsidP="004C5D52">
      <w:pPr>
        <w:pStyle w:val="LineTop"/>
      </w:pPr>
    </w:p>
    <w:p w:rsidR="00680577" w:rsidRPr="00CD1FF2" w:rsidRDefault="005A6BC1" w:rsidP="00680577">
      <w:pPr>
        <w:pStyle w:val="EPBodyTA1"/>
      </w:pPr>
      <w:r w:rsidRPr="00CD1FF2">
        <w:t>ANTAGNA TEXTER</w:t>
      </w:r>
    </w:p>
    <w:p w:rsidR="00D058B8" w:rsidRPr="00CD1FF2" w:rsidRDefault="00D058B8" w:rsidP="00D058B8">
      <w:pPr>
        <w:pStyle w:val="LineBottom"/>
      </w:pPr>
    </w:p>
    <w:p w:rsidR="005A6BC1" w:rsidRPr="00CD1FF2" w:rsidRDefault="005A6BC1" w:rsidP="005A6BC1">
      <w:pPr>
        <w:pStyle w:val="ATHeading1"/>
      </w:pPr>
      <w:bookmarkStart w:id="0" w:name="TANumber"/>
      <w:r w:rsidRPr="00CD1FF2">
        <w:t>P9_TA(2024)0</w:t>
      </w:r>
      <w:bookmarkEnd w:id="0"/>
      <w:r w:rsidR="00CD1FF2" w:rsidRPr="00CD1FF2">
        <w:t>235</w:t>
      </w:r>
    </w:p>
    <w:p w:rsidR="005A6BC1" w:rsidRPr="00CD1FF2" w:rsidRDefault="005A6BC1" w:rsidP="005A6BC1">
      <w:pPr>
        <w:pStyle w:val="ATHeading2"/>
      </w:pPr>
      <w:bookmarkStart w:id="1" w:name="title"/>
      <w:r w:rsidRPr="00CD1FF2">
        <w:t>Ansvarsfrihet 2022: EU:s allmänna budget – Europeiska datatillsynsmannen</w:t>
      </w:r>
      <w:bookmarkEnd w:id="1"/>
    </w:p>
    <w:p w:rsidR="005A6BC1" w:rsidRPr="00CD1FF2" w:rsidRDefault="005A6BC1" w:rsidP="005A6BC1">
      <w:pPr>
        <w:rPr>
          <w:i/>
          <w:vanish/>
        </w:rPr>
      </w:pPr>
      <w:r w:rsidRPr="00CD1FF2">
        <w:rPr>
          <w:i/>
        </w:rPr>
        <w:fldChar w:fldCharType="begin"/>
      </w:r>
      <w:r w:rsidRPr="00CD1FF2">
        <w:rPr>
          <w:i/>
        </w:rPr>
        <w:instrText xml:space="preserve"> TC"(</w:instrText>
      </w:r>
      <w:bookmarkStart w:id="2" w:name="DocNumber"/>
      <w:r w:rsidRPr="00CD1FF2">
        <w:rPr>
          <w:i/>
        </w:rPr>
        <w:instrText>A9-0086/2024</w:instrText>
      </w:r>
      <w:bookmarkEnd w:id="2"/>
      <w:r w:rsidRPr="00CD1FF2">
        <w:rPr>
          <w:i/>
        </w:rPr>
        <w:instrText xml:space="preserve"> - Föredragande: Luke Ming Flanagan)"\l3 \n&gt; \* MERGEFORMAT </w:instrText>
      </w:r>
      <w:r w:rsidRPr="00CD1FF2">
        <w:rPr>
          <w:i/>
        </w:rPr>
        <w:fldChar w:fldCharType="end"/>
      </w:r>
    </w:p>
    <w:p w:rsidR="005A6BC1" w:rsidRPr="00CD1FF2" w:rsidRDefault="005A6BC1" w:rsidP="005A6BC1">
      <w:pPr>
        <w:rPr>
          <w:vanish/>
        </w:rPr>
      </w:pPr>
      <w:bookmarkStart w:id="3" w:name="Commission"/>
      <w:r w:rsidRPr="00CD1FF2">
        <w:rPr>
          <w:vanish/>
        </w:rPr>
        <w:t>Budgetkontrollutskottet</w:t>
      </w:r>
      <w:bookmarkEnd w:id="3"/>
    </w:p>
    <w:p w:rsidR="005A6BC1" w:rsidRPr="00CD1FF2" w:rsidRDefault="005A6BC1" w:rsidP="005A6BC1">
      <w:pPr>
        <w:rPr>
          <w:vanish/>
        </w:rPr>
      </w:pPr>
      <w:bookmarkStart w:id="4" w:name="PE"/>
      <w:r w:rsidRPr="00CD1FF2">
        <w:rPr>
          <w:vanish/>
        </w:rPr>
        <w:t>PE753.487</w:t>
      </w:r>
      <w:bookmarkEnd w:id="4"/>
    </w:p>
    <w:p w:rsidR="005A6BC1" w:rsidRPr="00CD1FF2" w:rsidRDefault="002177E5" w:rsidP="005A6BC1">
      <w:pPr>
        <w:pStyle w:val="ATHeading3"/>
      </w:pPr>
      <w:bookmarkStart w:id="5" w:name="Sujet"/>
      <w:r w:rsidRPr="00CD1FF2">
        <w:t xml:space="preserve">1. </w:t>
      </w:r>
      <w:r w:rsidR="005A6BC1" w:rsidRPr="00CD1FF2">
        <w:t xml:space="preserve">Europaparlamentets beslut av den </w:t>
      </w:r>
      <w:r w:rsidRPr="00CD1FF2">
        <w:t>11</w:t>
      </w:r>
      <w:r w:rsidR="005A6BC1" w:rsidRPr="00CD1FF2">
        <w:t xml:space="preserve"> </w:t>
      </w:r>
      <w:r w:rsidR="005662AF" w:rsidRPr="00CD1FF2">
        <w:t>april</w:t>
      </w:r>
      <w:r w:rsidR="005A6BC1" w:rsidRPr="00CD1FF2">
        <w:t xml:space="preserve"> 2024 om ansvarsfrihet för genomförandet av Europeiska unionens</w:t>
      </w:r>
      <w:bookmarkStart w:id="6" w:name="_GoBack"/>
      <w:bookmarkEnd w:id="6"/>
      <w:r w:rsidR="005A6BC1" w:rsidRPr="00CD1FF2">
        <w:t xml:space="preserve"> allmänna budget för budgetåret 2022, avsnitt IX – Europeiska datatillsynsmannen</w:t>
      </w:r>
      <w:bookmarkEnd w:id="5"/>
      <w:r w:rsidR="005A6BC1" w:rsidRPr="00CD1FF2">
        <w:t xml:space="preserve"> </w:t>
      </w:r>
      <w:bookmarkStart w:id="7" w:name="References"/>
      <w:r w:rsidR="005A6BC1" w:rsidRPr="00CD1FF2">
        <w:t>(2023/2138(DEC))</w:t>
      </w:r>
      <w:bookmarkEnd w:id="7"/>
    </w:p>
    <w:p w:rsidR="00EC51FC" w:rsidRPr="00CD1FF2" w:rsidRDefault="00EC51FC" w:rsidP="00EC51FC">
      <w:pPr>
        <w:pStyle w:val="EPComma"/>
        <w:widowControl/>
      </w:pPr>
      <w:bookmarkStart w:id="8" w:name="TextBodyBegin"/>
      <w:bookmarkEnd w:id="8"/>
      <w:r w:rsidRPr="00CD1FF2">
        <w:rPr>
          <w:i/>
        </w:rPr>
        <w:t>Europaparlamentet fattar detta beslut</w:t>
      </w:r>
    </w:p>
    <w:p w:rsidR="00EC51FC" w:rsidRPr="00CD1FF2" w:rsidRDefault="00EC51FC" w:rsidP="00EC51FC">
      <w:pPr>
        <w:pStyle w:val="NormalHanging12a"/>
        <w:widowControl/>
      </w:pPr>
      <w:r w:rsidRPr="00CD1FF2">
        <w:t>–</w:t>
      </w:r>
      <w:r w:rsidRPr="00CD1FF2">
        <w:tab/>
        <w:t>med beaktande av Europeiska unionens allmänna budget för budgetåret 2022</w:t>
      </w:r>
      <w:r w:rsidRPr="00CD1FF2">
        <w:rPr>
          <w:rStyle w:val="FootnoteReference"/>
        </w:rPr>
        <w:footnoteReference w:id="1"/>
      </w:r>
      <w:r w:rsidRPr="00CD1FF2">
        <w:t>,</w:t>
      </w:r>
    </w:p>
    <w:p w:rsidR="00EC51FC" w:rsidRPr="00CD1FF2" w:rsidRDefault="00EC51FC" w:rsidP="00EC51FC">
      <w:pPr>
        <w:pStyle w:val="NormalHanging12a"/>
      </w:pPr>
      <w:r w:rsidRPr="00CD1FF2">
        <w:t>–</w:t>
      </w:r>
      <w:r w:rsidRPr="00CD1FF2">
        <w:tab/>
        <w:t>med beaktande av Europeiska unionens konsoliderade årsredovisning för budgetåret 2022 (COM(2023)0391 – C9</w:t>
      </w:r>
      <w:r w:rsidRPr="00CD1FF2">
        <w:noBreakHyphen/>
        <w:t>0257/2023)</w:t>
      </w:r>
      <w:r w:rsidRPr="00CD1FF2">
        <w:rPr>
          <w:rStyle w:val="FootnoteReference"/>
        </w:rPr>
        <w:footnoteReference w:id="2"/>
      </w:r>
      <w:r w:rsidRPr="00CD1FF2">
        <w:t>,</w:t>
      </w:r>
    </w:p>
    <w:p w:rsidR="00EC51FC" w:rsidRPr="00CD1FF2" w:rsidRDefault="00EC51FC" w:rsidP="00EC51FC">
      <w:pPr>
        <w:pStyle w:val="NormalHanging12a"/>
      </w:pPr>
      <w:r w:rsidRPr="00CD1FF2">
        <w:t>–</w:t>
      </w:r>
      <w:r w:rsidRPr="00CD1FF2">
        <w:tab/>
        <w:t>med beaktande av Europeiska datatillsynsmannens årsrapport för 2022,</w:t>
      </w:r>
    </w:p>
    <w:p w:rsidR="00EC51FC" w:rsidRPr="00CD1FF2" w:rsidRDefault="00EC51FC" w:rsidP="00EC51FC">
      <w:pPr>
        <w:pStyle w:val="NormalHanging12a"/>
      </w:pPr>
      <w:r w:rsidRPr="00CD1FF2">
        <w:t>–</w:t>
      </w:r>
      <w:r w:rsidRPr="00CD1FF2">
        <w:tab/>
        <w:t>med beaktande av revisionsrättens årsrapport om genomförandet av budgeten för budgetåret 2022, med institutionernas svar</w:t>
      </w:r>
      <w:r w:rsidRPr="00CD1FF2">
        <w:rPr>
          <w:rStyle w:val="FootnoteReference"/>
        </w:rPr>
        <w:footnoteReference w:id="3"/>
      </w:r>
      <w:r w:rsidRPr="00CD1FF2">
        <w:t>,</w:t>
      </w:r>
    </w:p>
    <w:p w:rsidR="00EC51FC" w:rsidRPr="00CD1FF2" w:rsidRDefault="00EC51FC" w:rsidP="00EC51FC">
      <w:pPr>
        <w:pStyle w:val="NormalHanging12a"/>
      </w:pPr>
      <w:r w:rsidRPr="00CD1FF2">
        <w:t>–</w:t>
      </w:r>
      <w:r w:rsidRPr="00CD1FF2">
        <w:tab/>
        <w:t>med beaktande av förklaringen om räkenskapernas tillförlitlighet och de underliggande transaktionernas laglighet och korrekthet</w:t>
      </w:r>
      <w:r w:rsidRPr="00CD1FF2">
        <w:rPr>
          <w:rStyle w:val="FootnoteReference"/>
        </w:rPr>
        <w:footnoteReference w:id="4"/>
      </w:r>
      <w:r w:rsidRPr="00CD1FF2">
        <w:t>, som avgetts av revisionsrätten för budgetåret 2022 i enlighet med artikel 287 i fördraget om Europeiska unionens funktionssätt,</w:t>
      </w:r>
    </w:p>
    <w:p w:rsidR="00EC51FC" w:rsidRPr="00CD1FF2" w:rsidRDefault="00EC51FC" w:rsidP="00EC51FC">
      <w:pPr>
        <w:pStyle w:val="NormalHanging12a"/>
      </w:pPr>
      <w:r w:rsidRPr="00CD1FF2">
        <w:t>–</w:t>
      </w:r>
      <w:r w:rsidRPr="00CD1FF2">
        <w:tab/>
        <w:t>med beaktande av artikel 314.10 och artiklarna 317, 318 och 319 i fördraget om Europeiska unionens funktionssätt,</w:t>
      </w:r>
    </w:p>
    <w:p w:rsidR="00EC51FC" w:rsidRPr="00CD1FF2" w:rsidRDefault="00EC51FC" w:rsidP="00EC51FC">
      <w:pPr>
        <w:pStyle w:val="NormalHanging12a"/>
      </w:pPr>
      <w:r w:rsidRPr="00CD1FF2">
        <w:t>–</w:t>
      </w:r>
      <w:r w:rsidRPr="00CD1FF2">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CD1FF2">
        <w:lastRenderedPageBreak/>
        <w:t>Euratom) nr 966/2012</w:t>
      </w:r>
      <w:r w:rsidRPr="00CD1FF2">
        <w:rPr>
          <w:rStyle w:val="FootnoteReference"/>
        </w:rPr>
        <w:footnoteReference w:id="5"/>
      </w:r>
      <w:r w:rsidRPr="00CD1FF2">
        <w:t>, särskilt artiklarna 59, 118, 260, 261 och 262,</w:t>
      </w:r>
    </w:p>
    <w:p w:rsidR="00EC51FC" w:rsidRPr="00CD1FF2" w:rsidRDefault="00EC51FC" w:rsidP="00EC51FC">
      <w:pPr>
        <w:pStyle w:val="NormalHanging12a"/>
      </w:pPr>
      <w:r w:rsidRPr="00CD1FF2">
        <w:t>–</w:t>
      </w:r>
      <w:r w:rsidRPr="00CD1FF2">
        <w:tab/>
      </w:r>
      <w:r w:rsidRPr="00CD1FF2">
        <w:rPr>
          <w:snapToGrid w:val="0"/>
        </w:rPr>
        <w:t>med beaktande av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särskilt artikel 54,</w:t>
      </w:r>
    </w:p>
    <w:p w:rsidR="00EC51FC" w:rsidRPr="00CD1FF2" w:rsidRDefault="00EC51FC" w:rsidP="00EC51FC">
      <w:pPr>
        <w:pStyle w:val="NormalHanging12a"/>
      </w:pPr>
      <w:r w:rsidRPr="00CD1FF2">
        <w:t>–</w:t>
      </w:r>
      <w:r w:rsidRPr="00CD1FF2">
        <w:tab/>
        <w:t>med beaktande av artikel 100 och bilaga V i arbetsordningen,</w:t>
      </w:r>
    </w:p>
    <w:p w:rsidR="00EC51FC" w:rsidRPr="00CD1FF2" w:rsidRDefault="00EC51FC" w:rsidP="00EC51FC">
      <w:pPr>
        <w:pStyle w:val="NormalHanging12a"/>
      </w:pPr>
      <w:r w:rsidRPr="00CD1FF2">
        <w:t>–</w:t>
      </w:r>
      <w:r w:rsidRPr="00CD1FF2">
        <w:tab/>
        <w:t>med beaktande av yttrandet från utskottet för medborgerliga fri- och rättigheter samt rättsliga och inrikes frågor,</w:t>
      </w:r>
    </w:p>
    <w:p w:rsidR="00EC51FC" w:rsidRPr="00CD1FF2" w:rsidRDefault="00EC51FC" w:rsidP="00EC51FC">
      <w:pPr>
        <w:pStyle w:val="NormalHanging12a"/>
      </w:pPr>
      <w:r w:rsidRPr="00CD1FF2">
        <w:t>–</w:t>
      </w:r>
      <w:r w:rsidRPr="00CD1FF2">
        <w:tab/>
        <w:t>med beaktande av betänkandet från budgetkontrollutskottet (A9-0086/2024).</w:t>
      </w:r>
    </w:p>
    <w:p w:rsidR="00EC51FC" w:rsidRPr="00CD1FF2" w:rsidRDefault="00EC51FC" w:rsidP="00EC51FC">
      <w:pPr>
        <w:pStyle w:val="NormalHanging12a"/>
      </w:pPr>
      <w:r w:rsidRPr="00CD1FF2">
        <w:t>1.</w:t>
      </w:r>
      <w:r w:rsidRPr="00CD1FF2">
        <w:tab/>
        <w:t>Europaparlamentet beviljar Europeiska datatillsynsmannen ansvarsfrihet för genomförandet av budgeten för Europeiska datatillsynsmannen för budgetåret 2022.</w:t>
      </w:r>
    </w:p>
    <w:p w:rsidR="00EC51FC" w:rsidRPr="00CD1FF2" w:rsidRDefault="00EC51FC" w:rsidP="00EC51FC">
      <w:pPr>
        <w:pStyle w:val="NormalHanging12a"/>
      </w:pPr>
      <w:r w:rsidRPr="00CD1FF2">
        <w:t>2.</w:t>
      </w:r>
      <w:r w:rsidRPr="00CD1FF2">
        <w:tab/>
        <w:t>Europaparlamentet redovisar sina iakttagelser i resolutionen nedan.</w:t>
      </w:r>
    </w:p>
    <w:p w:rsidR="00EC51FC" w:rsidRPr="00CD1FF2" w:rsidRDefault="00EC51FC" w:rsidP="00EC51FC">
      <w:pPr>
        <w:pStyle w:val="NormalHanging12a"/>
      </w:pPr>
      <w:r w:rsidRPr="00CD1FF2">
        <w:t>3.</w:t>
      </w:r>
      <w:r w:rsidRPr="00CD1FF2">
        <w:tab/>
        <w:t xml:space="preserve">Europaparlamentet uppdrar åt talmannen att översända detta beslut och den resolution som utgör en del av beslutet till Europeiska datatillsynsmannen, Europeiska rådet, rådet, kommissionen, revisionsrätten, Europeiska unionens domstol, Europeiska ombudsmannen och Europeiska utrikestjänsten samt att se till att de offentliggörs i </w:t>
      </w:r>
      <w:r w:rsidRPr="00CD1FF2">
        <w:rPr>
          <w:i/>
          <w:iCs/>
        </w:rPr>
        <w:t>Europeiska unionens officiella tidning</w:t>
      </w:r>
      <w:r w:rsidRPr="00CD1FF2">
        <w:t xml:space="preserve"> (L-serien).</w:t>
      </w:r>
    </w:p>
    <w:p w:rsidR="00EC51FC" w:rsidRPr="00CD1FF2" w:rsidRDefault="00EC51FC" w:rsidP="00EC51FC">
      <w:pPr>
        <w:widowControl/>
      </w:pPr>
    </w:p>
    <w:p w:rsidR="00EC51FC" w:rsidRPr="00CD1FF2" w:rsidRDefault="00EC51FC" w:rsidP="00EC51FC">
      <w:pPr>
        <w:pStyle w:val="PageHeading"/>
        <w:widowControl/>
        <w:sectPr w:rsidR="00EC51FC" w:rsidRPr="00CD1FF2" w:rsidSect="001E3D6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C51FC" w:rsidRPr="00CD1FF2" w:rsidRDefault="002177E5" w:rsidP="002177E5">
      <w:pPr>
        <w:pStyle w:val="ATHeading3"/>
      </w:pPr>
      <w:bookmarkStart w:id="9" w:name="_Toc161645288"/>
      <w:r w:rsidRPr="00CD1FF2">
        <w:lastRenderedPageBreak/>
        <w:t>2. Europaparlamentets resolution</w:t>
      </w:r>
      <w:bookmarkEnd w:id="9"/>
      <w:r w:rsidRPr="00CD1FF2">
        <w:t xml:space="preserve"> av den 11 april 2024 </w:t>
      </w:r>
      <w:r w:rsidR="00EC51FC" w:rsidRPr="00CD1FF2">
        <w:t>med de iakttagelser som utgör en del av beslutet om ansvarsfrihet för genomförandet av Europeiska unionens allmänna budget för budgetåret 2022, avsnitt IX – Europeiska datatillsynsmannen</w:t>
      </w:r>
      <w:r w:rsidRPr="00CD1FF2">
        <w:t xml:space="preserve"> </w:t>
      </w:r>
      <w:r w:rsidR="00EC51FC" w:rsidRPr="00CD1FF2">
        <w:t>(2023/2138(DEC))</w:t>
      </w:r>
    </w:p>
    <w:p w:rsidR="00EC51FC" w:rsidRPr="00CD1FF2" w:rsidRDefault="00EC51FC" w:rsidP="00EC51FC">
      <w:pPr>
        <w:pStyle w:val="EPComma"/>
        <w:widowControl/>
      </w:pPr>
      <w:r w:rsidRPr="00CD1FF2">
        <w:rPr>
          <w:i/>
        </w:rPr>
        <w:t>Europaparlamentet utfärdar denna resolution</w:t>
      </w:r>
    </w:p>
    <w:p w:rsidR="00EC51FC" w:rsidRPr="00CD1FF2" w:rsidRDefault="00EC51FC" w:rsidP="00EC51FC">
      <w:pPr>
        <w:pStyle w:val="NormalHanging12a"/>
        <w:widowControl/>
      </w:pPr>
      <w:r w:rsidRPr="00CD1FF2">
        <w:t>–</w:t>
      </w:r>
      <w:r w:rsidRPr="00CD1FF2">
        <w:tab/>
        <w:t>med beaktande av sitt beslut om ansvarsfrihet för genomförandet av Europeiska unionens allmänna budget för budgetåret 2022, avsnitt IX – Europeiska datatillsynsmannen,</w:t>
      </w:r>
    </w:p>
    <w:p w:rsidR="00EC51FC" w:rsidRPr="00CD1FF2" w:rsidRDefault="00EC51FC" w:rsidP="00EC51FC">
      <w:pPr>
        <w:pStyle w:val="NormalHanging12a"/>
        <w:rPr>
          <w:szCs w:val="24"/>
        </w:rPr>
      </w:pPr>
      <w:r w:rsidRPr="00CD1FF2">
        <w:t>–</w:t>
      </w:r>
      <w:r w:rsidRPr="00CD1FF2">
        <w:tab/>
        <w:t>med beaktande av artikel 100 och bilaga V i arbetsordningen,</w:t>
      </w:r>
    </w:p>
    <w:p w:rsidR="00EC51FC" w:rsidRPr="00CD1FF2" w:rsidRDefault="00EC51FC" w:rsidP="00EC51FC">
      <w:pPr>
        <w:pStyle w:val="NormalHanging12a"/>
        <w:rPr>
          <w:szCs w:val="24"/>
        </w:rPr>
      </w:pPr>
      <w:r w:rsidRPr="00CD1FF2">
        <w:t>–</w:t>
      </w:r>
      <w:r w:rsidRPr="00CD1FF2">
        <w:tab/>
        <w:t>med beaktande av yttrandet från utskottet för medborgerliga fri- och rättigheter samt rättsliga och inrikes frågor,</w:t>
      </w:r>
    </w:p>
    <w:p w:rsidR="00EC51FC" w:rsidRPr="00CD1FF2" w:rsidRDefault="00EC51FC" w:rsidP="00EC51FC">
      <w:pPr>
        <w:pStyle w:val="NormalHanging12a"/>
        <w:rPr>
          <w:szCs w:val="24"/>
        </w:rPr>
      </w:pPr>
      <w:r w:rsidRPr="00CD1FF2">
        <w:t>–</w:t>
      </w:r>
      <w:r w:rsidRPr="00CD1FF2">
        <w:tab/>
        <w:t>med beaktande av betänkandet från budgetkontrollutskottet (A9-0086/2024), och av följande skäl:</w:t>
      </w:r>
    </w:p>
    <w:p w:rsidR="00EC51FC" w:rsidRPr="00CD1FF2" w:rsidRDefault="00EC51FC" w:rsidP="00EC51FC">
      <w:pPr>
        <w:pStyle w:val="NormalHanging12a"/>
        <w:rPr>
          <w:szCs w:val="24"/>
        </w:rPr>
      </w:pPr>
      <w:r w:rsidRPr="00CD1FF2">
        <w:t>A.</w:t>
      </w:r>
      <w:r w:rsidRPr="00CD1FF2">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resultatbaserad budgetering och säkra en god förvaltning av personalresurserna.</w:t>
      </w:r>
    </w:p>
    <w:p w:rsidR="00EC51FC" w:rsidRPr="00CD1FF2" w:rsidRDefault="00EC51FC" w:rsidP="00EC51FC">
      <w:pPr>
        <w:pStyle w:val="NormalHanging12a"/>
        <w:rPr>
          <w:szCs w:val="24"/>
        </w:rPr>
      </w:pPr>
      <w:r w:rsidRPr="00CD1FF2">
        <w:t>B.</w:t>
      </w:r>
      <w:r w:rsidRPr="00CD1FF2">
        <w:tab/>
        <w:t>Skydd av personuppgifter är en grundläggande rättighet som skyddas av EU-lagstiftningen och fastställs i artikel 8 i Europeiska unionens stadga om de grundläggande rättigheterna.</w:t>
      </w:r>
    </w:p>
    <w:p w:rsidR="00EC51FC" w:rsidRPr="00CD1FF2" w:rsidRDefault="00EC51FC" w:rsidP="00EC51FC">
      <w:pPr>
        <w:pStyle w:val="NormalHanging12a"/>
        <w:rPr>
          <w:szCs w:val="24"/>
        </w:rPr>
      </w:pPr>
      <w:r w:rsidRPr="00CD1FF2">
        <w:t>C.</w:t>
      </w:r>
      <w:r w:rsidRPr="00CD1FF2">
        <w:tab/>
        <w:t>I artikel 16 i fördraget om Europeiska unionens funktionssätt föreskrivs att oberoende myndigheter ska kontrollera efterlevnaden av bestämmelserna om skydd för enskilda vid behandling av personuppgifter som rör dem.</w:t>
      </w:r>
    </w:p>
    <w:p w:rsidR="00EC51FC" w:rsidRPr="00CD1FF2" w:rsidRDefault="00EC51FC" w:rsidP="00EC51FC">
      <w:pPr>
        <w:pStyle w:val="NormalHanging12a"/>
        <w:rPr>
          <w:szCs w:val="24"/>
        </w:rPr>
      </w:pPr>
      <w:r w:rsidRPr="00CD1FF2">
        <w:t>D.</w:t>
      </w:r>
      <w:r w:rsidRPr="00CD1FF2">
        <w:tab/>
        <w:t>I förordning (EU) 2018/1725 föreskrivs inrättandet av en oberoende myndighet, Europeiska datatillsynsmannen (</w:t>
      </w:r>
      <w:r w:rsidRPr="00CD1FF2">
        <w:rPr>
          <w:i/>
          <w:iCs/>
        </w:rPr>
        <w:t>datatillsynsmannen</w:t>
      </w:r>
      <w:r w:rsidRPr="00CD1FF2">
        <w:t>), med ansvar för att skydda och garantera rätten till dataskydd och integritet, och med uppgift att se till att unionens institutioner, organ och byråer anammar en stark dataskyddskultur.</w:t>
      </w:r>
    </w:p>
    <w:p w:rsidR="00EC51FC" w:rsidRPr="00CD1FF2" w:rsidRDefault="00EC51FC" w:rsidP="00EC51FC">
      <w:pPr>
        <w:pStyle w:val="NormalHanging12a"/>
        <w:rPr>
          <w:szCs w:val="24"/>
        </w:rPr>
      </w:pPr>
      <w:r w:rsidRPr="00CD1FF2">
        <w:t>E.</w:t>
      </w:r>
      <w:r w:rsidRPr="00CD1FF2">
        <w:tab/>
        <w:t>Datatillsynsmannen utför sina uppgifter i nära samarbete med andra dataskyddsmyndigheter som en del av Europeiska dataskyddsstyrelsen (EDPB), och datatillsynsmannen tjänar allmänintresset samtidigt som myndigheten vägleds av principerna om opartiskhet, integritet, transparens och pragmatism.</w:t>
      </w:r>
    </w:p>
    <w:p w:rsidR="00EC51FC" w:rsidRPr="00CD1FF2" w:rsidRDefault="00EC51FC" w:rsidP="00EC51FC">
      <w:pPr>
        <w:pStyle w:val="NormalHanging12a"/>
        <w:rPr>
          <w:szCs w:val="24"/>
        </w:rPr>
      </w:pPr>
      <w:r w:rsidRPr="00CD1FF2">
        <w:t>F.</w:t>
      </w:r>
      <w:r w:rsidRPr="00CD1FF2">
        <w:tab/>
        <w:t>Fram till den 13 november 2022 delegerade datatillsynsmannen utanordnarens befogenheter till direktören, och därefter till chefen för administration, i enlighet med stadgan för de uppgifter och ansvarsområden som rör datatillsynsmannens budget och administration som tillhandahålls i enlighet med artikel 72.2 i Europaparlamentets och rådets förordning (EU, Euratom) 2018/1046, medan funktionen som datatillsynsmannens räkenskapsförare ska utföras av kommissionens räkenskapsförare i enlighet med Europeiska datatillsynsmannens beslut av den 1 mars 2017.</w:t>
      </w:r>
    </w:p>
    <w:p w:rsidR="00EC51FC" w:rsidRPr="00CD1FF2" w:rsidRDefault="00EC51FC" w:rsidP="00EC51FC">
      <w:pPr>
        <w:pStyle w:val="NormalHanging12a"/>
        <w:rPr>
          <w:szCs w:val="24"/>
        </w:rPr>
      </w:pPr>
      <w:r w:rsidRPr="00CD1FF2">
        <w:lastRenderedPageBreak/>
        <w:t>1.</w:t>
      </w:r>
      <w:r w:rsidRPr="00CD1FF2">
        <w:tab/>
        <w:t>Europaparlamentet noterar att datatillsynsmannens budget sorterar under rubrik 7 i den fleråriga budgetramen, ”Europeisk offentlig förvaltning”, vars anslag uppgick till totalt 11,6 miljarder EUR, dvs. 5,9 % av unionens budgetutgifter 2022. Parlamentet noterar att datatillsynsmannens budget utgjorde 0,17 % av anslagen under rubrik 7 i den fleråriga budgetramen.</w:t>
      </w:r>
    </w:p>
    <w:p w:rsidR="00EC51FC" w:rsidRPr="00CD1FF2" w:rsidRDefault="00EC51FC" w:rsidP="00EC51FC">
      <w:pPr>
        <w:pStyle w:val="NormalHanging12a"/>
        <w:rPr>
          <w:szCs w:val="24"/>
        </w:rPr>
      </w:pPr>
      <w:r w:rsidRPr="00CD1FF2">
        <w:t>2.</w:t>
      </w:r>
      <w:r w:rsidRPr="00CD1FF2">
        <w:tab/>
        <w:t>Europaparlamentet noterar att revisionsrätten i sin årsrapport för budgetåret 2022 granskade ett urval av 60 transaktioner under ”Administration”, dvs. samma antal som för 2021. Parlamentet noterar vidare att revisionsrätten skriver att de administrativa utgifterna omfattar utgifter för personal, inklusive pensioner, som 2022 stod för omkring 70 % av de totala administrativa utgifterna, och för byggnader, utrustning, energi, kommunikation och informationsteknik, och att revisionsrättens arbete under många år tyder på att risknivån för dessa utgifter på det stora hela är låg.</w:t>
      </w:r>
    </w:p>
    <w:p w:rsidR="00EC51FC" w:rsidRPr="00CD1FF2" w:rsidRDefault="00EC51FC" w:rsidP="00EC51FC">
      <w:pPr>
        <w:pStyle w:val="NormalHanging12a"/>
        <w:rPr>
          <w:szCs w:val="24"/>
        </w:rPr>
      </w:pPr>
      <w:r w:rsidRPr="00CD1FF2">
        <w:t>3.</w:t>
      </w:r>
      <w:r w:rsidRPr="00CD1FF2">
        <w:tab/>
        <w:t>Europaparlamentet noterar att revisionsrätten som en del av revisionen 2022 granskade datatillsynsmannens system för övervakning och kontroll, särskilt tillämpningen av normer för intern kontroll, riskhanteringen och funktionen hos nyckelkontroller som fastställs i budgetförordningen, inbegripet för- och efterhandskontroller av betalningar.</w:t>
      </w:r>
    </w:p>
    <w:p w:rsidR="00EC51FC" w:rsidRPr="00CD1FF2" w:rsidRDefault="00EC51FC" w:rsidP="00EC51FC">
      <w:pPr>
        <w:pStyle w:val="NormalHanging12a"/>
        <w:rPr>
          <w:szCs w:val="24"/>
        </w:rPr>
      </w:pPr>
      <w:r w:rsidRPr="00CD1FF2">
        <w:t>4.</w:t>
      </w:r>
      <w:r w:rsidRPr="00CD1FF2">
        <w:tab/>
        <w:t>Europaparlamentet noterar att 14 (23 %) av de 60 transaktionerna innehöll fel, men att revisionsrätten, på grundval av de fem fel som kvantifierades, uppskattar att felnivån ligger under väsentlighetströskeln.</w:t>
      </w:r>
    </w:p>
    <w:p w:rsidR="00EC51FC" w:rsidRPr="00CD1FF2" w:rsidRDefault="00EC51FC" w:rsidP="00EC51FC">
      <w:pPr>
        <w:pStyle w:val="NormalHanging12a"/>
        <w:rPr>
          <w:szCs w:val="24"/>
        </w:rPr>
      </w:pPr>
      <w:r w:rsidRPr="00CD1FF2">
        <w:t>5.</w:t>
      </w:r>
      <w:r w:rsidRPr="00CD1FF2">
        <w:tab/>
        <w:t>Europaparlamentet noterar med tillfredsställelse att revisionsrätten i sin årsrapport för budgetåret 2022 konstaterar att man inte identifierade några specifika problem när det gäller datatillsynsmannen.</w:t>
      </w:r>
    </w:p>
    <w:p w:rsidR="00EC51FC" w:rsidRPr="00CD1FF2" w:rsidRDefault="00EC51FC" w:rsidP="00EC51FC">
      <w:pPr>
        <w:pStyle w:val="NormalHanging12a"/>
        <w:rPr>
          <w:b/>
          <w:i/>
          <w:szCs w:val="24"/>
        </w:rPr>
      </w:pPr>
      <w:r w:rsidRPr="00CD1FF2">
        <w:rPr>
          <w:b/>
          <w:i/>
        </w:rPr>
        <w:t>Budgetförvaltningen och den ekonomiska förvaltningen</w:t>
      </w:r>
    </w:p>
    <w:p w:rsidR="00EC51FC" w:rsidRPr="00CD1FF2" w:rsidRDefault="00EC51FC" w:rsidP="00EC51FC">
      <w:pPr>
        <w:pStyle w:val="NormalHanging12a"/>
        <w:rPr>
          <w:szCs w:val="24"/>
        </w:rPr>
      </w:pPr>
      <w:r w:rsidRPr="00CD1FF2">
        <w:t>6.</w:t>
      </w:r>
      <w:r w:rsidRPr="00CD1FF2">
        <w:tab/>
        <w:t>Europaparlamentet noterar att datatillsynsmannens slutliga antagna budget var 20 266 000 EUR år 2022, vilket är en ökning med 4,12 % jämfört med 2021. Parlamentet noterar att datatillsynsmannen fick 50 000 EUR i inkomster avsatta för särskilda ändamål i samband med tjänster som tillhandahållits Eftas tillsynsmyndighet genom ett servicenivåavtal. Parlamentet noterar att datatillsynsmannens budget även omfattar arbetet i Europeiska dataskyddsstyrelsens oberoende sekretariat.</w:t>
      </w:r>
    </w:p>
    <w:p w:rsidR="00EC51FC" w:rsidRPr="00CD1FF2" w:rsidRDefault="00EC51FC" w:rsidP="00EC51FC">
      <w:pPr>
        <w:pStyle w:val="NormalHanging12a"/>
        <w:rPr>
          <w:szCs w:val="24"/>
        </w:rPr>
      </w:pPr>
      <w:r w:rsidRPr="00CD1FF2">
        <w:t>7.</w:t>
      </w:r>
      <w:r w:rsidRPr="00CD1FF2">
        <w:tab/>
        <w:t>Europaparlamentet noterar med tillfredsställelse att budgetgenomförandet var 98 % under 2022, vilket är högre än under 2021, då budgetgenomförandet var 86 %.</w:t>
      </w:r>
    </w:p>
    <w:p w:rsidR="00EC51FC" w:rsidRPr="00CD1FF2" w:rsidRDefault="00EC51FC" w:rsidP="00EC51FC">
      <w:pPr>
        <w:pStyle w:val="NormalHanging12a"/>
        <w:rPr>
          <w:szCs w:val="24"/>
        </w:rPr>
      </w:pPr>
      <w:r w:rsidRPr="00CD1FF2">
        <w:t>8.</w:t>
      </w:r>
      <w:r w:rsidRPr="00CD1FF2">
        <w:tab/>
        <w:t>Europaparlamentet noterar att Rysslands anfallskrig mot Ukraina skapade ett ökat budgettryck för datatillsynsmannen, bland annat genom stigande inflation och lönejusteringar, kraftigt ökande energikostnader och kostnader för varor och tjänster genom offentlig upphandling och servicenivåavtal med andra institutioner. Parlamentet välkomnar de interna omfördelningar inom budgetkapitlen som genomförts under 2022 för att optimera budgetgenomförandet.</w:t>
      </w:r>
    </w:p>
    <w:p w:rsidR="00EC51FC" w:rsidRPr="00CD1FF2" w:rsidRDefault="00EC51FC" w:rsidP="00EC51FC">
      <w:pPr>
        <w:pStyle w:val="NormalHanging12a"/>
        <w:rPr>
          <w:szCs w:val="24"/>
        </w:rPr>
      </w:pPr>
      <w:r w:rsidRPr="00CD1FF2">
        <w:t>9.</w:t>
      </w:r>
      <w:r w:rsidRPr="00CD1FF2">
        <w:tab/>
        <w:t xml:space="preserve">Europaparlamentet noterar att den genomsnittliga betalningstiden var 21,54 dagar 2022, vilket var en ökning jämfört med 2021, då den genomsnittliga tiden var 19,98 dagar. Parlamentet välkomnar införandet av ett nytt elektroniskt betalningssystem för att hantera fakturor som rör kostnader för tjänsteresor som betalats i förväg av resebyrån, vilket förväntas bidra till att minska den tid det tar att göra utbetalningar när det </w:t>
      </w:r>
      <w:r w:rsidRPr="00CD1FF2">
        <w:lastRenderedPageBreak/>
        <w:t>tillämpas fullt ut. Parlamentet uppmanar datatillsynsmannen att överväga möjligheten att utvidga detta system till andra typer av betalningar.</w:t>
      </w:r>
    </w:p>
    <w:p w:rsidR="00EC51FC" w:rsidRPr="00CD1FF2" w:rsidRDefault="00EC51FC" w:rsidP="00EC51FC">
      <w:pPr>
        <w:pStyle w:val="NormalHanging12a"/>
        <w:rPr>
          <w:szCs w:val="24"/>
        </w:rPr>
      </w:pPr>
      <w:r w:rsidRPr="00CD1FF2">
        <w:t>10.</w:t>
      </w:r>
      <w:r w:rsidRPr="00CD1FF2">
        <w:tab/>
        <w:t>Europaparlamentet noterar att datatillsynsmannens budget för personalens tjänsteresor ökade från 41 000 EUR till 251 000 EUR, dvs. en ökning med 512 %, mellan 2021 och 2022 efter återupptagandet av resorna efter covid-19-pandemin. Parlamentet noterar vidare att datatillsynsmannen inom ramen för denna totala budget hade en särskild budget för datatillsynsmannens tjänsteresor på 33 000 EUR 2022 jämfört med 5 000 EUR 2021, dvs. en ökning med 560 %. Parlamentet noterar att den stigande inflationen och den betydande ökningen av energipriserna under 2022 till följd av Rysslands anfallskrig mot Ukraina hade en negativ inverkan på kostnaderna för flygbiljetter och hotell, vilket ledde till ökade kostnader för tjänsteresor.</w:t>
      </w:r>
    </w:p>
    <w:p w:rsidR="00EC51FC" w:rsidRPr="00CD1FF2" w:rsidRDefault="00EC51FC" w:rsidP="00EC51FC">
      <w:pPr>
        <w:pStyle w:val="NormalHanging12a"/>
        <w:rPr>
          <w:b/>
          <w:i/>
          <w:szCs w:val="24"/>
        </w:rPr>
      </w:pPr>
      <w:r w:rsidRPr="00CD1FF2">
        <w:rPr>
          <w:b/>
          <w:i/>
        </w:rPr>
        <w:t>Intern förvaltning, resultat och internkontroll</w:t>
      </w:r>
    </w:p>
    <w:p w:rsidR="00EC51FC" w:rsidRPr="00CD1FF2" w:rsidRDefault="00EC51FC" w:rsidP="00EC51FC">
      <w:pPr>
        <w:pStyle w:val="NormalHanging12a"/>
        <w:rPr>
          <w:szCs w:val="24"/>
        </w:rPr>
      </w:pPr>
      <w:r w:rsidRPr="00CD1FF2">
        <w:t>11.</w:t>
      </w:r>
      <w:r w:rsidRPr="00CD1FF2">
        <w:tab/>
        <w:t>Europaparlamentet noterar att datatillsynsmannen under 2022 genomförde en halvtidsöversyn av sin strategi för 2020–2024 med fokus på de tre pelarna framtidsutsikter, åtgärder och solidaritet, och fastställde datatillsynsmannens omfokuserade vision och prioriteringar för perioden 2022–2024 i syfte att skapa en säkrare digital framtid.</w:t>
      </w:r>
    </w:p>
    <w:p w:rsidR="00EC51FC" w:rsidRPr="00CD1FF2" w:rsidRDefault="00EC51FC" w:rsidP="00EC51FC">
      <w:pPr>
        <w:pStyle w:val="NormalHanging12a"/>
        <w:rPr>
          <w:szCs w:val="24"/>
        </w:rPr>
      </w:pPr>
      <w:r w:rsidRPr="00CD1FF2">
        <w:t>12.</w:t>
      </w:r>
      <w:r w:rsidRPr="00CD1FF2">
        <w:tab/>
        <w:t>Europaparlamentet noterar de stora organisatoriska förändringar och den motsvarande översynen av sin arbetsordning som datatillsynsmannen genomförde 2022 för att stödja utvecklingen av sina uppgifter och förbättra effektiviteten i sina processer mot bakgrund av den snabbt föränderliga internationella miljön. Parlamentet noterar särskilt att datatillsynsmannen, till följd av dessa förändringar, inrättade en ny funktion som chef för Europeiska datatillsynsmannens sekretariat på generalsekreterarnivå, en särskild rättstjänst, en sektor för styrning och intern efterlevnad, två nya operativa sektorer i tillsyns- och verkställighetsenheten, en ny finanssektor inom personal-, budget- och förvaltningsenheten och en antenn i Strasbourg.</w:t>
      </w:r>
    </w:p>
    <w:p w:rsidR="00EC51FC" w:rsidRPr="00CD1FF2" w:rsidRDefault="00EC51FC" w:rsidP="00EC51FC">
      <w:pPr>
        <w:pStyle w:val="NormalHanging12a"/>
        <w:rPr>
          <w:szCs w:val="24"/>
        </w:rPr>
      </w:pPr>
      <w:r w:rsidRPr="00CD1FF2">
        <w:t>13.</w:t>
      </w:r>
      <w:r w:rsidRPr="00CD1FF2">
        <w:tab/>
        <w:t>Europaparlamentet noterar att i och med ikraftträdandet den 28 juni 2022 av Europaparlamentets och rådets förordning (EU) 2022/991</w:t>
      </w:r>
      <w:r w:rsidRPr="00CD1FF2">
        <w:rPr>
          <w:szCs w:val="24"/>
          <w:vertAlign w:val="superscript"/>
        </w:rPr>
        <w:footnoteReference w:id="6"/>
      </w:r>
      <w:r w:rsidRPr="00CD1FF2">
        <w:t xml:space="preserve"> om ändring av Europaparlamentets och rådets förordning (EU) 2016/794</w:t>
      </w:r>
      <w:r w:rsidRPr="00CD1FF2">
        <w:rPr>
          <w:szCs w:val="24"/>
          <w:vertAlign w:val="superscript"/>
        </w:rPr>
        <w:footnoteReference w:id="7"/>
      </w:r>
      <w:r w:rsidRPr="00CD1FF2">
        <w:t xml:space="preserve"> om inrättande av Europol stärktes datatillsynsmannens tillsynsfunktioner faktiskt när det gäller de operativa personuppgifter som Europol behandlar inom ramen för sitt mandat. Parlamentet noterar att de organisatoriska förändringar som infördes 2022, särskilt inrättandet av en ny undersektor i tillsyns- och verkställighetsenheten med specialiserad personal, särskilt syftade till att reflektera över datatillsynsmannens särskilda befogenheter när det gäller tillsynen över myndigheterna på området med frihet, säkerhet och rättvisa, även med beaktande av datatillsynsmannens nya tillsynsbefogenheter i förhållande till Europol. Parlamentet uppmanar datatillsynsmannen att hålla den ansvarsfrihetsbeviljande </w:t>
      </w:r>
      <w:r w:rsidRPr="00CD1FF2">
        <w:lastRenderedPageBreak/>
        <w:t>myndigheten informerad om varje ytterligare utvidgning av sitt mandat och konsekvenserna för resurserna.</w:t>
      </w:r>
    </w:p>
    <w:p w:rsidR="00EC51FC" w:rsidRPr="00CD1FF2" w:rsidRDefault="00EC51FC" w:rsidP="00EC51FC">
      <w:pPr>
        <w:pStyle w:val="NormalHanging12a"/>
        <w:rPr>
          <w:szCs w:val="24"/>
        </w:rPr>
      </w:pPr>
      <w:r w:rsidRPr="00CD1FF2">
        <w:t>14.</w:t>
      </w:r>
      <w:r w:rsidRPr="00CD1FF2">
        <w:tab/>
        <w:t>Europaparlamentet noterar att datatillsynsmannen, som en del av de ändringar som genomfördes 2022, har strävat efter att rationalisera sina interna förfaranden för att mer rigoröst hantera utredningar och omplacera specialiserad personal. Parlamentet noterar att utredningar av klagomål i brottsbekämpningssammanhang, till exempel klagomål mot svaren från Europol på begäranden från medborgare om registrerads åtkomst, ofta är mycket komplexa och i genomsnitt tar längre tid att utreda än andra klagomål, med tanke på att flera berörda parter är involverade i processen.</w:t>
      </w:r>
    </w:p>
    <w:p w:rsidR="00EC51FC" w:rsidRPr="00CD1FF2" w:rsidRDefault="00EC51FC" w:rsidP="00EC51FC">
      <w:pPr>
        <w:pStyle w:val="NormalHanging12a"/>
      </w:pPr>
      <w:r w:rsidRPr="00CD1FF2">
        <w:t>15.</w:t>
      </w:r>
      <w:r w:rsidRPr="00CD1FF2">
        <w:tab/>
        <w:t>Europaparlamentet noterar att datatillsynsmannen mottog 367 klagomål under 2022, vilket är 47 fler än 2021, varav 65 var tillåtliga och 302 otillåtliga, utöver de 129 tillåtliga klagomål som pågick under 2022. Parlamentet välkomnar datatillsynsmannens insatser för att minska det stora antalet otillåtliga klagomål, som fördubblats sedan 2019 och följaktligen ökat behovet av resurser för att hantera dem. Parlamentet noterar att datatillsynsmannen i genomsnitt utfärdade ett slutligt beslut, yttrande eller svar i 23 av de 65 klagomålsärenden som mottogs under 2022 inom 42 dagar. Parlamentet noterar vidare att behandlingen av klagomål rörande svar från Europol på begäranden från medborgare om registrerads åtkomst i genomsnitt tog mellan 5 och 12 månader. Parlamentet noterar att datatillsynsmannen kontinuerligt omvärderar sina förfaranden och vid behov genomför förbättringar på grundval av tidigare erfarenheter i syfte att ytterligare effektivisera sin hantering av klagomål för att trots begränsade resurser kunna lösa dem snabbare.</w:t>
      </w:r>
    </w:p>
    <w:p w:rsidR="00EC51FC" w:rsidRPr="00CD1FF2" w:rsidRDefault="00EC51FC" w:rsidP="00EC51FC">
      <w:pPr>
        <w:pStyle w:val="NormalHanging12a"/>
        <w:rPr>
          <w:szCs w:val="24"/>
        </w:rPr>
      </w:pPr>
      <w:r w:rsidRPr="00CD1FF2">
        <w:t>16.</w:t>
      </w:r>
      <w:r w:rsidRPr="00CD1FF2">
        <w:tab/>
        <w:t>Europaparlamentet noterar att datatillsynsmannen under 2022 genomförde två förundersökningar där det fanns farhågor om en unionsinstitutions eventuella överträdelser av dataskyddsreglerna och fortsatte tre pågående formella utredningar i form av dataskyddsrevisioner, varav en avslutades i april 2022. Parlamentet noterar vidare att datatillsynsmannen också inledde fyra utredningar i form av dataskyddsrevisioner på grundval av klagomål avseende vissa av unionens institutioners, organs och byråers webbplatser och en utredning inom området med frihet, säkerhet och rättvisa, och fortsatte pågående utredningar som inletts under tidigare år. Parlamentet noterar att datatillsynsmannens granskning av Europols behandling av personuppgifter om minderåriga under 15 år, som betecknades som misstänkta, och som lämnades till byrån av tredjeländer och internationella organisationer, avslutades i september 2023 efter en nästan 10 månader lång utredning och efter det att ämnet ursprungligen hade tagits upp av datatillsynsmannen med rekommendationer riktade till Europol i december 2018 om behandlingen av känsliga uppgifter.</w:t>
      </w:r>
    </w:p>
    <w:p w:rsidR="00EC51FC" w:rsidRPr="00CD1FF2" w:rsidRDefault="00EC51FC" w:rsidP="00EC51FC">
      <w:pPr>
        <w:pStyle w:val="NormalHanging12a"/>
        <w:rPr>
          <w:szCs w:val="24"/>
        </w:rPr>
      </w:pPr>
      <w:r w:rsidRPr="00CD1FF2">
        <w:t>17.</w:t>
      </w:r>
      <w:r w:rsidRPr="00CD1FF2">
        <w:tab/>
        <w:t>Europaparlamentet uppmanar datatillsynsmannen att förbättra förfarandet och prioritera hanteringen av personuppgifter som rör minderåriga under 15 år, med tanke på att de utgör en utsatt grupp som kräver ökat skydd och därför motiverar en prioriterad status.</w:t>
      </w:r>
    </w:p>
    <w:p w:rsidR="00EC51FC" w:rsidRPr="00CD1FF2" w:rsidRDefault="00EC51FC" w:rsidP="00EC51FC">
      <w:pPr>
        <w:pStyle w:val="NormalHanging12a"/>
        <w:rPr>
          <w:szCs w:val="24"/>
        </w:rPr>
      </w:pPr>
      <w:r w:rsidRPr="00CD1FF2">
        <w:t>18.</w:t>
      </w:r>
      <w:r w:rsidRPr="00CD1FF2">
        <w:tab/>
        <w:t xml:space="preserve">Europaparlamentet noterar att datatillsynsmannen den 16 september 2022 väckte talan om ogiltigförklaring av två bestämmelser i den ändrade Europolförordningen vid Europeiska unionens domstol, som domstolen senare avslog. Parlamentet understryker att det faktum att datatillsynsmannen i sin tillsynsroll hänskjuter viktiga rättsliga frågor till EU-domstolen inte bör anses påverka det lojala samarbetet och de goda förbindelserna mellan datatillsynsmannen och de enheter som datatillsynsmannen </w:t>
      </w:r>
      <w:r w:rsidRPr="00CD1FF2">
        <w:lastRenderedPageBreak/>
        <w:t>utövar tillsyn över.</w:t>
      </w:r>
    </w:p>
    <w:p w:rsidR="00EC51FC" w:rsidRPr="00CD1FF2" w:rsidRDefault="00EC51FC" w:rsidP="00EC51FC">
      <w:pPr>
        <w:pStyle w:val="NormalHanging12a"/>
        <w:rPr>
          <w:szCs w:val="24"/>
        </w:rPr>
      </w:pPr>
      <w:r w:rsidRPr="00CD1FF2">
        <w:t>19.</w:t>
      </w:r>
      <w:r w:rsidRPr="00CD1FF2">
        <w:tab/>
        <w:t>Europaparlamentet noterar med tillfredsställelse att datatillsynsmannen utvecklade en ny ram för riskhantering i slutet av 2022 och därmed stärkte sin ram för intern kontroll och införlivade riskanalys i sin årliga planering, som bör styra fastställandet av datatillsynsmannens prioriteringar på årsbasis.</w:t>
      </w:r>
    </w:p>
    <w:p w:rsidR="00EC51FC" w:rsidRPr="00CD1FF2" w:rsidRDefault="00EC51FC" w:rsidP="00EC51FC">
      <w:pPr>
        <w:pStyle w:val="NormalHanging12a"/>
        <w:rPr>
          <w:szCs w:val="24"/>
        </w:rPr>
      </w:pPr>
      <w:r w:rsidRPr="00CD1FF2">
        <w:t>20.</w:t>
      </w:r>
      <w:r w:rsidRPr="00CD1FF2">
        <w:tab/>
        <w:t>Europaparlamentet uppskattar den viktiga roll som datatillsynsmannens samråd och rådgivning spelar i lagstiftningsprocessen. Parlamentet noterar att datatillsynsmannens rådgivning tog formen av 27 yttranden (12 under 2021), 49 formella kommentarer (76 under 2021) och 30 informella kommentarer (29 under 2021) till kommissionen och medlagstiftarna som svar på begäranden om lagstiftningssamråd under 2022.</w:t>
      </w:r>
    </w:p>
    <w:p w:rsidR="00EC51FC" w:rsidRPr="00CD1FF2" w:rsidRDefault="00EC51FC" w:rsidP="00EC51FC">
      <w:pPr>
        <w:pStyle w:val="NormalHanging12a"/>
        <w:rPr>
          <w:szCs w:val="24"/>
        </w:rPr>
      </w:pPr>
      <w:r w:rsidRPr="00CD1FF2">
        <w:t>21.</w:t>
      </w:r>
      <w:r w:rsidRPr="00CD1FF2">
        <w:tab/>
        <w:t>Europaparlamentet uppmanar datatillsynsmannen att se över sin arbetsordning för att säkerställa att behandlingen av klagomål från medborgarna sker i god tid, med beaktande av all relevant information, och att informera den ansvarsfrihetsbeviljande myndigheten om de framsteg som gjorts på detta område.</w:t>
      </w:r>
    </w:p>
    <w:p w:rsidR="00EC51FC" w:rsidRPr="00CD1FF2" w:rsidRDefault="00EC51FC" w:rsidP="00EC51FC">
      <w:pPr>
        <w:pStyle w:val="NormalHanging12a"/>
        <w:rPr>
          <w:b/>
          <w:i/>
          <w:szCs w:val="24"/>
        </w:rPr>
      </w:pPr>
      <w:r w:rsidRPr="00CD1FF2">
        <w:rPr>
          <w:b/>
          <w:i/>
        </w:rPr>
        <w:t>Personalresurser, jämställdhet och personalens välbefinnande</w:t>
      </w:r>
    </w:p>
    <w:p w:rsidR="00EC51FC" w:rsidRPr="00CD1FF2" w:rsidRDefault="00EC51FC" w:rsidP="00EC51FC">
      <w:pPr>
        <w:pStyle w:val="NormalHanging12a"/>
        <w:rPr>
          <w:szCs w:val="24"/>
        </w:rPr>
      </w:pPr>
      <w:r w:rsidRPr="00CD1FF2">
        <w:t>22.</w:t>
      </w:r>
      <w:r w:rsidRPr="00CD1FF2">
        <w:tab/>
        <w:t>Europaparlamentet noterar att datatillsynsmannen i slutet av 2022 hade 127 anställda, jämfört med 124 i slutet av 2021 och 114 i slutet av 2020. Parlamentet noterar att datatillsynsmannen hade 52 kontraktsanställda i enlighet med artikel 3 b och 6 tillfälligt anställda enligt artikel 2 b och 2 c i tjänsteföreskrifterna för tjänstemän och anställningsvillkoren för övriga anställda. Parlamentet noterar vidare att datatillsynsmannen anställde 8 externa tjänsteleverantörer som arbetade på plats under 2022. Parlamentet uppmanar datatillsynsmannen att informera den ansvarsfrihetsbeviljande myndigheten om de åtgärder som vidtagits för att säkerställa att externa tjänsteleverantörers tillgång till information förvaltas i enlighet med den sekretessnivå som krävs för de aktuella frågorna.</w:t>
      </w:r>
    </w:p>
    <w:p w:rsidR="00EC51FC" w:rsidRPr="00CD1FF2" w:rsidRDefault="00EC51FC" w:rsidP="00EC51FC">
      <w:pPr>
        <w:pStyle w:val="NormalHanging12a"/>
        <w:rPr>
          <w:szCs w:val="24"/>
        </w:rPr>
      </w:pPr>
      <w:r w:rsidRPr="00CD1FF2">
        <w:t>23.</w:t>
      </w:r>
      <w:r w:rsidRPr="00CD1FF2">
        <w:tab/>
        <w:t>Europaparlamentet anser att datatillsynsmannen, med tanke på den ökade arbetsbördan till följd av nya uppgifter och ansvarsområden som tilldelats datatillsynsmannen, liksom många fler lagstiftningssamråd och datamängder som ska övervakas, skulle behöva en proportionell personalökning för att upprätthålla effektiva arbetsflöden med rimliga svarstider. Parlamentet uppmanar datatillsynsmannen att erbjuda sina anställda kontrakt om tillsvidareanställning för att garantera driftskontinuitet och säkerhet i arbetet.</w:t>
      </w:r>
    </w:p>
    <w:p w:rsidR="00EC51FC" w:rsidRPr="00CD1FF2" w:rsidRDefault="00EC51FC" w:rsidP="00EC51FC">
      <w:pPr>
        <w:pStyle w:val="NormalHanging12a"/>
        <w:rPr>
          <w:szCs w:val="24"/>
        </w:rPr>
      </w:pPr>
      <w:r w:rsidRPr="00CD1FF2">
        <w:t>24.</w:t>
      </w:r>
      <w:r w:rsidRPr="00CD1FF2">
        <w:tab/>
        <w:t>Europaparlamentet noterar att tillsättningsgraden i tjänsteförteckningen var 86,9 % i slutet av 2022. Parlamentet beklagar att tillsättningsgraden i tjänsteförteckningen är lägre än målet för 2022. Parlamentet erkänner bristen på kvalificerad arbetskraft. Parlamentet uppmuntrar datatillsynsmannen att undersöka användbara strategier för att öka synligheten för sina lediga tjänster. Parlamentet noterar att datatillsynsmannen under 2022 anordnade ett externt urvalsförfarande för att upprätta en reservlista över specialiserade sökande med hänsyn till rekryteringsbehoven från och med 2022.</w:t>
      </w:r>
    </w:p>
    <w:p w:rsidR="00EC51FC" w:rsidRPr="00CD1FF2" w:rsidRDefault="00EC51FC" w:rsidP="00EC51FC">
      <w:pPr>
        <w:pStyle w:val="NormalHanging12a"/>
        <w:rPr>
          <w:szCs w:val="24"/>
        </w:rPr>
      </w:pPr>
      <w:r w:rsidRPr="00CD1FF2">
        <w:t>25.</w:t>
      </w:r>
      <w:r w:rsidRPr="00CD1FF2">
        <w:tab/>
        <w:t xml:space="preserve">Europaparlamentet noterar att datatillsynsmannen, med beaktande av lärdomarna från covid-19-pandemin, antog ett nytt beslut om arbetstid och hybridarbete i maj 2022, enligt vilket personalen i hög grad kan variera sin arbetstid enligt ett flextidssystem och distansarbeta upp till tre dagar per vecka. Parlamentet välkomnar resultaten av den personalundersökning som genomfördes efter antagandet av detta beslut, som visade att </w:t>
      </w:r>
      <w:r w:rsidRPr="00CD1FF2">
        <w:lastRenderedPageBreak/>
        <w:t>en majoritet av personalen var nöjda med de nya arbetsarrangemangen.</w:t>
      </w:r>
    </w:p>
    <w:p w:rsidR="00EC51FC" w:rsidRPr="00CD1FF2" w:rsidRDefault="00EC51FC" w:rsidP="00EC51FC">
      <w:pPr>
        <w:pStyle w:val="NormalHanging12a"/>
        <w:rPr>
          <w:b/>
          <w:i/>
          <w:szCs w:val="24"/>
        </w:rPr>
      </w:pPr>
      <w:r w:rsidRPr="00CD1FF2">
        <w:t>26.</w:t>
      </w:r>
      <w:r w:rsidRPr="00CD1FF2">
        <w:tab/>
        <w:t>Europaparlamentet gratulerar datatillsynsmannen till att ha 22 nationaliteter representerade bland sin personal under 2022, vilket är en förbättring jämfört med 21 nationaliteter under 2021 och trots överrepresentationen av 5 nationaliteter är ett gott resultat för en så liten institution. Parlamentet uppmanar datatillsynsmannen att sträva efter att uppnå en rättvisare geografisk representation mellan alla medlemsstater, med särskild uppmärksamhet på att åtgärda underrepresentationen av vissa länder.</w:t>
      </w:r>
    </w:p>
    <w:p w:rsidR="00EC51FC" w:rsidRPr="00CD1FF2" w:rsidRDefault="00EC51FC" w:rsidP="00EC51FC">
      <w:pPr>
        <w:pStyle w:val="NormalHanging12a"/>
        <w:rPr>
          <w:szCs w:val="24"/>
        </w:rPr>
      </w:pPr>
      <w:r w:rsidRPr="00CD1FF2">
        <w:t>27.</w:t>
      </w:r>
      <w:r w:rsidRPr="00CD1FF2">
        <w:tab/>
        <w:t>Europaparlamentet noterar att datatillsynsmannen under 2022 sysselsatte totalt 64 % kvinnor och 36 % män, vilket är samma trend som under tidigare år, då fördelningen mellan kvinnor och män var 63 % respektive 37 %. Parlamentet beklagar att det inte fanns några kvinnor på högre chefstjänster under 2022, medan könsfördelningen bland de fyra cheferna på mellannivå nådde en jämn könsfördelning under året. Parlamentet uppmanar datatillsynsmannen att fortsätta sina ansträngningar för att uppnå en jämn könsfördelning bland personalen.</w:t>
      </w:r>
    </w:p>
    <w:p w:rsidR="00EC51FC" w:rsidRPr="00CD1FF2" w:rsidRDefault="00EC51FC" w:rsidP="00EC51FC">
      <w:pPr>
        <w:pStyle w:val="NormalHanging12a"/>
        <w:rPr>
          <w:szCs w:val="24"/>
        </w:rPr>
      </w:pPr>
      <w:r w:rsidRPr="00CD1FF2">
        <w:t>28.</w:t>
      </w:r>
      <w:r w:rsidRPr="00CD1FF2">
        <w:tab/>
        <w:t>Europaparlamentet noterar med tillfredsställelse att inga fall av utbrändhet eller trakasserier bland datatillsynsmannens personal rapporterades under 2022. Parlamentet välkomnar att datatillsynsmannen inrättade en arbetsgrupp för att diskutera frågor som rör fördelningen och tilldelningen av arbete efter resultaten av den personalenkät som genomförs vartannat år från juni 2022, enligt vilken vissa av datatillsynsmannens anställda ansåg att arbetsbördan inte var jämnt fördelad eller välfördelad mellan team och kollegor. Parlamentet uppmanar datatillsynsmannen att hålla den ansvarsfrihetsbeviljande myndigheten informerad om resultatet av arbetsgruppens diskussioner och detaljerna i den handlingsplan som håller på att utarbetas.</w:t>
      </w:r>
    </w:p>
    <w:p w:rsidR="00EC51FC" w:rsidRPr="00CD1FF2" w:rsidRDefault="00EC51FC" w:rsidP="00EC51FC">
      <w:pPr>
        <w:pStyle w:val="NormalHanging12a"/>
        <w:rPr>
          <w:szCs w:val="24"/>
        </w:rPr>
      </w:pPr>
      <w:r w:rsidRPr="00CD1FF2">
        <w:t>29.</w:t>
      </w:r>
      <w:r w:rsidRPr="00CD1FF2">
        <w:tab/>
        <w:t>Europaparlamentet välkomnar datatillsynsmannens fortsatta insatser för att aktivt förbättra personalens fysiska och psykiska välbefinnande.</w:t>
      </w:r>
    </w:p>
    <w:p w:rsidR="00EC51FC" w:rsidRPr="00CD1FF2" w:rsidRDefault="00EC51FC" w:rsidP="00EC51FC">
      <w:pPr>
        <w:pStyle w:val="NormalHanging12a"/>
        <w:rPr>
          <w:szCs w:val="24"/>
        </w:rPr>
      </w:pPr>
      <w:r w:rsidRPr="00CD1FF2">
        <w:t>30.</w:t>
      </w:r>
      <w:r w:rsidRPr="00CD1FF2">
        <w:tab/>
        <w:t>Europaparlamentet noterar med tillfredsställelse att datatillsynsmannen rekryterade 18 praktikanter under 2022, som fick ersättning och åtnjöt samma arbetsarrangemang som resten av personalen.</w:t>
      </w:r>
    </w:p>
    <w:p w:rsidR="00EC51FC" w:rsidRPr="00CD1FF2" w:rsidRDefault="00EC51FC" w:rsidP="00EC51FC">
      <w:pPr>
        <w:pStyle w:val="NormalHanging12a"/>
        <w:rPr>
          <w:b/>
          <w:i/>
          <w:szCs w:val="24"/>
        </w:rPr>
      </w:pPr>
      <w:r w:rsidRPr="00CD1FF2">
        <w:rPr>
          <w:b/>
          <w:i/>
        </w:rPr>
        <w:t>Etisk ram och transparens</w:t>
      </w:r>
    </w:p>
    <w:p w:rsidR="00EC51FC" w:rsidRPr="00CD1FF2" w:rsidRDefault="00EC51FC" w:rsidP="00EC51FC">
      <w:pPr>
        <w:pStyle w:val="NormalHanging12a"/>
        <w:rPr>
          <w:szCs w:val="24"/>
        </w:rPr>
      </w:pPr>
      <w:r w:rsidRPr="00CD1FF2">
        <w:t>31.</w:t>
      </w:r>
      <w:r w:rsidRPr="00CD1FF2">
        <w:tab/>
        <w:t>Europaparlamentet noterar att datatillsynsmannen under 2022 inriktade sina insatser på att öka personalens medvetenhet om datatillsynsmannens/EDPB:s etiska ram genom att anordna obligatoriska särskilda utbildningstillfällen för all personal och introduktionsutbildning för datatillsynsmannens/EDPB:s nyanställda. Parlamentet uppmuntrar datatillsynsmannen att fortsätta att öka medvetenheten och anordna undersökningar för att bedöma personalens medvetenhet om datatillsynsmannens/EDPB:s etiska ram.</w:t>
      </w:r>
    </w:p>
    <w:p w:rsidR="00EC51FC" w:rsidRPr="00CD1FF2" w:rsidRDefault="00EC51FC" w:rsidP="00EC51FC">
      <w:pPr>
        <w:pStyle w:val="NormalHanging12a"/>
        <w:rPr>
          <w:szCs w:val="24"/>
        </w:rPr>
      </w:pPr>
      <w:r w:rsidRPr="00CD1FF2">
        <w:t>32.</w:t>
      </w:r>
      <w:r w:rsidRPr="00CD1FF2">
        <w:tab/>
        <w:t>Europaparlamentet välkomnar den övergripande höga grad av transparens som datatillsynsmannen uppnått när det gäller dess verksamhet, särskilt när det gäller offentliggörandet av dagordningen och intresseförklaringarna för datatillsynsmannen och chefen för datatillsynsmannens administration, i linje med datatillsynsmannens uppförandekod från 2019. Parlamentet beklagar att datatillsynsmannen beslutade att tillämpa datatillsynsmannens uppförandekod på chefen för datatillsynsmannens administration i stället för att anta en särskild uppförandekod för den högsta ledningen.</w:t>
      </w:r>
    </w:p>
    <w:p w:rsidR="00EC51FC" w:rsidRPr="00CD1FF2" w:rsidRDefault="00EC51FC" w:rsidP="00EC51FC">
      <w:pPr>
        <w:pStyle w:val="NormalHanging12a"/>
        <w:rPr>
          <w:szCs w:val="24"/>
        </w:rPr>
      </w:pPr>
      <w:r w:rsidRPr="00CD1FF2">
        <w:lastRenderedPageBreak/>
        <w:t>33.</w:t>
      </w:r>
      <w:r w:rsidRPr="00CD1FF2">
        <w:tab/>
        <w:t>Europaparlamentet noterar med tillfredsställelse att datatillsynsmannen sedan inrättandet aldrig har varit föremål för några utredningar av Europeiska byrån för bedrägeribekämpning (Olaf).</w:t>
      </w:r>
    </w:p>
    <w:p w:rsidR="00EC51FC" w:rsidRPr="00CD1FF2" w:rsidRDefault="00EC51FC" w:rsidP="00EC51FC">
      <w:pPr>
        <w:pStyle w:val="NormalHanging12a"/>
        <w:rPr>
          <w:szCs w:val="24"/>
        </w:rPr>
      </w:pPr>
      <w:r w:rsidRPr="00CD1FF2">
        <w:t>34.</w:t>
      </w:r>
      <w:r w:rsidRPr="00CD1FF2">
        <w:tab/>
        <w:t>Europaparlamentet noterar med tillfredsställelse att två undersökningar som ombudsmannen inledde 2022 om datatillsynsmannen avslutades utan att några administrativa missförhållanden konstaterades.</w:t>
      </w:r>
    </w:p>
    <w:p w:rsidR="00EC51FC" w:rsidRPr="00CD1FF2" w:rsidRDefault="00EC51FC" w:rsidP="00EC51FC">
      <w:pPr>
        <w:pStyle w:val="NormalHanging12a"/>
        <w:rPr>
          <w:b/>
          <w:i/>
          <w:szCs w:val="24"/>
        </w:rPr>
      </w:pPr>
      <w:r w:rsidRPr="00CD1FF2">
        <w:t>35.</w:t>
      </w:r>
      <w:r w:rsidRPr="00CD1FF2">
        <w:tab/>
        <w:t>Europaparlamentet beklagar att datatillsynsmannen fortfarande inte formellt har anslutit sig till öppenhetsregistret. Parlamentet välkomnar dock anpassningen av datatillsynsmannens öppenhetsregler till principerna för öppenhetsregistret när det gäller obligatoriska förhandskontroller i öppenhetsregistret för tredjepartsmöten med datatillsynsmannen och chefen för datatillsynsmannens administration. Parlamentet betonar att transparensen skulle kunna upprätthållas bättre genom anslutning till öppenhetsregistret. Parlamentet upprepar uppmaningarna till datatillsynsmannen att ansluta sig till EU:s öppenhetsregister.</w:t>
      </w:r>
    </w:p>
    <w:p w:rsidR="00EC51FC" w:rsidRPr="00CD1FF2" w:rsidRDefault="00EC51FC" w:rsidP="00EC51FC">
      <w:pPr>
        <w:pStyle w:val="NormalHanging12a"/>
        <w:rPr>
          <w:szCs w:val="24"/>
        </w:rPr>
      </w:pPr>
      <w:r w:rsidRPr="00CD1FF2">
        <w:t>36.</w:t>
      </w:r>
      <w:r w:rsidRPr="00CD1FF2">
        <w:tab/>
        <w:t>Europaparlamentet noterar att datatillsynsmannen har inrättat en ram för att förebygga intressekonflikter på högsta ledningsnivå och personalnivå genom uppförandekoder, informationskampanjer och förklaringar. Parlamentet noterar med tillfredsställelse att inga intressekonflikter upptäcktes 2022.</w:t>
      </w:r>
    </w:p>
    <w:p w:rsidR="00EC51FC" w:rsidRPr="00CD1FF2" w:rsidRDefault="00EC51FC" w:rsidP="00EC51FC">
      <w:pPr>
        <w:pStyle w:val="NormalHanging12a"/>
        <w:rPr>
          <w:szCs w:val="24"/>
        </w:rPr>
      </w:pPr>
      <w:r w:rsidRPr="00CD1FF2">
        <w:t>37.</w:t>
      </w:r>
      <w:r w:rsidRPr="00CD1FF2">
        <w:tab/>
        <w:t>Europaparlamentet noterar att datatillsynsmannen har interna regler om visselblåsning, som fastställer säkra sätt och kanaler genom vilka personalen kan ta upp farhågor om bedrägeri, korruption eller andra allvarliga missförhållanden, utan att det påverkar konfidentialiteten för visselblåsarens identitet och den information som rapporteras. Parlamentet noterar att inga fall av visselblåsning rapporterades 2022.</w:t>
      </w:r>
    </w:p>
    <w:p w:rsidR="00EC51FC" w:rsidRPr="00CD1FF2" w:rsidRDefault="00EC51FC" w:rsidP="00EC51FC">
      <w:pPr>
        <w:pStyle w:val="NormalHanging12a"/>
        <w:rPr>
          <w:b/>
          <w:i/>
          <w:szCs w:val="24"/>
        </w:rPr>
      </w:pPr>
      <w:r w:rsidRPr="00CD1FF2">
        <w:rPr>
          <w:b/>
          <w:i/>
        </w:rPr>
        <w:t>Digitalisering, it-säkerhet och skydd av personuppgifter</w:t>
      </w:r>
    </w:p>
    <w:p w:rsidR="00EC51FC" w:rsidRPr="00CD1FF2" w:rsidRDefault="00EC51FC" w:rsidP="00EC51FC">
      <w:pPr>
        <w:pStyle w:val="NormalHanging12a"/>
        <w:rPr>
          <w:szCs w:val="24"/>
        </w:rPr>
      </w:pPr>
      <w:r w:rsidRPr="00CD1FF2">
        <w:t>38.</w:t>
      </w:r>
      <w:r w:rsidRPr="00CD1FF2">
        <w:tab/>
        <w:t>Europaparlamentet noterar att 2022 års budget för it-utrustning och it-projekt var 21 % högre än 2021. Parlamentet noterar att denna information måste bedömas mot bakgrund av att 2021 års budget för it i sig var 20 % högre än budgeten för 2020.</w:t>
      </w:r>
    </w:p>
    <w:p w:rsidR="00EC51FC" w:rsidRPr="00CD1FF2" w:rsidRDefault="00EC51FC" w:rsidP="00EC51FC">
      <w:pPr>
        <w:pStyle w:val="NormalHanging12a"/>
        <w:rPr>
          <w:szCs w:val="24"/>
        </w:rPr>
      </w:pPr>
      <w:r w:rsidRPr="00CD1FF2">
        <w:t>39.</w:t>
      </w:r>
      <w:r w:rsidRPr="00CD1FF2">
        <w:tab/>
        <w:t>Europaparlamentet noterar att datatillsynsmannen under 2022 undersökte it-strategierna vid flera av EU:s institutioner inom ramen för en omfattande it-genomförbarhetsstudie, som låg till grund för fastställandet av datatillsynsmannens it-strategi för de kommande åren. Parlamentet uppmanar datatillsynsmannen att hålla den ansvarsfrihetsbeviljande myndigheten informerad om resultatet av denna analys och dess konsekvenser för resurserna.</w:t>
      </w:r>
    </w:p>
    <w:p w:rsidR="00EC51FC" w:rsidRPr="00CD1FF2" w:rsidRDefault="00EC51FC" w:rsidP="00EC51FC">
      <w:pPr>
        <w:pStyle w:val="NormalHanging12a"/>
        <w:rPr>
          <w:szCs w:val="24"/>
        </w:rPr>
      </w:pPr>
      <w:r w:rsidRPr="00CD1FF2">
        <w:t>40.</w:t>
      </w:r>
      <w:r w:rsidRPr="00CD1FF2">
        <w:tab/>
        <w:t>Europaparlamentet noterar att parlamentet i egenskap av datatillsynsmannens tjänsteleverantör tillhandahåller it-utrustning och it-tjänster. Parlamentet välkomnar datatillsynsmannens insatser för att kontinuerligt förbättra sin digitala arbetsplats när det gäller effektivitet och säkerhet utöver det som parlamentet tillhandahåller. Parlamentet noterar att detta har inneburit en förbättring av kvaliteten på och prestandan hos de datorer som tillhandahålls datatillsynsmannens personal, i samarbete med parlamentet, i syfte att göra hybridarbetet mer allmänt.</w:t>
      </w:r>
    </w:p>
    <w:p w:rsidR="00EC51FC" w:rsidRPr="00CD1FF2" w:rsidRDefault="00EC51FC" w:rsidP="00EC51FC">
      <w:pPr>
        <w:pStyle w:val="NormalHanging12a"/>
        <w:rPr>
          <w:szCs w:val="24"/>
        </w:rPr>
      </w:pPr>
      <w:r w:rsidRPr="00CD1FF2">
        <w:t>41.</w:t>
      </w:r>
      <w:r w:rsidRPr="00CD1FF2">
        <w:tab/>
        <w:t xml:space="preserve">Europaparlamentet erkänner datatillsynsmannens ledande roll när det gäller att förbättra EU-institutionernas cybersäkerhetsberedskap. Parlamentet noterar att </w:t>
      </w:r>
      <w:r w:rsidRPr="00CD1FF2">
        <w:lastRenderedPageBreak/>
        <w:t>datatillsynsmannen under 2022 fortsatte att förbättra sin beredskap att skydda personuppgifter och känslig information mot cyberattacker med tanke på den snabbt föränderliga hotbilden mot cybersäkerheten. Parlamentet gratulerar datatillsynsmannen för att ha sett över sin säkerhetspolicy och sina säkerhetsmetoder och anpassat sina avtalskrav för cybersäkerhet i linje med CERT-EU:s vägledning, innan EU:s cybersäkerhetsakt träder i kraft, till förmån för alla institutioner. Parlamentet noterar att datatillsynsmannen inte har utsatts för några cyberattacker under 2022.</w:t>
      </w:r>
    </w:p>
    <w:p w:rsidR="00EC51FC" w:rsidRPr="00CD1FF2" w:rsidRDefault="00EC51FC" w:rsidP="00EC51FC">
      <w:pPr>
        <w:pStyle w:val="NormalHanging12a"/>
        <w:rPr>
          <w:szCs w:val="24"/>
        </w:rPr>
      </w:pPr>
      <w:r w:rsidRPr="00CD1FF2">
        <w:t>42.</w:t>
      </w:r>
      <w:r w:rsidRPr="00CD1FF2">
        <w:tab/>
        <w:t>Europaparlamentet noterar att datatillsynsmannen för närvarande testar och utvecklar innovativa och integritetsvänliga it-lösningar med öppen källkod. Parlamentet anser att datatillsynsmannen bör dela med sig av dessa erfarenheter till andra EU-institutioner.</w:t>
      </w:r>
    </w:p>
    <w:p w:rsidR="00EC51FC" w:rsidRPr="00CD1FF2" w:rsidRDefault="00EC51FC" w:rsidP="00EC51FC">
      <w:pPr>
        <w:pStyle w:val="NormalHanging12a"/>
        <w:rPr>
          <w:szCs w:val="24"/>
        </w:rPr>
      </w:pPr>
      <w:r w:rsidRPr="00CD1FF2">
        <w:t>43.</w:t>
      </w:r>
      <w:r w:rsidRPr="00CD1FF2">
        <w:tab/>
        <w:t>Europaparlamentet välkomnar datatillsynsmannens uppföljningsåtgärder avseende Schrems II-domen, med särskilt fokus under på de kontrakt som EU:s institutioner och organ ingått med privata enheter 2022, särskilt stora IKT-leverantörer, och på arrangemang mellan EU:s institutioner och organ och offentliga organ eller internationella organisationer utanför EU/EES.</w:t>
      </w:r>
    </w:p>
    <w:p w:rsidR="00EC51FC" w:rsidRPr="00CD1FF2" w:rsidRDefault="00EC51FC" w:rsidP="00EC51FC">
      <w:pPr>
        <w:pStyle w:val="NormalHanging12a"/>
        <w:ind w:left="0" w:firstLine="0"/>
        <w:rPr>
          <w:b/>
          <w:i/>
          <w:szCs w:val="24"/>
        </w:rPr>
      </w:pPr>
      <w:r w:rsidRPr="00CD1FF2">
        <w:rPr>
          <w:b/>
          <w:i/>
        </w:rPr>
        <w:t>Byggnader</w:t>
      </w:r>
    </w:p>
    <w:p w:rsidR="00EC51FC" w:rsidRPr="00CD1FF2" w:rsidRDefault="00EC51FC" w:rsidP="00EC51FC">
      <w:pPr>
        <w:pStyle w:val="NormalHanging12a"/>
        <w:rPr>
          <w:szCs w:val="24"/>
        </w:rPr>
      </w:pPr>
      <w:r w:rsidRPr="00CD1FF2">
        <w:t>44.</w:t>
      </w:r>
      <w:r w:rsidRPr="00CD1FF2">
        <w:tab/>
        <w:t>Europaparlamentet noterar att datatillsynsmannen och EDPB under 2022 var de enda hyresgästerna i parlamentets byggnad där de var belägna, efter ombudsmannens flytt i slutet av 2021. Parlamentet noterar att efter denna flytt renoverades tre våningar i byggnaden helt för att tillgodose datatillsynsmannens och EDPB:s personal och anpassa lokalerna till de nya arbetsförhållanden som rådde efter covid-19-pandemin.</w:t>
      </w:r>
    </w:p>
    <w:p w:rsidR="00EC51FC" w:rsidRPr="00CD1FF2" w:rsidRDefault="00EC51FC" w:rsidP="00EC51FC">
      <w:pPr>
        <w:pStyle w:val="NormalHanging12a"/>
        <w:rPr>
          <w:szCs w:val="24"/>
        </w:rPr>
      </w:pPr>
      <w:r w:rsidRPr="00CD1FF2">
        <w:t>45.</w:t>
      </w:r>
      <w:r w:rsidRPr="00CD1FF2">
        <w:tab/>
        <w:t>Europaparlamentet noterar att datatillsynsmannen, när det gäller tillgängligheten till byggnaden, förlitar sig på de beslut som parlamentet fattar och genomför inom ramen för sin fastighetspolitik. Parlamentet uppmanar datatillsynsmannen att förespråka nödvändigheten av att fokusera på behoven hos personer med nedsatt rörlighet eller funktionsnedsättning och att informera den ansvarsfrihetsbeviljande myndigheten om alla nya beslut som fattas i detta avseende.</w:t>
      </w:r>
    </w:p>
    <w:p w:rsidR="00EC51FC" w:rsidRPr="00CD1FF2" w:rsidRDefault="00EC51FC" w:rsidP="00EC51FC">
      <w:pPr>
        <w:pStyle w:val="NormalHanging12a"/>
        <w:ind w:left="0" w:firstLine="0"/>
        <w:rPr>
          <w:b/>
          <w:i/>
          <w:szCs w:val="24"/>
        </w:rPr>
      </w:pPr>
      <w:r w:rsidRPr="00CD1FF2">
        <w:rPr>
          <w:b/>
          <w:i/>
        </w:rPr>
        <w:t>Miljö och hållbarhet</w:t>
      </w:r>
    </w:p>
    <w:p w:rsidR="00EC51FC" w:rsidRPr="00CD1FF2" w:rsidRDefault="00EC51FC" w:rsidP="00EC51FC">
      <w:pPr>
        <w:pStyle w:val="NormalHanging12a"/>
        <w:rPr>
          <w:szCs w:val="24"/>
        </w:rPr>
      </w:pPr>
      <w:r w:rsidRPr="00CD1FF2">
        <w:t>46.</w:t>
      </w:r>
      <w:r w:rsidRPr="00CD1FF2">
        <w:tab/>
        <w:t>Europaparlamentet noterar att datatillsynsmannen inte har anslutit sig till miljölednings- och miljörevisionsordningen (Emas), men har genomfört flera åtgärder för att minska sitt miljöavtryck, såsom minskning av papper till följd av digitaliseringen av personalprocesser eller avfallsåtervinning. Parlamentet noterar att när det gäller miljöinfrastruktur installerades inga solpaneler på den byggnad som hyrdes av parlamentet. Parlamentet uppmanar datatillsynsmannen att informera den ansvarsfrihetsbeviljande myndigheten om alla nya beslut att installera solpaneler på sin byggnad.</w:t>
      </w:r>
    </w:p>
    <w:p w:rsidR="00EC51FC" w:rsidRPr="00CD1FF2" w:rsidRDefault="00EC51FC" w:rsidP="00EC51FC">
      <w:pPr>
        <w:pStyle w:val="NormalHanging12a"/>
        <w:rPr>
          <w:szCs w:val="24"/>
        </w:rPr>
      </w:pPr>
      <w:r w:rsidRPr="00CD1FF2">
        <w:t>47.</w:t>
      </w:r>
      <w:r w:rsidRPr="00CD1FF2">
        <w:tab/>
        <w:t>Europaparlamentet välkomnar att datatillsynsmannen fortsätter att främja hållbar mobilitet för sin personal genom att ersätta 50 % av månads- och årsavgifterna för användning av kollektivtrafik och avsätta tillräckligt med utrymme i parkeringshuset för personalen att parkera sina cyklar.</w:t>
      </w:r>
    </w:p>
    <w:p w:rsidR="00EC51FC" w:rsidRPr="00CD1FF2" w:rsidRDefault="00EC51FC" w:rsidP="00EC51FC">
      <w:pPr>
        <w:pStyle w:val="NormalHanging12a"/>
        <w:rPr>
          <w:b/>
          <w:i/>
          <w:szCs w:val="24"/>
        </w:rPr>
      </w:pPr>
      <w:r w:rsidRPr="00CD1FF2">
        <w:rPr>
          <w:b/>
          <w:i/>
        </w:rPr>
        <w:t>Interinstitutionellt samarbete</w:t>
      </w:r>
    </w:p>
    <w:p w:rsidR="00EC51FC" w:rsidRPr="00CD1FF2" w:rsidRDefault="00EC51FC" w:rsidP="00EC51FC">
      <w:pPr>
        <w:pStyle w:val="NormalHanging12a"/>
        <w:rPr>
          <w:szCs w:val="24"/>
        </w:rPr>
      </w:pPr>
      <w:r w:rsidRPr="00CD1FF2">
        <w:t>48.</w:t>
      </w:r>
      <w:r w:rsidRPr="00CD1FF2">
        <w:tab/>
        <w:t xml:space="preserve">Europaparlamentet välkomnar de budgetmässiga och administrativa besparingar som </w:t>
      </w:r>
      <w:r w:rsidRPr="00CD1FF2">
        <w:lastRenderedPageBreak/>
        <w:t>uppnåtts genom interinstitutionellt samarbete, särskilt ingåendet av servicenivåavtal med parlamentet om hyra av dess lokaler och användning av dess it-systemapplikationer, maskinvaruutrustning och underhåll samt med kommissionen för IKT-tjänster.</w:t>
      </w:r>
    </w:p>
    <w:p w:rsidR="00EC51FC" w:rsidRPr="00CD1FF2" w:rsidRDefault="00EC51FC" w:rsidP="00EC51FC">
      <w:pPr>
        <w:pStyle w:val="NormalHanging12a"/>
        <w:rPr>
          <w:szCs w:val="24"/>
        </w:rPr>
      </w:pPr>
      <w:r w:rsidRPr="00CD1FF2">
        <w:t>49.</w:t>
      </w:r>
      <w:r w:rsidRPr="00CD1FF2">
        <w:tab/>
        <w:t>Europaparlamentet noterar att datatillsynsmannen samarbetar nära, om än informellt, med Olaf, Eppo och revisionsrätten, till vilka datatillsynsmannen ger råd om specifika projekt och frågor, utöver sin tillsynsroll. Parlamentet välkomnar särskilt den regelbundna dialogen med Eppo, som är en nyinrättad institution, under 2022. Parlamentet välkomnar att datatillsynsmannen har ett mer strukturerat samarbete med ombudsmannen genom ett samförståndsavtal som syftar till att fastställa formerna för deras samarbete när det gäller hantering av klagomål.</w:t>
      </w:r>
    </w:p>
    <w:p w:rsidR="00EC51FC" w:rsidRPr="00CD1FF2" w:rsidRDefault="00EC51FC" w:rsidP="00EC51FC">
      <w:pPr>
        <w:pStyle w:val="NormalHanging12a"/>
        <w:rPr>
          <w:szCs w:val="24"/>
        </w:rPr>
      </w:pPr>
      <w:r w:rsidRPr="00CD1FF2">
        <w:t>50.</w:t>
      </w:r>
      <w:r w:rsidRPr="00CD1FF2">
        <w:tab/>
        <w:t>Europaparlamentet noterar att interinstitutionellt samarbete med datatillsynsmannen, i dess tillsynsroll, är avgörande för att de andra EU-institutionerna ska kunna förbättra sin efterlevnad av den rättsliga ramen för dataskydd. Parlamentet gratulerar datatillsynsmannen för att ha tagit ledningen när det gäller att tilldela ett interinstitutionellt kontrakt för tillhandahållande av Nextcloud-tjänster till de undertecknande EU-institutionerna.</w:t>
      </w:r>
    </w:p>
    <w:p w:rsidR="00EC51FC" w:rsidRPr="00CD1FF2" w:rsidRDefault="00EC51FC" w:rsidP="00EC51FC">
      <w:pPr>
        <w:pStyle w:val="NormalHanging12a"/>
        <w:rPr>
          <w:szCs w:val="24"/>
        </w:rPr>
      </w:pPr>
      <w:r w:rsidRPr="00CD1FF2">
        <w:t>51.</w:t>
      </w:r>
      <w:r w:rsidRPr="00CD1FF2">
        <w:tab/>
        <w:t>Europaparlamentet välkomnar den avgörande roll som datatillsynsmannen spelade 2022 i samordningen av dataskyddsmyndigheterna i de medlemsstater som är representerade i EDPB för att främja ett enhetligt dataskydd i hela unionen. Parlamentet noterar att datatillsynsmannen deltog i EDPB:s samordnade verkställighetsåtgärder 2022 om användningen av molntjänster i unionen, vars syfte var att utbyta kunskap och god praxis mellan datatillsynsmannen, EU:s institutioner och dataskyddsmyndigheter.</w:t>
      </w:r>
    </w:p>
    <w:p w:rsidR="00EC51FC" w:rsidRPr="00CD1FF2" w:rsidRDefault="00EC51FC" w:rsidP="00EC51FC">
      <w:pPr>
        <w:pStyle w:val="NormalHanging12a"/>
        <w:rPr>
          <w:b/>
          <w:i/>
          <w:szCs w:val="24"/>
        </w:rPr>
      </w:pPr>
      <w:r w:rsidRPr="00CD1FF2">
        <w:rPr>
          <w:b/>
          <w:i/>
        </w:rPr>
        <w:t>Kommunikation</w:t>
      </w:r>
    </w:p>
    <w:p w:rsidR="00EC51FC" w:rsidRPr="00CD1FF2" w:rsidRDefault="00EC51FC" w:rsidP="00EC51FC">
      <w:pPr>
        <w:pStyle w:val="NormalHanging12a"/>
        <w:rPr>
          <w:szCs w:val="24"/>
        </w:rPr>
      </w:pPr>
      <w:r w:rsidRPr="00CD1FF2">
        <w:t>52.</w:t>
      </w:r>
      <w:r w:rsidRPr="00CD1FF2">
        <w:tab/>
        <w:t>Europaparlamentet noterar att budgeten för offentlig kommunikation och PR-verksamhet under 2022 uppgick till 304 665 EUR, vilket var en ökning med 19 % jämfört med 2021. Parlamentet välkomnar den övergripande kommunikationsstrategin som syftar till att öka medvetenheten om dess roll och vikten av att respektera unionens dataskyddsregler, med inriktning på EU:s institutioner, EU:s dataskyddsexperter och allmänheten.</w:t>
      </w:r>
    </w:p>
    <w:p w:rsidR="00EC51FC" w:rsidRPr="00CD1FF2" w:rsidRDefault="00EC51FC" w:rsidP="00EC51FC">
      <w:pPr>
        <w:pStyle w:val="NormalHanging12a"/>
        <w:rPr>
          <w:szCs w:val="24"/>
        </w:rPr>
      </w:pPr>
      <w:r w:rsidRPr="00CD1FF2">
        <w:t>53.</w:t>
      </w:r>
      <w:r w:rsidRPr="00CD1FF2">
        <w:tab/>
        <w:t>Europaparlamentet noterar med tillfredsställelse att datatillsynsmannen anordnade flera kommunikationsevenemang i hybridform under 2022, särskilt en större internationell konferens på temat Dataskyddets framtid: effektiv tillämpning i den digitala världen, med mer än 2 000 deltagare, både på plats och på distans.</w:t>
      </w:r>
    </w:p>
    <w:p w:rsidR="00EC51FC" w:rsidRPr="00CD1FF2" w:rsidRDefault="00EC51FC" w:rsidP="00EC51FC">
      <w:pPr>
        <w:pStyle w:val="NormalHanging12a"/>
        <w:rPr>
          <w:szCs w:val="24"/>
        </w:rPr>
      </w:pPr>
      <w:r w:rsidRPr="00CD1FF2">
        <w:t>54.</w:t>
      </w:r>
      <w:r w:rsidRPr="00CD1FF2">
        <w:tab/>
        <w:t>Europaparlamentet noterar att datatillsynsmannen kommunicerar online via sin webbplats och sina konton på sociala medier på X (f.d. Twitter) (29 100 följare), LinkedIn (63 000 följare), YouTube (275 000 följare), EU-Voice (5 100 följare) och EU-Video (690 följare). Parlamentet noterar att datatillsynsmannen inledde flera kampanjer på sociala medier under 2022, inriktade på att främja särskilda initiativ eller genomföras i partnerskap med andra EU-institutioner för att öka den utåtriktade verksamheten och hålla sin publik välinformerad om sin verksamhet.</w:t>
      </w:r>
    </w:p>
    <w:p w:rsidR="00EC51FC" w:rsidRPr="00CD1FF2" w:rsidRDefault="00EC51FC" w:rsidP="00EC51FC">
      <w:pPr>
        <w:pStyle w:val="NormalHanging12a"/>
        <w:rPr>
          <w:szCs w:val="24"/>
        </w:rPr>
      </w:pPr>
      <w:r w:rsidRPr="00CD1FF2">
        <w:t>55.</w:t>
      </w:r>
      <w:r w:rsidRPr="00CD1FF2">
        <w:tab/>
        <w:t xml:space="preserve">Europaparlamentet noterar datatillsynsmannens ledande roll när det gäller att testa och främja sociala mediekanaler som bidrar till unionens strategi för data och digital </w:t>
      </w:r>
      <w:r w:rsidRPr="00CD1FF2">
        <w:lastRenderedPageBreak/>
        <w:t>suveränitet i enlighet med den rättsliga ramen för dataskydd.</w:t>
      </w:r>
    </w:p>
    <w:p w:rsidR="00EC51FC" w:rsidRPr="001E3D68" w:rsidRDefault="00EC51FC" w:rsidP="00EC51FC">
      <w:pPr>
        <w:pStyle w:val="NormalHanging12a"/>
        <w:rPr>
          <w:szCs w:val="24"/>
        </w:rPr>
      </w:pPr>
      <w:r w:rsidRPr="00CD1FF2">
        <w:t>56.</w:t>
      </w:r>
      <w:r w:rsidRPr="00CD1FF2">
        <w:tab/>
        <w:t>Europaparlamentet upprepar sitt stöd till datatillsynsmannens insatser för att, till exempel genom rapporterna TechDispatch och TechSonar, övervaka och för den breda allmänheten förklara utvecklingen av ny teknik och dess potentiella inverkan på dataskydd och integritet. Parlamentet uppmanar vidare datatillsynsmannen att öka sin kapacitet på området teknikövervakning och att genomföra informationskampanjer om sina resultat och rekommendationer.</w:t>
      </w:r>
    </w:p>
    <w:sectPr w:rsidR="00EC51FC" w:rsidRPr="001E3D68" w:rsidSect="001E3D6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BC1" w:rsidRPr="001E3D68" w:rsidRDefault="005A6BC1">
      <w:r w:rsidRPr="001E3D68">
        <w:separator/>
      </w:r>
    </w:p>
  </w:endnote>
  <w:endnote w:type="continuationSeparator" w:id="0">
    <w:p w:rsidR="005A6BC1" w:rsidRPr="001E3D68" w:rsidRDefault="005A6BC1">
      <w:r w:rsidRPr="001E3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1FC" w:rsidRPr="001E3D68" w:rsidRDefault="00EC51FC" w:rsidP="00C86255">
    <w:pPr>
      <w:pStyle w:val="EPFooter"/>
    </w:pPr>
    <w:r w:rsidRPr="001E3D68">
      <w:t>PE</w:t>
    </w:r>
    <w:r w:rsidRPr="001E3D68">
      <w:rPr>
        <w:rStyle w:val="HideTWBExt"/>
      </w:rPr>
      <w:t>&lt;NoPE&gt;</w:t>
    </w:r>
    <w:r w:rsidRPr="001E3D68">
      <w:t>753.487</w:t>
    </w:r>
    <w:r w:rsidRPr="001E3D68">
      <w:rPr>
        <w:rStyle w:val="HideTWBExt"/>
      </w:rPr>
      <w:t>&lt;/NoPE&gt;&lt;Version&gt;</w:t>
    </w:r>
    <w:r w:rsidRPr="001E3D68">
      <w:t>v02-00</w:t>
    </w:r>
    <w:r w:rsidRPr="001E3D68">
      <w:rPr>
        <w:rStyle w:val="HideTWBExt"/>
      </w:rPr>
      <w:t>&lt;/Version&gt;</w:t>
    </w:r>
    <w:r w:rsidRPr="001E3D68">
      <w:tab/>
    </w:r>
    <w:r w:rsidRPr="001E3D68">
      <w:fldChar w:fldCharType="begin"/>
    </w:r>
    <w:r w:rsidRPr="001E3D68">
      <w:instrText xml:space="preserve"> PAGE  \* MERGEFORMAT </w:instrText>
    </w:r>
    <w:r w:rsidRPr="001E3D68">
      <w:fldChar w:fldCharType="separate"/>
    </w:r>
    <w:r w:rsidRPr="001E3D68">
      <w:rPr>
        <w:noProof/>
      </w:rPr>
      <w:t>12</w:t>
    </w:r>
    <w:r w:rsidRPr="001E3D68">
      <w:fldChar w:fldCharType="end"/>
    </w:r>
    <w:r w:rsidRPr="001E3D68">
      <w:t>/</w:t>
    </w:r>
    <w:r w:rsidR="00CD1FF2">
      <w:fldChar w:fldCharType="begin"/>
    </w:r>
    <w:r w:rsidR="00CD1FF2">
      <w:instrText xml:space="preserve"> NUMPAGES  \* MERGEFORMAT </w:instrText>
    </w:r>
    <w:r w:rsidR="00CD1FF2">
      <w:fldChar w:fldCharType="separate"/>
    </w:r>
    <w:r w:rsidRPr="001E3D68">
      <w:rPr>
        <w:noProof/>
      </w:rPr>
      <w:t>12</w:t>
    </w:r>
    <w:r w:rsidR="00CD1FF2">
      <w:rPr>
        <w:noProof/>
      </w:rPr>
      <w:fldChar w:fldCharType="end"/>
    </w:r>
    <w:r w:rsidRPr="001E3D68">
      <w:tab/>
    </w:r>
    <w:r w:rsidRPr="001E3D68">
      <w:rPr>
        <w:rStyle w:val="HideTWBExt"/>
      </w:rPr>
      <w:t>&lt;PathFdR&gt;</w:t>
    </w:r>
    <w:r w:rsidRPr="001E3D68">
      <w:t>RR\1298695SV.docx</w:t>
    </w:r>
    <w:r w:rsidRPr="001E3D68">
      <w:rPr>
        <w:rStyle w:val="HideTWBExt"/>
      </w:rPr>
      <w:t>&lt;/PathFdR&gt;</w:t>
    </w:r>
  </w:p>
  <w:p w:rsidR="00EC51FC" w:rsidRPr="001E3D68" w:rsidRDefault="00EC51FC" w:rsidP="00C86255">
    <w:pPr>
      <w:pStyle w:val="EPFooter2"/>
    </w:pPr>
    <w:r w:rsidRPr="001E3D6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1FC" w:rsidRPr="001E3D68" w:rsidRDefault="00EC51FC" w:rsidP="00C86255">
    <w:pPr>
      <w:pStyle w:val="EPFooter"/>
    </w:pPr>
    <w:r w:rsidRPr="001E3D68">
      <w:rPr>
        <w:rStyle w:val="HideTWBExt"/>
      </w:rPr>
      <w:t>&lt;PathFdR&gt;</w:t>
    </w:r>
    <w:r w:rsidRPr="001E3D68">
      <w:t>RR\1298695SV.docx</w:t>
    </w:r>
    <w:r w:rsidRPr="001E3D68">
      <w:rPr>
        <w:rStyle w:val="HideTWBExt"/>
      </w:rPr>
      <w:t>&lt;/PathFdR&gt;</w:t>
    </w:r>
    <w:r w:rsidRPr="001E3D68">
      <w:tab/>
    </w:r>
    <w:r w:rsidRPr="001E3D68">
      <w:tab/>
      <w:t>PE</w:t>
    </w:r>
    <w:r w:rsidRPr="001E3D68">
      <w:rPr>
        <w:rStyle w:val="HideTWBExt"/>
      </w:rPr>
      <w:t>&lt;NoPE&gt;</w:t>
    </w:r>
    <w:r w:rsidRPr="001E3D68">
      <w:t>753.487</w:t>
    </w:r>
    <w:r w:rsidRPr="001E3D68">
      <w:rPr>
        <w:rStyle w:val="HideTWBExt"/>
      </w:rPr>
      <w:t>&lt;/NoPE&gt;&lt;Version&gt;</w:t>
    </w:r>
    <w:r w:rsidRPr="001E3D68">
      <w:t>v02-00</w:t>
    </w:r>
    <w:r w:rsidRPr="001E3D68">
      <w:rPr>
        <w:rStyle w:val="HideTWBExt"/>
      </w:rPr>
      <w:t>&lt;/Version&gt;</w:t>
    </w:r>
  </w:p>
  <w:p w:rsidR="00EC51FC" w:rsidRPr="001E3D68" w:rsidRDefault="00EC51FC" w:rsidP="00C86255">
    <w:pPr>
      <w:pStyle w:val="EPFooter2"/>
    </w:pPr>
    <w:r w:rsidRPr="001E3D68">
      <w:t>SV</w:t>
    </w:r>
    <w:r w:rsidRPr="001E3D68">
      <w:tab/>
    </w:r>
    <w:r w:rsidRPr="001E3D68">
      <w:rPr>
        <w:b w:val="0"/>
        <w:i/>
        <w:color w:val="C0C0C0"/>
        <w:sz w:val="22"/>
      </w:rPr>
      <w:t>Förenade i mångfalden</w:t>
    </w:r>
    <w:r w:rsidRPr="001E3D6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BC1" w:rsidRPr="001E3D68" w:rsidRDefault="005A6BC1">
      <w:r w:rsidRPr="001E3D68">
        <w:separator/>
      </w:r>
    </w:p>
  </w:footnote>
  <w:footnote w:type="continuationSeparator" w:id="0">
    <w:p w:rsidR="005A6BC1" w:rsidRPr="001E3D68" w:rsidRDefault="005A6BC1">
      <w:r w:rsidRPr="001E3D68">
        <w:continuationSeparator/>
      </w:r>
    </w:p>
  </w:footnote>
  <w:footnote w:id="1">
    <w:p w:rsidR="00EC51FC" w:rsidRPr="00F922D5" w:rsidRDefault="00EC51FC" w:rsidP="001E3D68">
      <w:pPr>
        <w:pStyle w:val="FootnoteText"/>
        <w:ind w:left="567" w:hanging="567"/>
        <w:rPr>
          <w:sz w:val="24"/>
        </w:rPr>
      </w:pPr>
      <w:r w:rsidRPr="00F922D5">
        <w:rPr>
          <w:rStyle w:val="FootnoteReference"/>
          <w:sz w:val="24"/>
          <w:lang w:val="sv-SE"/>
        </w:rPr>
        <w:footnoteRef/>
      </w:r>
      <w:r w:rsidR="001E3D68" w:rsidRPr="00F922D5">
        <w:rPr>
          <w:sz w:val="24"/>
        </w:rPr>
        <w:t xml:space="preserve"> </w:t>
      </w:r>
      <w:r w:rsidR="001E3D68" w:rsidRPr="00F922D5">
        <w:rPr>
          <w:sz w:val="24"/>
        </w:rPr>
        <w:tab/>
      </w:r>
      <w:r w:rsidRPr="00F922D5">
        <w:rPr>
          <w:sz w:val="24"/>
        </w:rPr>
        <w:t>EUT L 45, 24.2.2022.</w:t>
      </w:r>
    </w:p>
  </w:footnote>
  <w:footnote w:id="2">
    <w:p w:rsidR="00EC51FC" w:rsidRPr="00F922D5" w:rsidRDefault="00EC51FC" w:rsidP="001E3D68">
      <w:pPr>
        <w:pStyle w:val="FootnoteText"/>
        <w:ind w:left="567" w:hanging="567"/>
        <w:rPr>
          <w:sz w:val="24"/>
        </w:rPr>
      </w:pPr>
      <w:r w:rsidRPr="00F922D5">
        <w:rPr>
          <w:rStyle w:val="FootnoteReference"/>
          <w:sz w:val="24"/>
          <w:lang w:val="sv-SE"/>
        </w:rPr>
        <w:footnoteRef/>
      </w:r>
      <w:r w:rsidR="001E3D68" w:rsidRPr="00F922D5">
        <w:rPr>
          <w:sz w:val="24"/>
        </w:rPr>
        <w:t xml:space="preserve"> </w:t>
      </w:r>
      <w:r w:rsidR="001E3D68" w:rsidRPr="00F922D5">
        <w:rPr>
          <w:sz w:val="24"/>
        </w:rPr>
        <w:tab/>
      </w:r>
      <w:r w:rsidRPr="00F922D5">
        <w:rPr>
          <w:sz w:val="24"/>
        </w:rPr>
        <w:t>EUT C, C/2023/2, 12.10.2023.</w:t>
      </w:r>
    </w:p>
  </w:footnote>
  <w:footnote w:id="3">
    <w:p w:rsidR="00EC51FC" w:rsidRPr="00F922D5" w:rsidRDefault="00EC51FC" w:rsidP="001E3D68">
      <w:pPr>
        <w:pStyle w:val="FootnoteText"/>
        <w:ind w:left="567" w:hanging="567"/>
        <w:rPr>
          <w:sz w:val="24"/>
        </w:rPr>
      </w:pPr>
      <w:r w:rsidRPr="00F922D5">
        <w:rPr>
          <w:rStyle w:val="FootnoteReference"/>
          <w:sz w:val="24"/>
          <w:lang w:val="sv-SE"/>
        </w:rPr>
        <w:footnoteRef/>
      </w:r>
      <w:r w:rsidR="001E3D68" w:rsidRPr="00F922D5">
        <w:rPr>
          <w:sz w:val="24"/>
        </w:rPr>
        <w:t xml:space="preserve"> </w:t>
      </w:r>
      <w:r w:rsidR="001E3D68" w:rsidRPr="00F922D5">
        <w:rPr>
          <w:sz w:val="24"/>
        </w:rPr>
        <w:tab/>
      </w:r>
      <w:r w:rsidRPr="00F922D5">
        <w:rPr>
          <w:sz w:val="24"/>
        </w:rPr>
        <w:t>EUT C, C/2023/103, 4.10.2023.</w:t>
      </w:r>
    </w:p>
  </w:footnote>
  <w:footnote w:id="4">
    <w:p w:rsidR="00EC51FC" w:rsidRPr="00F922D5" w:rsidRDefault="00EC51FC" w:rsidP="001E3D68">
      <w:pPr>
        <w:pStyle w:val="FootnoteText"/>
        <w:ind w:left="567" w:hanging="567"/>
        <w:rPr>
          <w:sz w:val="24"/>
        </w:rPr>
      </w:pPr>
      <w:r w:rsidRPr="00F922D5">
        <w:rPr>
          <w:rStyle w:val="FootnoteReference"/>
          <w:sz w:val="24"/>
          <w:lang w:val="sv-SE"/>
        </w:rPr>
        <w:footnoteRef/>
      </w:r>
      <w:r w:rsidR="001E3D68" w:rsidRPr="00F922D5">
        <w:rPr>
          <w:sz w:val="24"/>
        </w:rPr>
        <w:t xml:space="preserve"> </w:t>
      </w:r>
      <w:r w:rsidR="001E3D68" w:rsidRPr="00F922D5">
        <w:rPr>
          <w:sz w:val="24"/>
        </w:rPr>
        <w:tab/>
      </w:r>
      <w:r w:rsidRPr="00F922D5">
        <w:rPr>
          <w:sz w:val="24"/>
        </w:rPr>
        <w:t>EUT C, C/2023/112, 12.10.2023.</w:t>
      </w:r>
    </w:p>
  </w:footnote>
  <w:footnote w:id="5">
    <w:p w:rsidR="00EC51FC" w:rsidRPr="00F922D5" w:rsidRDefault="00EC51FC" w:rsidP="001E3D68">
      <w:pPr>
        <w:pStyle w:val="FootnoteText"/>
        <w:ind w:left="567" w:hanging="567"/>
        <w:rPr>
          <w:sz w:val="24"/>
          <w:szCs w:val="24"/>
        </w:rPr>
      </w:pPr>
      <w:r w:rsidRPr="00F922D5">
        <w:rPr>
          <w:rStyle w:val="FootnoteReference"/>
          <w:sz w:val="24"/>
          <w:lang w:val="sv-SE"/>
        </w:rPr>
        <w:footnoteRef/>
      </w:r>
      <w:r w:rsidR="001E3D68" w:rsidRPr="00F922D5">
        <w:rPr>
          <w:sz w:val="24"/>
        </w:rPr>
        <w:t xml:space="preserve"> </w:t>
      </w:r>
      <w:r w:rsidR="001E3D68" w:rsidRPr="00F922D5">
        <w:rPr>
          <w:sz w:val="24"/>
        </w:rPr>
        <w:tab/>
      </w:r>
      <w:r w:rsidRPr="00F922D5">
        <w:rPr>
          <w:sz w:val="24"/>
        </w:rPr>
        <w:t>EUT L 193, 30.7.2018, s. 1.</w:t>
      </w:r>
    </w:p>
  </w:footnote>
  <w:footnote w:id="6">
    <w:p w:rsidR="00EC51FC" w:rsidRPr="00F922D5" w:rsidRDefault="00EC51FC" w:rsidP="001E3D68">
      <w:pPr>
        <w:pStyle w:val="FootnoteText"/>
        <w:ind w:left="567" w:hanging="567"/>
        <w:rPr>
          <w:sz w:val="24"/>
          <w:lang w:val="sv-SE"/>
        </w:rPr>
      </w:pPr>
      <w:r w:rsidRPr="00F922D5">
        <w:rPr>
          <w:rStyle w:val="FootnoteReference"/>
          <w:sz w:val="24"/>
          <w:lang w:val="sv-SE"/>
        </w:rPr>
        <w:footnoteRef/>
      </w:r>
      <w:r w:rsidR="001E3D68" w:rsidRPr="00F922D5">
        <w:rPr>
          <w:sz w:val="24"/>
          <w:lang w:val="sv-SE"/>
        </w:rPr>
        <w:t xml:space="preserve"> </w:t>
      </w:r>
      <w:r w:rsidR="001E3D68" w:rsidRPr="00F922D5">
        <w:rPr>
          <w:sz w:val="24"/>
          <w:lang w:val="sv-SE"/>
        </w:rPr>
        <w:tab/>
      </w:r>
      <w:r w:rsidRPr="00F922D5">
        <w:rPr>
          <w:sz w:val="24"/>
          <w:lang w:val="sv-SE"/>
        </w:rPr>
        <w:t xml:space="preserve">Europaparlamentets och rådets förordning (EU) 2022/991 av den 8 juni 2022 om ändring av förordning (EU) 2016/794 vad gäller Europols samarbete med privata parter, Europols behandling av personuppgifter till stöd för brottsutredningar och Europols roll inom forskning och innovation </w:t>
      </w:r>
      <w:r w:rsidR="00A20F80" w:rsidRPr="00F922D5">
        <w:rPr>
          <w:sz w:val="24"/>
          <w:lang w:val="sv-SE"/>
        </w:rPr>
        <w:t>(</w:t>
      </w:r>
      <w:r w:rsidRPr="00F922D5">
        <w:rPr>
          <w:sz w:val="24"/>
          <w:lang w:val="sv-SE"/>
        </w:rPr>
        <w:t>EUT L 169, 27.6.2022, s. 1).</w:t>
      </w:r>
    </w:p>
  </w:footnote>
  <w:footnote w:id="7">
    <w:p w:rsidR="00EC51FC" w:rsidRPr="00A20F80" w:rsidRDefault="00EC51FC" w:rsidP="001E3D68">
      <w:pPr>
        <w:pStyle w:val="FootnoteText"/>
        <w:ind w:left="567" w:hanging="567"/>
        <w:rPr>
          <w:sz w:val="24"/>
          <w:lang w:val="sv-SE"/>
        </w:rPr>
      </w:pPr>
      <w:r w:rsidRPr="00F922D5">
        <w:rPr>
          <w:rStyle w:val="FootnoteReference"/>
          <w:sz w:val="24"/>
          <w:lang w:val="sv-SE"/>
        </w:rPr>
        <w:footnoteRef/>
      </w:r>
      <w:r w:rsidR="001E3D68" w:rsidRPr="00F922D5">
        <w:rPr>
          <w:sz w:val="24"/>
          <w:lang w:val="sv-SE"/>
        </w:rPr>
        <w:t xml:space="preserve"> </w:t>
      </w:r>
      <w:r w:rsidR="001E3D68" w:rsidRPr="00F922D5">
        <w:rPr>
          <w:sz w:val="24"/>
          <w:lang w:val="sv-SE"/>
        </w:rPr>
        <w:tab/>
      </w:r>
      <w:r w:rsidRPr="00F922D5">
        <w:rPr>
          <w:sz w:val="24"/>
          <w:lang w:val="sv-SE"/>
        </w:rPr>
        <w:t>Europaparlamentets och rådets förordning (EU) 2016/794 av den 11 maj 2016 om Europeiska unionens byrå för samarbete inom brottsbekämpning (Europol) och om ersättande och upphävande av rådets beslut 2009/371/RIF, 2009/934/RIF, 2009/935/RIF, 2009/936/RIF och 2009/968/RIF (EUT L 135, 24.5.2016, s.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3D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SV"/>
    <w:docVar w:name="dvnumam" w:val="0"/>
    <w:docVar w:name="dvpe" w:val="753.487"/>
    <w:docVar w:name="dvrapporteur" w:val="Föredragande: "/>
    <w:docVar w:name="dvtitre" w:val="Europaparlamentets beslut av den xx xx 2024 om ansvarsfrihet för genomförandet av Europeiska unionens allmänna budget för budgetåret 2022, avsnitt IX – Europeiska datatillsynsmannen(2023/2138(DEC))"/>
  </w:docVars>
  <w:rsids>
    <w:rsidRoot w:val="005A6BC1"/>
    <w:rsid w:val="00002272"/>
    <w:rsid w:val="00064002"/>
    <w:rsid w:val="000677B9"/>
    <w:rsid w:val="000831BA"/>
    <w:rsid w:val="000A42CC"/>
    <w:rsid w:val="000E7DD9"/>
    <w:rsid w:val="0010095E"/>
    <w:rsid w:val="00125B37"/>
    <w:rsid w:val="00187494"/>
    <w:rsid w:val="001E3D68"/>
    <w:rsid w:val="001F32AE"/>
    <w:rsid w:val="002177E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2AF"/>
    <w:rsid w:val="005A6BC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F8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FF2"/>
    <w:rsid w:val="00CF071A"/>
    <w:rsid w:val="00D058B8"/>
    <w:rsid w:val="00D56C11"/>
    <w:rsid w:val="00D72AE3"/>
    <w:rsid w:val="00D834A0"/>
    <w:rsid w:val="00D872DF"/>
    <w:rsid w:val="00D91E21"/>
    <w:rsid w:val="00DA7FCD"/>
    <w:rsid w:val="00E365E1"/>
    <w:rsid w:val="00E820A4"/>
    <w:rsid w:val="00EB006A"/>
    <w:rsid w:val="00EB4772"/>
    <w:rsid w:val="00EC51FC"/>
    <w:rsid w:val="00ED169E"/>
    <w:rsid w:val="00ED4235"/>
    <w:rsid w:val="00F04346"/>
    <w:rsid w:val="00F075DC"/>
    <w:rsid w:val="00F149E9"/>
    <w:rsid w:val="00F5134D"/>
    <w:rsid w:val="00F74202"/>
    <w:rsid w:val="00F87713"/>
    <w:rsid w:val="00F922D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8DEE0"/>
  <w15:chartTrackingRefBased/>
  <w15:docId w15:val="{B6589B9B-5ADE-442E-A661-C1EC03D8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51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51FC"/>
    <w:pPr>
      <w:spacing w:before="480" w:after="240"/>
    </w:pPr>
  </w:style>
  <w:style w:type="paragraph" w:customStyle="1" w:styleId="PageHeading">
    <w:name w:val="PageHeading"/>
    <w:basedOn w:val="Normal"/>
    <w:rsid w:val="00EC51FC"/>
    <w:pPr>
      <w:keepNext/>
      <w:spacing w:after="480"/>
      <w:jc w:val="center"/>
    </w:pPr>
    <w:rPr>
      <w:rFonts w:ascii="Arial" w:hAnsi="Arial" w:cs="Arial"/>
      <w:b/>
    </w:rPr>
  </w:style>
  <w:style w:type="paragraph" w:customStyle="1" w:styleId="NormalBold">
    <w:name w:val="NormalBold"/>
    <w:basedOn w:val="Normal"/>
    <w:rsid w:val="00EC51FC"/>
    <w:rPr>
      <w:b/>
    </w:rPr>
  </w:style>
  <w:style w:type="paragraph" w:customStyle="1" w:styleId="NormalHanging12a">
    <w:name w:val="NormalHanging12a"/>
    <w:basedOn w:val="Normal"/>
    <w:link w:val="NormalHanging12aChar"/>
    <w:qFormat/>
    <w:rsid w:val="00EC51FC"/>
    <w:pPr>
      <w:spacing w:after="240"/>
      <w:ind w:left="567" w:hanging="567"/>
    </w:pPr>
  </w:style>
  <w:style w:type="paragraph" w:styleId="Header">
    <w:name w:val="header"/>
    <w:basedOn w:val="Normal"/>
    <w:link w:val="HeaderChar"/>
    <w:rsid w:val="00EC51FC"/>
    <w:pPr>
      <w:tabs>
        <w:tab w:val="center" w:pos="4513"/>
        <w:tab w:val="right" w:pos="9026"/>
      </w:tabs>
    </w:pPr>
  </w:style>
  <w:style w:type="character" w:customStyle="1" w:styleId="HeaderChar">
    <w:name w:val="Header Char"/>
    <w:basedOn w:val="DefaultParagraphFont"/>
    <w:link w:val="Header"/>
    <w:rsid w:val="00EC51FC"/>
    <w:rPr>
      <w:sz w:val="24"/>
      <w:lang w:val="sv-SE"/>
    </w:rPr>
  </w:style>
  <w:style w:type="paragraph" w:customStyle="1" w:styleId="EPFooter">
    <w:name w:val="EPFooter"/>
    <w:basedOn w:val="Normal"/>
    <w:rsid w:val="00EC51F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C51FC"/>
    <w:rPr>
      <w:sz w:val="24"/>
      <w:lang w:val="sv-SE"/>
    </w:rPr>
  </w:style>
  <w:style w:type="paragraph" w:styleId="BalloonText">
    <w:name w:val="Balloon Text"/>
    <w:basedOn w:val="Normal"/>
    <w:link w:val="BalloonTextChar"/>
    <w:rsid w:val="005662AF"/>
    <w:rPr>
      <w:rFonts w:ascii="Segoe UI" w:hAnsi="Segoe UI" w:cs="Segoe UI"/>
      <w:sz w:val="18"/>
      <w:szCs w:val="18"/>
    </w:rPr>
  </w:style>
  <w:style w:type="character" w:customStyle="1" w:styleId="BalloonTextChar">
    <w:name w:val="Balloon Text Char"/>
    <w:basedOn w:val="DefaultParagraphFont"/>
    <w:link w:val="BalloonText"/>
    <w:rsid w:val="005662A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72FB9-5D6D-48F1-95E8-BB114984B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4099</Words>
  <Characters>28240</Characters>
  <Application>Microsoft Office Word</Application>
  <DocSecurity>0</DocSecurity>
  <Lines>576</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2024-04-11T17:23:00Z</dcterms:created>
  <dcterms:modified xsi:type="dcterms:W3CDTF">2024-04-11T17:23:00Z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P9_TA-PROV(2024)0000_A9-0086_2024_SV_r</vt:lpwstr>
  </property>
  <property fmtid="{D5CDD505-2E9C-101B-9397-08002B2CF9AE}" pid="4" name="&lt;Type&gt;">
    <vt:lpwstr>RR</vt:lpwstr>
  </property>
</Properties>
</file>