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781F" w:rsidTr="0010095E">
        <w:trPr>
          <w:trHeight w:hRule="exact" w:val="1418"/>
        </w:trPr>
        <w:tc>
          <w:tcPr>
            <w:tcW w:w="6804" w:type="dxa"/>
            <w:shd w:val="clear" w:color="auto" w:fill="auto"/>
            <w:vAlign w:val="center"/>
          </w:tcPr>
          <w:p w:rsidR="00751A4A" w:rsidRPr="005F781F" w:rsidRDefault="00E47AC4" w:rsidP="0010095E">
            <w:pPr>
              <w:pStyle w:val="EPName"/>
            </w:pPr>
            <w:r w:rsidRPr="005F781F">
              <w:t>Европейски</w:t>
            </w:r>
            <w:r w:rsidR="00274947" w:rsidRPr="005F781F">
              <w:t xml:space="preserve"> парламент</w:t>
            </w:r>
          </w:p>
          <w:p w:rsidR="00751A4A" w:rsidRPr="005F781F" w:rsidRDefault="00817416" w:rsidP="00756632">
            <w:pPr>
              <w:pStyle w:val="EPTerm"/>
              <w:rPr>
                <w:rStyle w:val="HideTWBExt"/>
                <w:noProof w:val="0"/>
                <w:vanish w:val="0"/>
                <w:color w:val="auto"/>
              </w:rPr>
            </w:pPr>
            <w:r w:rsidRPr="005F781F">
              <w:t>2019</w:t>
            </w:r>
            <w:r w:rsidR="00E47AC4">
              <w:rPr>
                <w:lang w:val="fr-FR"/>
              </w:rPr>
              <w:t> – </w:t>
            </w:r>
            <w:r w:rsidRPr="005F781F">
              <w:t>2024</w:t>
            </w:r>
          </w:p>
        </w:tc>
        <w:tc>
          <w:tcPr>
            <w:tcW w:w="2268" w:type="dxa"/>
            <w:shd w:val="clear" w:color="auto" w:fill="auto"/>
          </w:tcPr>
          <w:p w:rsidR="00751A4A" w:rsidRPr="005F781F" w:rsidRDefault="00187494" w:rsidP="0010095E">
            <w:pPr>
              <w:pStyle w:val="EPLogo"/>
            </w:pPr>
            <w:r w:rsidRPr="005F78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781F" w:rsidRDefault="00D058B8" w:rsidP="004C5D52">
      <w:pPr>
        <w:pStyle w:val="LineTop"/>
      </w:pPr>
    </w:p>
    <w:p w:rsidR="00680577" w:rsidRPr="005F781F" w:rsidRDefault="00274947" w:rsidP="00680577">
      <w:pPr>
        <w:pStyle w:val="EPBodyTA1"/>
      </w:pPr>
      <w:r w:rsidRPr="005F781F">
        <w:t>ПРИЕТИ ТЕКСТОВЕ</w:t>
      </w:r>
    </w:p>
    <w:p w:rsidR="00D058B8" w:rsidRPr="005F781F" w:rsidRDefault="00D058B8" w:rsidP="00D058B8">
      <w:pPr>
        <w:pStyle w:val="LineBottom"/>
      </w:pPr>
    </w:p>
    <w:p w:rsidR="00274947" w:rsidRPr="000D16BA" w:rsidRDefault="00274947" w:rsidP="00274947">
      <w:pPr>
        <w:pStyle w:val="ATHeading1"/>
        <w:rPr>
          <w:lang w:val="en-GB"/>
        </w:rPr>
      </w:pPr>
      <w:bookmarkStart w:id="0" w:name="TANumber"/>
      <w:r w:rsidRPr="005F781F">
        <w:t>P9_TA(2024)0</w:t>
      </w:r>
      <w:bookmarkEnd w:id="0"/>
      <w:r w:rsidR="000D16BA">
        <w:rPr>
          <w:lang w:val="en-GB"/>
        </w:rPr>
        <w:t>236</w:t>
      </w:r>
    </w:p>
    <w:p w:rsidR="00274947" w:rsidRPr="005F781F" w:rsidRDefault="00274947" w:rsidP="00274947">
      <w:pPr>
        <w:pStyle w:val="ATHeading2"/>
      </w:pPr>
      <w:bookmarkStart w:id="1" w:name="title"/>
      <w:r w:rsidRPr="005F781F">
        <w:t>Освобождаване от отговорност във връзка с изпълнението на бюджета за 2022 г.: Общ бюджет на ЕС – Европейска служба за външна дейност</w:t>
      </w:r>
      <w:bookmarkEnd w:id="1"/>
    </w:p>
    <w:p w:rsidR="00274947" w:rsidRPr="005F781F" w:rsidRDefault="00274947" w:rsidP="00274947">
      <w:pPr>
        <w:rPr>
          <w:i/>
          <w:vanish/>
        </w:rPr>
      </w:pPr>
      <w:r w:rsidRPr="005F781F">
        <w:rPr>
          <w:i/>
        </w:rPr>
        <w:fldChar w:fldCharType="begin"/>
      </w:r>
      <w:r w:rsidRPr="005F781F">
        <w:rPr>
          <w:i/>
        </w:rPr>
        <w:instrText xml:space="preserve"> TC"(</w:instrText>
      </w:r>
      <w:bookmarkStart w:id="2" w:name="DocNumber"/>
      <w:r w:rsidRPr="005F781F">
        <w:rPr>
          <w:i/>
        </w:rPr>
        <w:instrText>A9-0102/2024</w:instrText>
      </w:r>
      <w:bookmarkEnd w:id="2"/>
      <w:r w:rsidRPr="005F781F">
        <w:rPr>
          <w:i/>
        </w:rPr>
        <w:instrText xml:space="preserve"> - Докладчик: Моника Холмайер)"\l3 \n&gt; \* MERGEFORMAT </w:instrText>
      </w:r>
      <w:r w:rsidRPr="005F781F">
        <w:rPr>
          <w:i/>
        </w:rPr>
        <w:fldChar w:fldCharType="end"/>
      </w:r>
    </w:p>
    <w:p w:rsidR="00274947" w:rsidRPr="005F781F" w:rsidRDefault="00274947" w:rsidP="00274947">
      <w:pPr>
        <w:rPr>
          <w:vanish/>
        </w:rPr>
      </w:pPr>
      <w:bookmarkStart w:id="3" w:name="Commission"/>
      <w:r w:rsidRPr="005F781F">
        <w:rPr>
          <w:vanish/>
        </w:rPr>
        <w:t>Комисия по бюджетен контрол</w:t>
      </w:r>
      <w:bookmarkEnd w:id="3"/>
    </w:p>
    <w:p w:rsidR="00274947" w:rsidRPr="005F781F" w:rsidRDefault="00274947" w:rsidP="00274947">
      <w:pPr>
        <w:rPr>
          <w:vanish/>
        </w:rPr>
      </w:pPr>
      <w:bookmarkStart w:id="4" w:name="PE"/>
      <w:r w:rsidRPr="005F781F">
        <w:rPr>
          <w:vanish/>
        </w:rPr>
        <w:t>PE753.482</w:t>
      </w:r>
      <w:bookmarkEnd w:id="4"/>
    </w:p>
    <w:p w:rsidR="00274947" w:rsidRPr="005F781F" w:rsidRDefault="00E47AC4" w:rsidP="00CE42D3">
      <w:pPr>
        <w:pStyle w:val="ATHeading3"/>
      </w:pPr>
      <w:bookmarkStart w:id="5" w:name="Sujet"/>
      <w:r>
        <w:rPr>
          <w:lang w:val="fr-FR"/>
        </w:rPr>
        <w:t>1</w:t>
      </w:r>
      <w:r>
        <w:rPr>
          <w:lang w:val="en-GB"/>
        </w:rPr>
        <w:t xml:space="preserve">. </w:t>
      </w:r>
      <w:r w:rsidR="00274947" w:rsidRPr="005F781F">
        <w:t>Решение</w:t>
      </w:r>
      <w:r>
        <w:t xml:space="preserve"> на Европейския парламент от </w:t>
      </w:r>
      <w:r>
        <w:rPr>
          <w:lang w:val="en-GB"/>
        </w:rPr>
        <w:t xml:space="preserve">11 </w:t>
      </w:r>
      <w:r>
        <w:t>април</w:t>
      </w:r>
      <w:r w:rsidR="00274947" w:rsidRPr="005F781F">
        <w:t xml:space="preserve"> 2024 г. относно освобождаването от отговорност във връзка с изпълнението на общия бюджет на Европейския съюз за финансовата 2022 година, раздел X ‒ Европейска служба за външна дейност</w:t>
      </w:r>
      <w:bookmarkEnd w:id="5"/>
      <w:r w:rsidR="00274947" w:rsidRPr="005F781F">
        <w:t xml:space="preserve"> </w:t>
      </w:r>
      <w:bookmarkStart w:id="6" w:name="References"/>
      <w:r w:rsidR="00274947" w:rsidRPr="005F781F">
        <w:t>(2023/2134(DEC))</w:t>
      </w:r>
      <w:bookmarkEnd w:id="6"/>
    </w:p>
    <w:p w:rsidR="00F818E8" w:rsidRPr="005F781F" w:rsidRDefault="00F818E8" w:rsidP="00F818E8">
      <w:pPr>
        <w:pStyle w:val="EPComma"/>
      </w:pPr>
      <w:bookmarkStart w:id="7" w:name="TextBodyBegin"/>
      <w:bookmarkEnd w:id="7"/>
      <w:r w:rsidRPr="005F781F">
        <w:rPr>
          <w:i/>
        </w:rPr>
        <w:t>Европейският парламент</w:t>
      </w:r>
      <w:r w:rsidRPr="005F781F">
        <w:t>,</w:t>
      </w:r>
    </w:p>
    <w:p w:rsidR="00F818E8" w:rsidRPr="005F781F" w:rsidRDefault="00F818E8" w:rsidP="00F818E8">
      <w:pPr>
        <w:pStyle w:val="NormalHanging12a"/>
      </w:pPr>
      <w:r w:rsidRPr="005F781F">
        <w:t>–</w:t>
      </w:r>
      <w:r w:rsidRPr="005F781F">
        <w:tab/>
        <w:t>като взе предвид общия бюджет на Европейския съюз за финансовата 2022 година</w:t>
      </w:r>
      <w:r w:rsidRPr="005F781F">
        <w:rPr>
          <w:rStyle w:val="FootnoteReference"/>
        </w:rPr>
        <w:footnoteReference w:id="1"/>
      </w:r>
      <w:r w:rsidRPr="005F781F">
        <w:t>,</w:t>
      </w:r>
    </w:p>
    <w:p w:rsidR="00F818E8" w:rsidRPr="005F781F" w:rsidRDefault="00F818E8" w:rsidP="00F818E8">
      <w:pPr>
        <w:pStyle w:val="NormalHanging12a"/>
      </w:pPr>
      <w:r w:rsidRPr="005F781F">
        <w:t>–</w:t>
      </w:r>
      <w:r w:rsidRPr="005F781F">
        <w:tab/>
        <w:t>като взе предвид консолидираните годишни отчети на Европейския съюз за финансовата 2022 година (COM(2023)0391 – C9</w:t>
      </w:r>
      <w:r w:rsidRPr="005F781F">
        <w:noBreakHyphen/>
        <w:t>0253/2023)</w:t>
      </w:r>
      <w:r w:rsidRPr="005F781F">
        <w:rPr>
          <w:rStyle w:val="FootnoteReference"/>
        </w:rPr>
        <w:footnoteReference w:id="2"/>
      </w:r>
      <w:r w:rsidRPr="005F781F">
        <w:t>,</w:t>
      </w:r>
    </w:p>
    <w:p w:rsidR="00F818E8" w:rsidRPr="005F781F" w:rsidRDefault="00F818E8" w:rsidP="00F818E8">
      <w:pPr>
        <w:pStyle w:val="NormalHanging12a"/>
      </w:pPr>
      <w:r w:rsidRPr="005F781F">
        <w:t>–</w:t>
      </w:r>
      <w:r w:rsidRPr="005F781F">
        <w:tab/>
        <w:t>като взе предвид годишния доклад на Европейската служба за външна дейност пред органа по освобождаване от отговорност относно вътрешните одити, осъществени през 2022 г.,</w:t>
      </w:r>
    </w:p>
    <w:p w:rsidR="00F818E8" w:rsidRPr="005F781F" w:rsidRDefault="00F818E8" w:rsidP="00F818E8">
      <w:pPr>
        <w:pStyle w:val="NormalHanging12a"/>
      </w:pPr>
      <w:r w:rsidRPr="005F781F">
        <w:t>–</w:t>
      </w:r>
      <w:r w:rsidRPr="005F781F">
        <w:tab/>
        <w:t>като взе предвид годишния доклад на Сметната палата относно изпълнението на бюджета за финансовата 2022 година, придружен от отговорите на институциите</w:t>
      </w:r>
      <w:r w:rsidRPr="005F781F">
        <w:rPr>
          <w:rStyle w:val="FootnoteReference"/>
        </w:rPr>
        <w:footnoteReference w:id="3"/>
      </w:r>
      <w:r w:rsidRPr="005F781F">
        <w:t>,</w:t>
      </w:r>
    </w:p>
    <w:p w:rsidR="00F818E8" w:rsidRPr="005F781F" w:rsidRDefault="00F818E8" w:rsidP="00F818E8">
      <w:pPr>
        <w:pStyle w:val="NormalHanging12a"/>
      </w:pPr>
      <w:r w:rsidRPr="005F781F">
        <w:t>–</w:t>
      </w:r>
      <w:r w:rsidRPr="005F781F">
        <w:tab/>
        <w:t>като взе предвид декларацията за достоверност</w:t>
      </w:r>
      <w:r w:rsidRPr="005F781F">
        <w:rPr>
          <w:rStyle w:val="FootnoteReference"/>
        </w:rPr>
        <w:footnoteReference w:id="4"/>
      </w:r>
      <w:r w:rsidRPr="005F781F">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F818E8" w:rsidRPr="005F781F" w:rsidRDefault="00F818E8" w:rsidP="00F818E8">
      <w:pPr>
        <w:pStyle w:val="NormalHanging12a"/>
      </w:pPr>
      <w:r w:rsidRPr="005F781F">
        <w:t>–</w:t>
      </w:r>
      <w:r w:rsidRPr="005F781F">
        <w:tab/>
        <w:t>като взе предвид член 314, параграф 10 и членове 317, 318 и 319 от Договора за функционирането на Европейския съюз,</w:t>
      </w:r>
    </w:p>
    <w:p w:rsidR="00F818E8" w:rsidRPr="005F781F" w:rsidRDefault="00F818E8" w:rsidP="00F818E8">
      <w:pPr>
        <w:pStyle w:val="NormalHanging12a"/>
      </w:pPr>
      <w:r w:rsidRPr="005F781F">
        <w:t>–</w:t>
      </w:r>
      <w:r w:rsidRPr="005F781F">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5F781F">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5F781F">
        <w:rPr>
          <w:rStyle w:val="FootnoteReference"/>
        </w:rPr>
        <w:footnoteReference w:id="5"/>
      </w:r>
      <w:r w:rsidRPr="005F781F">
        <w:t>, и по-специално членове 59, 118 и 260 – 263 от него,</w:t>
      </w:r>
    </w:p>
    <w:p w:rsidR="00F818E8" w:rsidRPr="005F781F" w:rsidRDefault="00F818E8" w:rsidP="00F818E8">
      <w:pPr>
        <w:pStyle w:val="NormalHanging12a"/>
      </w:pPr>
      <w:r w:rsidRPr="005F781F">
        <w:t>–</w:t>
      </w:r>
      <w:r w:rsidRPr="005F781F">
        <w:tab/>
      </w:r>
      <w:r w:rsidRPr="005F781F">
        <w:rPr>
          <w:snapToGrid w:val="0"/>
        </w:rPr>
        <w:t>като взе предвид Решение 2010/427/ЕС на Съвета от 26 юли 2010 г. за определяне на организацията и функционирането на Европейската служба за външна дейност</w:t>
      </w:r>
      <w:r w:rsidRPr="005F781F">
        <w:rPr>
          <w:rStyle w:val="FootnoteReference"/>
          <w:bCs/>
        </w:rPr>
        <w:footnoteReference w:id="6"/>
      </w:r>
      <w:r w:rsidRPr="005F781F">
        <w:rPr>
          <w:snapToGrid w:val="0"/>
        </w:rPr>
        <w:t>, и по-специално член 8 от него,</w:t>
      </w:r>
    </w:p>
    <w:p w:rsidR="00F818E8" w:rsidRPr="005F781F" w:rsidRDefault="00F818E8" w:rsidP="00F818E8">
      <w:pPr>
        <w:pStyle w:val="NormalHanging12a"/>
      </w:pPr>
      <w:r w:rsidRPr="005F781F">
        <w:t>–</w:t>
      </w:r>
      <w:r w:rsidRPr="005F781F">
        <w:tab/>
        <w:t>като взе предвид член 100 и приложение V към своя Правилник за дейността,</w:t>
      </w:r>
    </w:p>
    <w:p w:rsidR="00F818E8" w:rsidRPr="005F781F" w:rsidRDefault="00F818E8" w:rsidP="00F818E8">
      <w:pPr>
        <w:pStyle w:val="NormalHanging12a"/>
      </w:pPr>
      <w:r w:rsidRPr="005F781F">
        <w:t>–</w:t>
      </w:r>
      <w:r w:rsidRPr="005F781F">
        <w:tab/>
        <w:t>като взе предвид становището на комисията по външни работи,</w:t>
      </w:r>
    </w:p>
    <w:p w:rsidR="00F818E8" w:rsidRPr="005F781F" w:rsidRDefault="00F818E8" w:rsidP="00F818E8">
      <w:pPr>
        <w:pStyle w:val="NormalHanging12a"/>
      </w:pPr>
      <w:r w:rsidRPr="005F781F">
        <w:t>–</w:t>
      </w:r>
      <w:r w:rsidRPr="005F781F">
        <w:tab/>
        <w:t>като взе предвид доклада на комисията по бюджетен контрол (A9-0102/2024),</w:t>
      </w:r>
    </w:p>
    <w:p w:rsidR="00F818E8" w:rsidRPr="005F781F" w:rsidRDefault="00F818E8" w:rsidP="00F818E8">
      <w:pPr>
        <w:pStyle w:val="NormalHanging12a"/>
      </w:pPr>
      <w:r w:rsidRPr="005F781F">
        <w:t>1.</w:t>
      </w:r>
      <w:r w:rsidRPr="005F781F">
        <w:tab/>
        <w:t>освобождава от отговорност върховния представител на Съюза по въпросите на външните работи и политиката на сигурност във връзка с изпълнението на бюджета на Европейската служба за външна дейност за финансовата 2022 година;</w:t>
      </w:r>
    </w:p>
    <w:p w:rsidR="00F818E8" w:rsidRPr="005F781F" w:rsidRDefault="00F818E8" w:rsidP="00F818E8">
      <w:pPr>
        <w:pStyle w:val="NormalHanging12a"/>
      </w:pPr>
      <w:r w:rsidRPr="005F781F">
        <w:t>2.</w:t>
      </w:r>
      <w:r w:rsidRPr="005F781F">
        <w:tab/>
        <w:t>представя своите забележки в резолюцията по-долу;</w:t>
      </w:r>
    </w:p>
    <w:p w:rsidR="00F818E8" w:rsidRPr="005F781F" w:rsidRDefault="00F818E8" w:rsidP="00F818E8">
      <w:pPr>
        <w:pStyle w:val="NormalHanging12a"/>
        <w:rPr>
          <w:szCs w:val="24"/>
        </w:rPr>
      </w:pPr>
      <w:r w:rsidRPr="005F781F">
        <w:t>3.</w:t>
      </w:r>
      <w:r w:rsidRPr="005F781F">
        <w:tab/>
        <w:t xml:space="preserve">възлага на своя председател да предаде настоящото решение, както и резолюцията, която е неразделна част от него, на Европейската служба за външна дейност, Съвета, Комисията и Европейската сметна палата, Европейския омбудсман и Европейския надзорен орган по защита на данните и да осигури публикуването им в </w:t>
      </w:r>
      <w:r w:rsidRPr="005F781F">
        <w:rPr>
          <w:i/>
        </w:rPr>
        <w:t>Официален вестник на Европейския съюз</w:t>
      </w:r>
      <w:r w:rsidRPr="005F781F">
        <w:t xml:space="preserve"> (серия L). </w:t>
      </w:r>
    </w:p>
    <w:p w:rsidR="00F818E8" w:rsidRPr="005F781F" w:rsidRDefault="00F818E8" w:rsidP="00F818E8"/>
    <w:p w:rsidR="00F818E8" w:rsidRPr="005F781F" w:rsidRDefault="00F818E8" w:rsidP="00F818E8">
      <w:pPr>
        <w:pStyle w:val="PageHeading"/>
        <w:sectPr w:rsidR="00F818E8" w:rsidRPr="005F781F" w:rsidSect="005F781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818E8" w:rsidRPr="005F781F" w:rsidRDefault="00F818E8" w:rsidP="00E47AC4">
      <w:pPr>
        <w:pStyle w:val="ATHeading3"/>
      </w:pPr>
      <w:bookmarkStart w:id="8" w:name="_Toc161909589"/>
      <w:r w:rsidRPr="005F781F">
        <w:lastRenderedPageBreak/>
        <w:t xml:space="preserve">2. </w:t>
      </w:r>
      <w:bookmarkEnd w:id="8"/>
      <w:r w:rsidR="00E47AC4">
        <w:t>Резолюция на Европейския парламент от 11 април 2024 г., съдържаща</w:t>
      </w:r>
      <w:r w:rsidRPr="005F781F">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2022 година, раздел X – Европейска служба за външна дейност</w:t>
      </w:r>
      <w:r w:rsidR="00E47AC4">
        <w:t xml:space="preserve"> (2023</w:t>
      </w:r>
      <w:r w:rsidRPr="005F781F">
        <w:t>/2134(DEC))</w:t>
      </w:r>
    </w:p>
    <w:p w:rsidR="00F818E8" w:rsidRPr="005F781F" w:rsidRDefault="00F818E8" w:rsidP="00F818E8">
      <w:pPr>
        <w:pStyle w:val="EPComma"/>
        <w:rPr>
          <w:szCs w:val="24"/>
        </w:rPr>
      </w:pPr>
      <w:r w:rsidRPr="005F781F">
        <w:rPr>
          <w:i/>
        </w:rPr>
        <w:t>Европейският парламент</w:t>
      </w:r>
      <w:r w:rsidRPr="005F781F">
        <w:t>,</w:t>
      </w:r>
    </w:p>
    <w:p w:rsidR="00F818E8" w:rsidRPr="005F781F" w:rsidRDefault="00F818E8" w:rsidP="00F818E8">
      <w:pPr>
        <w:pStyle w:val="NormalHanging12a"/>
        <w:rPr>
          <w:szCs w:val="24"/>
        </w:rPr>
      </w:pPr>
      <w:r w:rsidRPr="005F781F">
        <w:t>–</w:t>
      </w:r>
      <w:r w:rsidRPr="005F781F">
        <w:tab/>
        <w:t>като взе предвид своето решение за освобождаване от отговорност във връзка с изпълнението на общия бюджет на Европейския съюз за финансовата 2022 година, раздел X ‒ Европейска служба за външна дейност,</w:t>
      </w:r>
    </w:p>
    <w:p w:rsidR="00F818E8" w:rsidRPr="005F781F" w:rsidRDefault="00F818E8" w:rsidP="00F818E8">
      <w:pPr>
        <w:pStyle w:val="NormalHanging12a"/>
        <w:rPr>
          <w:szCs w:val="24"/>
        </w:rPr>
      </w:pPr>
      <w:r w:rsidRPr="005F781F">
        <w:t>–</w:t>
      </w:r>
      <w:r w:rsidRPr="005F781F">
        <w:tab/>
        <w:t>като взе предвид член 100 и приложение V към своя Правилник за дейността,</w:t>
      </w:r>
    </w:p>
    <w:p w:rsidR="00F818E8" w:rsidRPr="005F781F" w:rsidRDefault="00F818E8" w:rsidP="00F818E8">
      <w:pPr>
        <w:pStyle w:val="NormalHanging12a"/>
        <w:rPr>
          <w:szCs w:val="24"/>
        </w:rPr>
      </w:pPr>
      <w:r w:rsidRPr="005F781F">
        <w:t>–</w:t>
      </w:r>
      <w:r w:rsidRPr="005F781F">
        <w:tab/>
        <w:t>като взе предвид становището на комисията по външни работи,</w:t>
      </w:r>
    </w:p>
    <w:p w:rsidR="00F818E8" w:rsidRPr="005F781F" w:rsidRDefault="00F818E8" w:rsidP="00F818E8">
      <w:pPr>
        <w:pStyle w:val="NormalHanging12a"/>
        <w:rPr>
          <w:szCs w:val="24"/>
        </w:rPr>
      </w:pPr>
      <w:r w:rsidRPr="005F781F">
        <w:t>–</w:t>
      </w:r>
      <w:r w:rsidRPr="005F781F">
        <w:tab/>
        <w:t>като взе предвид доклада на комисията по бюджетен контрол (A9-0102/2024),</w:t>
      </w:r>
    </w:p>
    <w:p w:rsidR="00F818E8" w:rsidRPr="005F781F" w:rsidRDefault="00F818E8" w:rsidP="00F818E8">
      <w:pPr>
        <w:pStyle w:val="NormalHanging12a"/>
        <w:rPr>
          <w:szCs w:val="24"/>
        </w:rPr>
      </w:pPr>
      <w:r w:rsidRPr="005F781F">
        <w:t>А.</w:t>
      </w:r>
      <w:r w:rsidRPr="005F781F">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и добро управление на човешките ресурси;</w:t>
      </w:r>
    </w:p>
    <w:p w:rsidR="00F818E8" w:rsidRPr="005F781F" w:rsidRDefault="00F818E8" w:rsidP="00F818E8">
      <w:pPr>
        <w:pStyle w:val="NormalHanging12a"/>
        <w:rPr>
          <w:rStyle w:val="HideTWBExt"/>
          <w:rFonts w:ascii="Times New Roman" w:hAnsi="Times New Roman"/>
          <w:noProof w:val="0"/>
          <w:vanish w:val="0"/>
          <w:color w:val="auto"/>
          <w:sz w:val="24"/>
          <w:szCs w:val="24"/>
        </w:rPr>
      </w:pPr>
      <w:r w:rsidRPr="005F781F">
        <w:t>Б.</w:t>
      </w:r>
      <w:r w:rsidRPr="005F781F">
        <w:tab/>
        <w:t>като има предвид, че Европейската служба за външна дейност (ЕСВД) отговаря за управлението на административните разходи на своята централа в Брюксел и за мрежата от 144 делегации и служби на Съюза;</w:t>
      </w:r>
    </w:p>
    <w:p w:rsidR="00F818E8" w:rsidRPr="005F781F" w:rsidRDefault="00F818E8" w:rsidP="00F818E8">
      <w:pPr>
        <w:pStyle w:val="NormalHanging12a"/>
        <w:rPr>
          <w:szCs w:val="24"/>
        </w:rPr>
      </w:pPr>
      <w:r w:rsidRPr="005F781F">
        <w:t>В.</w:t>
      </w:r>
      <w:r w:rsidRPr="005F781F">
        <w:tab/>
        <w:t>като има предвид, че отговорността на ЕСВД беше разширена, за да обхване административното управление на служителите на Комисията в делегациите посредством поредица от споразумения за нивото на обслужване;</w:t>
      </w:r>
    </w:p>
    <w:p w:rsidR="00F818E8" w:rsidRPr="005F781F" w:rsidRDefault="00F818E8" w:rsidP="00F818E8">
      <w:pPr>
        <w:pStyle w:val="NormalHanging12a"/>
        <w:rPr>
          <w:szCs w:val="24"/>
        </w:rPr>
      </w:pPr>
      <w:r w:rsidRPr="005F781F">
        <w:t>Г.</w:t>
      </w:r>
      <w:r w:rsidRPr="005F781F">
        <w:tab/>
        <w:t>като има предвид, че ролята на делегациите е да представляват Съюза и неговите граждани по света като изграждат мрежи и партньорства, както и да насърчават ценностите на Съюза;</w:t>
      </w:r>
    </w:p>
    <w:p w:rsidR="00F818E8" w:rsidRPr="005F781F" w:rsidRDefault="00F818E8" w:rsidP="00F818E8">
      <w:pPr>
        <w:pStyle w:val="NormalHanging12a"/>
        <w:rPr>
          <w:szCs w:val="24"/>
        </w:rPr>
      </w:pPr>
      <w:r w:rsidRPr="005F781F">
        <w:t>Д.</w:t>
      </w:r>
      <w:r w:rsidRPr="005F781F">
        <w:tab/>
        <w:t>като има предвид, че ЕСВД продължава да се отличава по своето естество и начина, по който беше създадена чрез сливането на персонал, работещ в бившите отдели за външни отношения на Съвета и на Комисията, и интегрирането на дипломати от държавите членки;</w:t>
      </w:r>
    </w:p>
    <w:p w:rsidR="00F818E8" w:rsidRPr="005F781F" w:rsidRDefault="00F818E8" w:rsidP="00F818E8">
      <w:pPr>
        <w:pStyle w:val="NormalHanging12a"/>
        <w:rPr>
          <w:szCs w:val="24"/>
        </w:rPr>
      </w:pPr>
      <w:r w:rsidRPr="005F781F">
        <w:t>Е.</w:t>
      </w:r>
      <w:r w:rsidRPr="005F781F">
        <w:tab/>
        <w:t>като има предвид, че съгласно вътрешния правилник на ЕСВД генералният секретар на ЕСВД изпълнява функцията на оправомощен разпоредител с бюджетни кредити за институцията, а генералният директор за управление на ресурсите изпълнява функцията на основен вторично оправомощен разпоредител с бюджетни кредити;</w:t>
      </w:r>
    </w:p>
    <w:p w:rsidR="00F818E8" w:rsidRPr="005F781F" w:rsidRDefault="00F818E8" w:rsidP="00F818E8">
      <w:pPr>
        <w:pStyle w:val="NormalHanging12a"/>
        <w:rPr>
          <w:szCs w:val="24"/>
        </w:rPr>
      </w:pPr>
      <w:r w:rsidRPr="005F781F">
        <w:t>Ж.</w:t>
      </w:r>
      <w:r w:rsidRPr="005F781F">
        <w:tab/>
        <w:t>като има предвид, че изпълнението на бюджета се урежда с Финансовия регламент и с Вътрешния правилник за изпълнението на бюджета на ЕСВД;</w:t>
      </w:r>
    </w:p>
    <w:p w:rsidR="00F818E8" w:rsidRPr="005F781F" w:rsidRDefault="00F818E8" w:rsidP="00F818E8">
      <w:pPr>
        <w:pStyle w:val="NormalHanging12a"/>
        <w:rPr>
          <w:szCs w:val="24"/>
        </w:rPr>
      </w:pPr>
      <w:r w:rsidRPr="005F781F">
        <w:lastRenderedPageBreak/>
        <w:t>1.</w:t>
      </w:r>
      <w:r w:rsidRPr="005F781F">
        <w:tab/>
        <w:t>отбелязва, че бюджетът на ЕСВД попада в обхвата на функция 7 от МФР „Европейска публична администрация“, която през 2022 г. възлиза на общо 11,6 милиарда евро (което представлява 5,9% от общия бюджет на Съюза); отбелязва, че бюджетът на ЕСВД в размер на приблизително 1,1 милиарда евро представлява 9,4% от общите административни разходи;</w:t>
      </w:r>
    </w:p>
    <w:p w:rsidR="00F818E8" w:rsidRPr="005F781F" w:rsidRDefault="00F818E8" w:rsidP="00F818E8">
      <w:pPr>
        <w:pStyle w:val="NormalHanging12a"/>
        <w:rPr>
          <w:szCs w:val="24"/>
        </w:rPr>
      </w:pPr>
      <w:r w:rsidRPr="005F781F">
        <w:t>2.</w:t>
      </w:r>
      <w:r w:rsidRPr="005F781F">
        <w:tab/>
        <w:t>отбелязва, че в своя годишен доклад за финансовата 2022 година Сметната палата („Палатата“) посочва, че е проверила извадка от 60 операции в обхвата на функция „Администрация“, което е същият брой като този на проверените през 2021 г. операции; отбелязва освен това, че Палатата посочва, че административните разходи включват разходи за човешки ресурси, в т.ч. пенсии, които през 2022 г. представляват около 70% от общия размер на административните разходи, и разходи за сгради, оборудване, енергия, комуникации и информационни технологии, и че дългогодишната ѝ работа показва, че като цяло разходите в тази област се характеризират с ниско ниво на риск;</w:t>
      </w:r>
    </w:p>
    <w:p w:rsidR="00F818E8" w:rsidRPr="005F781F" w:rsidRDefault="00F818E8" w:rsidP="00F818E8">
      <w:pPr>
        <w:pStyle w:val="NormalHanging12a"/>
        <w:rPr>
          <w:szCs w:val="24"/>
        </w:rPr>
      </w:pPr>
      <w:r w:rsidRPr="005F781F">
        <w:t>3.</w:t>
      </w:r>
      <w:r w:rsidRPr="005F781F">
        <w:tab/>
        <w:t>отбелязва, че 14 (23%) от 60-те операции съдържат грешки, но че въз основа на петте остойностени грешки изчисленият от Палатата процент грешки е под прага на същественост;</w:t>
      </w:r>
    </w:p>
    <w:p w:rsidR="00F818E8" w:rsidRPr="005F781F" w:rsidRDefault="00F818E8" w:rsidP="00F818E8">
      <w:pPr>
        <w:pStyle w:val="NormalHanging12a"/>
        <w:rPr>
          <w:szCs w:val="24"/>
        </w:rPr>
      </w:pPr>
      <w:r w:rsidRPr="005F781F">
        <w:t>4.</w:t>
      </w:r>
      <w:r w:rsidRPr="005F781F">
        <w:tab/>
        <w:t>изразява съжаление, че в своя годишен доклад за финансовата 2022 година Палатата отбелязва, че е установила две количествено измерими грешки в плащанията, извършени от ЕСВД, като едната се отнася до липсата на валиден основен договор за услуги по охрана, предоставени на делегация на Съюза, а другата е свързана с детски надбавки, получени от служител от други източници, които не са били приспаднати от възнаграждението му;</w:t>
      </w:r>
    </w:p>
    <w:p w:rsidR="00F818E8" w:rsidRPr="00C438B1" w:rsidRDefault="00F818E8" w:rsidP="00F818E8">
      <w:pPr>
        <w:pStyle w:val="NormalHanging12a"/>
        <w:rPr>
          <w:b/>
          <w:i/>
          <w:iCs/>
          <w:szCs w:val="24"/>
        </w:rPr>
      </w:pPr>
      <w:r w:rsidRPr="00C438B1">
        <w:rPr>
          <w:b/>
          <w:i/>
          <w:iCs/>
        </w:rPr>
        <w:t>Бюджетно и финансово управление</w:t>
      </w:r>
    </w:p>
    <w:p w:rsidR="00F818E8" w:rsidRPr="005F781F" w:rsidRDefault="00F818E8" w:rsidP="00F818E8">
      <w:pPr>
        <w:pStyle w:val="NormalHanging12a"/>
        <w:rPr>
          <w:szCs w:val="24"/>
        </w:rPr>
      </w:pPr>
      <w:r w:rsidRPr="005F781F">
        <w:t>5.</w:t>
      </w:r>
      <w:r w:rsidRPr="005F781F">
        <w:tab/>
        <w:t>отбелязва, че бюджетът на ЕСВД за 2022 г. възлиза на 786 947 220 EUR, което представлява увеличение с 2,5% спрямо 2021 г., което е по-малко от увеличението с 5,0% през 2021 г. спрямо 2020 г.; отбелязва, че в допълнение към собствения си бюджет ЕСВД е използвала 241,4 милиона евро (включително целеви приходи и пренесени суми) от Комисията за покриване на административните разходи за персонала на Комисията, работещ в делегациите на Съюза; отбелязва, че това представлява увеличение с 14,3% спрямо 2021 г.; отбелязва, че ЕСВД също така е получила допълнителни средства за покриване на общите разходи за персонала на Европейския фонд за развитие в делегациите и други суми, с което общият наличен бюджет за ЕСВД (в бюджетни кредити за поети задължения) възлиза на 1 143,6 милиона евро, което представлява увеличение с 4,8% спрямо 2020 г.; изразява съжаление, че административният бюджет на ЕСВД за 2022 г. е бил недофинансиран въпреки важната роля на институцията в по-широкия международен контекст в началото на 2022 г. и увеличаването на разходите, което тя предполага;</w:t>
      </w:r>
    </w:p>
    <w:p w:rsidR="00F818E8" w:rsidRPr="005F781F" w:rsidRDefault="00F818E8" w:rsidP="00F818E8">
      <w:pPr>
        <w:pStyle w:val="NormalHanging12a"/>
        <w:rPr>
          <w:szCs w:val="24"/>
        </w:rPr>
      </w:pPr>
      <w:r w:rsidRPr="005F781F">
        <w:t>6.</w:t>
      </w:r>
      <w:r w:rsidRPr="005F781F">
        <w:tab/>
        <w:t xml:space="preserve">отбелязва, че през 2022 г. равнището на изпълнение на окончателния бюджет на ЕСВД за поети задължения е 99,99%, което надминава дори равнището през 2021 г. от 99,37%, и е значително по-високо, отколкото през 2020 г., когато са изпълнени 95,01%; отбелязва освен това, че 90,56% от бюджета за плащания е изпълнен през 2022 г., което представлява значително увеличение спрямо </w:t>
      </w:r>
      <w:r w:rsidRPr="005F781F">
        <w:lastRenderedPageBreak/>
        <w:t>степента на изпълнение от 84,47% през 2021 г. и 82,34% през 2020 г.;</w:t>
      </w:r>
    </w:p>
    <w:p w:rsidR="00F818E8" w:rsidRPr="005F781F" w:rsidRDefault="00F818E8" w:rsidP="00F818E8">
      <w:pPr>
        <w:pStyle w:val="NormalHanging12a"/>
        <w:rPr>
          <w:szCs w:val="24"/>
        </w:rPr>
      </w:pPr>
      <w:r w:rsidRPr="005F781F">
        <w:t>7.</w:t>
      </w:r>
      <w:r w:rsidRPr="005F781F">
        <w:tab/>
        <w:t xml:space="preserve"> отбелязва, че окончателният бюджет за централата на ЕСВД за 2022 г. след трансферите възлиза на 308,1 милиона евро, което представлява увеличение с 4,4% спрямо 2021 г.; отбелязва, че 100% от бюджета за поети задължения е изпълнен; отбелязва, че са изпълнени плащания в размер на 269,2 милиона евро, което се равнява на 87,4% от бюджета и представлява увеличение с 30,9 милиона евро спрямо 2021 г., когато са изпълнени 80,8% от плащанията;</w:t>
      </w:r>
    </w:p>
    <w:p w:rsidR="00F818E8" w:rsidRPr="005F781F" w:rsidRDefault="00F818E8" w:rsidP="00F818E8">
      <w:pPr>
        <w:pStyle w:val="NormalHanging12a"/>
        <w:rPr>
          <w:szCs w:val="24"/>
        </w:rPr>
      </w:pPr>
      <w:r w:rsidRPr="005F781F">
        <w:t>8.</w:t>
      </w:r>
      <w:r w:rsidRPr="005F781F">
        <w:tab/>
        <w:t>отбелязва, че окончателният бюджет за делегациите на ЕСВД за 2022 г. след трансферите възлиза на 478,9 милиона евро, което представлява увеличение с 1,3% спрямо 2021 г.; отбелязва, че 100% от бюджета за поети задължения е изпълнен; отбелязва, че са изпълнени плащания в размер на 443,4 милиона евро, което се равнява на 92,6% от бюджета и представлява абсолютно увеличение с 33,3 милиона евро спрямо 2021 г., когато са изпълнени 86,8% от плащанията;</w:t>
      </w:r>
    </w:p>
    <w:p w:rsidR="00F818E8" w:rsidRPr="005F781F" w:rsidRDefault="00F818E8" w:rsidP="00F818E8">
      <w:pPr>
        <w:pStyle w:val="NormalHanging12a"/>
        <w:rPr>
          <w:szCs w:val="24"/>
        </w:rPr>
      </w:pPr>
      <w:r w:rsidRPr="005F781F">
        <w:t>9.</w:t>
      </w:r>
      <w:r w:rsidRPr="005F781F">
        <w:tab/>
        <w:t>отбелязва, че ЕСВД е извършила 20 бюджетни трансфера в съответствие с член 29 от Финансовия регламент, като за три от тях е било необходимо информиране на бюджетния орган; отбелязва, че общата сума на трансферите възлиза на 38,2 милиона евро като бюджетът на делегациите на ЕСВД се увеличава с 0,9 милиона евро, а бюджетът за персонала и бюджетът за сградите и оборудването в централата на ЕСВД намаляват съответно с 0,5 милиона евро и 0,4 милиона евро;</w:t>
      </w:r>
    </w:p>
    <w:p w:rsidR="00F818E8" w:rsidRPr="005F781F" w:rsidRDefault="00F818E8" w:rsidP="00F818E8">
      <w:pPr>
        <w:pStyle w:val="NormalHanging12a"/>
        <w:rPr>
          <w:szCs w:val="24"/>
        </w:rPr>
      </w:pPr>
      <w:r w:rsidRPr="005F781F">
        <w:t>10.</w:t>
      </w:r>
      <w:r w:rsidRPr="005F781F">
        <w:tab/>
        <w:t>отбелязва със загриженост, че ЕСВД отчита, че изпълнението на бюджета за 2022 г. е било особено предизвикателство поради новите задачи и увеличението на текущите разходи и че смекчаващите мерки са включвали намаляване или отмяна на всички несъществени разходи в делегациите, че обявяването на свободни длъжности в централата и делегациите е било внимателно премисляно и че някои от тях са били замразени за определен период, че незадължителните актуализации на заплатите и повишенията в длъжност са били спрени или отложени, доколкото е възможно, а събирането на вземания от трети страни е било ускорявано, когато е било възможно;</w:t>
      </w:r>
    </w:p>
    <w:p w:rsidR="00F818E8" w:rsidRPr="005F781F" w:rsidRDefault="00F818E8" w:rsidP="00F818E8">
      <w:pPr>
        <w:pStyle w:val="NormalHanging12a"/>
        <w:rPr>
          <w:szCs w:val="24"/>
        </w:rPr>
      </w:pPr>
      <w:r w:rsidRPr="005F781F">
        <w:t>11.</w:t>
      </w:r>
      <w:r w:rsidRPr="005F781F">
        <w:tab/>
        <w:t>отбелязва, че агресивната война на Русия срещу Украйна създаде бюджетен натиск за ЕСВД, включително поради растящата инфлация и корекциите на заплатите, рязко увеличаващите се разходи за енергия и разходи за редица стоки и услуги на други доставчици; подчертава значението на установяването на стабилна и сигурна финансова основа за ЕСВД, като посочва нейната ключова роля за ефективното изпълнение на общата външна политика и политика на сигурност на Съюза;</w:t>
      </w:r>
    </w:p>
    <w:p w:rsidR="00F818E8" w:rsidRPr="005F781F" w:rsidRDefault="00F818E8" w:rsidP="00F818E8">
      <w:pPr>
        <w:pStyle w:val="NormalHanging12a"/>
        <w:rPr>
          <w:szCs w:val="24"/>
        </w:rPr>
      </w:pPr>
      <w:r w:rsidRPr="005F781F">
        <w:t>12.</w:t>
      </w:r>
      <w:r w:rsidRPr="005F781F">
        <w:tab/>
        <w:t>изразява съжаление, че бюджетният натиск е продължил и през 2023 г. и е накарал ЕСВД да вземе решение да не изпраща служители на нито една от планираните мисии за проследяване на изпълнението на препоръките след мисии за наблюдение на избори поради недостиг в бюджета за пътувания през голяма част от 2023 г.; счита, че на ЕСВД следва да бъдат предоставени необходимите ресурси, за да се гарантира подходящо проследяване на изпълнението на препоръките след тези важни мисии;</w:t>
      </w:r>
    </w:p>
    <w:p w:rsidR="00F818E8" w:rsidRPr="005F781F" w:rsidRDefault="00F818E8" w:rsidP="00F818E8">
      <w:pPr>
        <w:pStyle w:val="NormalHanging12a"/>
        <w:rPr>
          <w:szCs w:val="24"/>
        </w:rPr>
      </w:pPr>
      <w:r w:rsidRPr="005F781F">
        <w:t>13.</w:t>
      </w:r>
      <w:r w:rsidRPr="005F781F">
        <w:tab/>
        <w:t xml:space="preserve">отбелязва със задоволство, че общият брой на съвместно ползвани обекти с държавите членки и други партньори на ЕС в делегациите на Съюза се е увеличил </w:t>
      </w:r>
      <w:r w:rsidRPr="005F781F">
        <w:lastRenderedPageBreak/>
        <w:t>от 122 през 2021 г. на 135 през 2022 г.; приветства приемането на решение от генералния секретар на ЕСВД относно политиката на съвместно ползване на обекти, което осигурява всеобхватна и прозрачна структурна рамка, хармонизираща практиката на ЕСВД за съвместно ползване на обекти чрез определяне на общи принципи и цели;</w:t>
      </w:r>
    </w:p>
    <w:p w:rsidR="00F818E8" w:rsidRPr="005F781F" w:rsidRDefault="00F818E8" w:rsidP="00F818E8">
      <w:pPr>
        <w:pStyle w:val="NormalHanging12a"/>
        <w:rPr>
          <w:szCs w:val="24"/>
        </w:rPr>
      </w:pPr>
      <w:r w:rsidRPr="005F781F">
        <w:t>14.</w:t>
      </w:r>
      <w:r w:rsidRPr="005F781F">
        <w:tab/>
        <w:t>отбелязва, че през 2022 г. общите платени разходи за командировки на ЕСВД възлизат на 24,065 милиона евро, което представлява значително увеличение спрямо 6,128 милиона евро през 2021 г., но което би следвало по-скоро да се сравнява с равнището преди COVID-19 през 2019 г., когато платената сума е била 20,972 милиона евро; отбелязва освен това, че ЕСВД няма отделен бюджетен ред за командировки и пътувания за върховния представител/заместник-председател и че командировките и пътните разходи за върховния представител/заместник-председател се поделят между ЕСВД и Комисията в зависимост от целта на командировката; отбелязва накрая, че за 2022 г. ЕСВД е платила 3 502,73 EUR за 6 командировки на върховния представител/заместник-председател и разходи за въздушни таксита в размер на 178 320,76 EUR; отправя искане към ЕСВД да информира Парламента колко пъти върховният представител/заместник-председател е пътувал с търговски самолети и колко пъти са били използвани чартърни самолети;</w:t>
      </w:r>
    </w:p>
    <w:p w:rsidR="00F818E8" w:rsidRPr="005F781F" w:rsidRDefault="00F818E8" w:rsidP="000D16BA">
      <w:pPr>
        <w:pStyle w:val="NormalHanging12a"/>
        <w:rPr>
          <w:szCs w:val="24"/>
        </w:rPr>
      </w:pPr>
      <w:r w:rsidRPr="005F781F">
        <w:t>15.</w:t>
      </w:r>
      <w:r w:rsidRPr="005F781F">
        <w:tab/>
      </w:r>
      <w:r w:rsidR="000D16BA" w:rsidRPr="000D16BA">
        <w:t>отбелязва широкото използване на частни самолети под наем за официални пътувания от страна на върховния представител/заместник-председател и разбира, че пътуването е присъщо и от съществено значение за мандата на върховния представител по въпросите на външните работи и политиката на сигурност, който включва представяне на Съюза на срещи на високо равнище, конференции и срещи на върха по света; счита, че прозрачността на свързаните с работата дейности и доброто финансово управление, когато се използват публични средства на Съюза, следва да бъде от основно значение за институциите на Съюза; освен това счита, че членовете на институциите на Съюза следва да дават пример на обществеността за следване на политиките в областта на климата в съответствие с водещата инициатива Европейски зелен пакт;</w:t>
      </w:r>
      <w:r w:rsidRPr="005F781F">
        <w:t>;</w:t>
      </w:r>
    </w:p>
    <w:p w:rsidR="00F818E8" w:rsidRPr="005F781F" w:rsidRDefault="00F818E8" w:rsidP="000D16BA">
      <w:pPr>
        <w:pStyle w:val="NormalHanging12a"/>
        <w:rPr>
          <w:szCs w:val="24"/>
        </w:rPr>
      </w:pPr>
      <w:r w:rsidRPr="005F781F">
        <w:t>16.</w:t>
      </w:r>
      <w:r w:rsidRPr="005F781F">
        <w:tab/>
        <w:t>припомня получения отговор след въпрос с искане за писмен отговор от член на комисията CONT във връзка с подробностите за пътуванията на върховния представител/заместник-председател с въздушни таксита; изразява съжаление, че освен споменаването на маршрутите, ЕСВД не уточнява сумите, изразходвани за тези пътувания, и не посочва кои пътувания са били поети от бюджетите съответно на ЕСВД и на Комисията; подчертава значението на предоставянето на тази информация на органа по освобождаване от отговорност</w:t>
      </w:r>
      <w:r w:rsidR="000D16BA">
        <w:rPr>
          <w:lang w:val="en-GB"/>
        </w:rPr>
        <w:t xml:space="preserve">; </w:t>
      </w:r>
      <w:r w:rsidR="000D16BA" w:rsidRPr="000D16BA">
        <w:t>отбелязва също така факта</w:t>
      </w:r>
      <w:r w:rsidR="000D16BA">
        <w:rPr>
          <w:lang w:val="en-GB"/>
        </w:rPr>
        <w:t xml:space="preserve">, </w:t>
      </w:r>
      <w:r w:rsidRPr="005F781F">
        <w:t>че разходите за въздушни таксита са се увеличили от 0 EUR през 2021 г. на 178 320,76 EUR през 2022 г</w:t>
      </w:r>
      <w:r w:rsidRPr="000D16BA">
        <w:t>.</w:t>
      </w:r>
      <w:r w:rsidR="000D16BA" w:rsidRPr="000D16BA">
        <w:rPr>
          <w:lang w:val="en-GB"/>
        </w:rPr>
        <w:t>,</w:t>
      </w:r>
      <w:r w:rsidR="000D16BA" w:rsidRPr="00C438B1">
        <w:t>, което естествено се обяснява с пандемията от COVID-19;</w:t>
      </w:r>
      <w:r w:rsidR="000D16BA" w:rsidRPr="000D16BA">
        <w:t xml:space="preserve"> </w:t>
      </w:r>
      <w:r w:rsidR="000D16BA" w:rsidRPr="00C438B1">
        <w:t>препоръчва въздушните таксита да се използват само когато няма подходящи търговски полети или когато са налице опасения за сигурността</w:t>
      </w:r>
      <w:r w:rsidRPr="000D16BA">
        <w:t>;</w:t>
      </w:r>
    </w:p>
    <w:p w:rsidR="00F818E8" w:rsidRPr="00C438B1" w:rsidRDefault="00F818E8" w:rsidP="00F818E8">
      <w:pPr>
        <w:pStyle w:val="NormalHanging12a"/>
        <w:rPr>
          <w:b/>
          <w:i/>
          <w:iCs/>
          <w:szCs w:val="24"/>
        </w:rPr>
      </w:pPr>
      <w:r w:rsidRPr="00C438B1">
        <w:rPr>
          <w:b/>
          <w:i/>
          <w:iCs/>
        </w:rPr>
        <w:t>Вътрешно управление, резултати от дейността и вътрешен контрол</w:t>
      </w:r>
    </w:p>
    <w:p w:rsidR="00F818E8" w:rsidRDefault="00F818E8" w:rsidP="00F818E8">
      <w:pPr>
        <w:pStyle w:val="NormalHanging12a"/>
      </w:pPr>
      <w:r w:rsidRPr="005F781F">
        <w:t>17.</w:t>
      </w:r>
      <w:r w:rsidRPr="005F781F">
        <w:tab/>
        <w:t xml:space="preserve">отбелязва, че през 2022 г. извънредните мерки, свързани с пандемията от COVID-19, бяха постепенно премахнати и институциите се върнаха към нормалния си начин на работа, докато ЕСВД беше засегната от агресивната война на Русия </w:t>
      </w:r>
      <w:r w:rsidRPr="005F781F">
        <w:lastRenderedPageBreak/>
        <w:t>срещу Украйна, както и от кризите в областта на сигурността в Афганистан, Хаити и Сахел; отбелязва също така, че за три делегации на Съюза е било обявено ниво 3 от скалата за евакуация, което означава, че само служители, изпълняващи основни функции са можели да останат в държавата на командироване — Украйна (от февруари 2022 г.), Хаити (от юни 2022 г.) и Буркина Фасо (от декември 2022 г.);</w:t>
      </w:r>
    </w:p>
    <w:p w:rsidR="00116084" w:rsidRPr="005F781F" w:rsidRDefault="00A939AB" w:rsidP="00F818E8">
      <w:pPr>
        <w:pStyle w:val="NormalHanging12a"/>
        <w:rPr>
          <w:szCs w:val="24"/>
        </w:rPr>
      </w:pPr>
      <w:r>
        <w:rPr>
          <w:szCs w:val="24"/>
        </w:rPr>
        <w:t>1</w:t>
      </w:r>
      <w:r>
        <w:rPr>
          <w:szCs w:val="24"/>
          <w:lang w:val="en-GB"/>
        </w:rPr>
        <w:t>8</w:t>
      </w:r>
      <w:r w:rsidR="00116084" w:rsidRPr="00116084">
        <w:rPr>
          <w:szCs w:val="24"/>
        </w:rPr>
        <w:t>.</w:t>
      </w:r>
      <w:r w:rsidR="00116084" w:rsidRPr="00116084">
        <w:rPr>
          <w:szCs w:val="24"/>
        </w:rPr>
        <w:tab/>
        <w:t>отбелязва, че генералният секретар на ЕСВД е издал инструкция до ръководителите на делегациите на Съюза, като по-специално ги приканва да докладват своевременно при кризи (за „по-редовно, пряко и систематично докладване“); намира за тревожен факта, че посланиците на ЕСВД информираха и реагираха доста късно на промените на място, особено в Украйна и Афганистан, което доведе до необходимост от бързо евакуиране на служителите на Съюза; счита, че ЕСВД следва да преразгледа своята методология за управление на риска, която се използва за оценка на положението със сигурността на персонала в делегациите на Съюза;</w:t>
      </w:r>
    </w:p>
    <w:p w:rsidR="00F818E8" w:rsidRPr="005F781F" w:rsidRDefault="00A939AB" w:rsidP="00F818E8">
      <w:pPr>
        <w:pStyle w:val="NormalHanging12a"/>
        <w:rPr>
          <w:szCs w:val="24"/>
        </w:rPr>
      </w:pPr>
      <w:r>
        <w:t>19</w:t>
      </w:r>
      <w:r w:rsidR="00F818E8" w:rsidRPr="005F781F">
        <w:t>.</w:t>
      </w:r>
      <w:r w:rsidR="00F818E8" w:rsidRPr="005F781F">
        <w:tab/>
        <w:t>приветства създаването от ЕСВД през юли 2022 г., в отговор на различните кризи през последните няколко години, на Център за реакция при кризи, който поддържа връзки с външни партньори като институциите на Съюза и държавите членки и обединява във вътрешен план дипломатически способности и способности в областта на сигурността и разузнаването;</w:t>
      </w:r>
    </w:p>
    <w:p w:rsidR="00F818E8" w:rsidRPr="005F781F" w:rsidRDefault="00A939AB" w:rsidP="00F818E8">
      <w:pPr>
        <w:pStyle w:val="NormalHanging12a"/>
        <w:rPr>
          <w:szCs w:val="24"/>
        </w:rPr>
      </w:pPr>
      <w:r>
        <w:t>20</w:t>
      </w:r>
      <w:r w:rsidR="00F818E8" w:rsidRPr="005F781F">
        <w:t>.</w:t>
      </w:r>
      <w:r w:rsidR="00F818E8" w:rsidRPr="005F781F">
        <w:tab/>
        <w:t>отбелязва, че Генерална дирекция за управление на ресурсите, която ще продължи да се занимава с административните аспекти на всички кризи, е преструктурирана в две дирекции, като броят на отделите е намален от 16 на 13 чрез групиране на сходни и свързани функции, а съставът на координационният екип към генералния директор е увеличен;</w:t>
      </w:r>
    </w:p>
    <w:p w:rsidR="00F818E8" w:rsidRPr="005F781F" w:rsidRDefault="00A939AB" w:rsidP="00F818E8">
      <w:pPr>
        <w:pStyle w:val="NormalHanging12a"/>
        <w:rPr>
          <w:szCs w:val="24"/>
        </w:rPr>
      </w:pPr>
      <w:r>
        <w:t>21</w:t>
      </w:r>
      <w:r w:rsidR="00F818E8" w:rsidRPr="005F781F">
        <w:t>.</w:t>
      </w:r>
      <w:r w:rsidR="00F818E8" w:rsidRPr="005F781F">
        <w:tab/>
        <w:t>отбелязва, че през 2021 г. ЕСВД създава комитет за вътрешен контрол, който оттогава заседава два пъти годишно, за да може висшето ръководство да обсъди смекчаващите мерки, разработени за преодоляване на слабости, установени във вътрешния контрол;</w:t>
      </w:r>
    </w:p>
    <w:p w:rsidR="00F818E8" w:rsidRPr="005F781F" w:rsidRDefault="00A939AB" w:rsidP="00F818E8">
      <w:pPr>
        <w:pStyle w:val="NormalHanging12a"/>
        <w:rPr>
          <w:szCs w:val="24"/>
        </w:rPr>
      </w:pPr>
      <w:r>
        <w:t>22</w:t>
      </w:r>
      <w:r w:rsidR="00F818E8" w:rsidRPr="005F781F">
        <w:t>.</w:t>
      </w:r>
      <w:r w:rsidR="00F818E8" w:rsidRPr="005F781F">
        <w:tab/>
        <w:t>отбелязва със задоволство, че през 2022 г. нито една делегация на Съюза не е внесла резерви;</w:t>
      </w:r>
    </w:p>
    <w:p w:rsidR="00F818E8" w:rsidRPr="005F781F" w:rsidRDefault="00A939AB" w:rsidP="00F818E8">
      <w:pPr>
        <w:pStyle w:val="NormalHanging12a"/>
        <w:rPr>
          <w:szCs w:val="24"/>
        </w:rPr>
      </w:pPr>
      <w:r>
        <w:t>23</w:t>
      </w:r>
      <w:r w:rsidR="00F818E8" w:rsidRPr="005F781F">
        <w:t>.</w:t>
      </w:r>
      <w:r w:rsidR="00F818E8" w:rsidRPr="005F781F">
        <w:tab/>
        <w:t>отбелязва, че различни елементи от бюджета на ЕСВД се одитират от нейния вътрешен одитор, от Службата за вътрешен одит на Комисията и от Сметната палата; отбелязва с учудване, че ЕСВД не е стартирала никакви вътрешни одити през 2022 г., но че два одита са били приключени през 2022 г., а три одита все още са били в ход; подчертава значението на надлежното и редовно провеждане на вътрешни одити, особено след като ЕСВД въведе нова методология в своята система за вътрешен одит през 2021 г.;</w:t>
      </w:r>
    </w:p>
    <w:p w:rsidR="00F818E8" w:rsidRPr="005F781F" w:rsidRDefault="00A939AB" w:rsidP="00F818E8">
      <w:pPr>
        <w:pStyle w:val="NormalHanging12a"/>
        <w:rPr>
          <w:szCs w:val="24"/>
        </w:rPr>
      </w:pPr>
      <w:r>
        <w:t>24</w:t>
      </w:r>
      <w:r w:rsidR="00F818E8" w:rsidRPr="005F781F">
        <w:t>.</w:t>
      </w:r>
      <w:r w:rsidR="00F818E8" w:rsidRPr="005F781F">
        <w:tab/>
        <w:t xml:space="preserve">отбелязва, че четири препоръки от критично значение на Службата за вътрешен одит са останали неизпълнени през 2022 г.; приветства факта, че изпълнението на препоръката относно сигурността в делегацията на Съюза в Мали се наблюдава отблизо; изразява съжаление, че препоръките относно управлението на делегацията на Съюза във Вашингтон остават отворени и че учредяването на дружество с ограничена отговорност създаде сложни правни проблеми; отправя </w:t>
      </w:r>
      <w:r w:rsidR="00F818E8" w:rsidRPr="005F781F">
        <w:lastRenderedPageBreak/>
        <w:t>искане Парламентът да бъде информиран редовно за развитието на положението във връзка с това дружество с ограничена отговорност;</w:t>
      </w:r>
    </w:p>
    <w:p w:rsidR="00F818E8" w:rsidRPr="005F781F" w:rsidRDefault="00A939AB" w:rsidP="00F818E8">
      <w:pPr>
        <w:pStyle w:val="NormalHanging12a"/>
        <w:rPr>
          <w:szCs w:val="24"/>
        </w:rPr>
      </w:pPr>
      <w:r>
        <w:t>25</w:t>
      </w:r>
      <w:r w:rsidR="00F818E8" w:rsidRPr="005F781F">
        <w:t>.</w:t>
      </w:r>
      <w:r w:rsidR="00F818E8" w:rsidRPr="005F781F">
        <w:tab/>
        <w:t>отбелязва, че през 2022 г. службите за инспекция на ЕСВД са издали пет препоръки от критично значение и изразява задоволство, че три са изцяло изпълнени или разрешени, докато изпълнението на последните две се следи отблизо; отправя искане към ЕСВД да предостави допълнителна информация при проследяването на последващите действия във връзка с доклада за освобождаване от отговорност във връзка с изпълнението на бюджета;</w:t>
      </w:r>
    </w:p>
    <w:p w:rsidR="00F818E8" w:rsidRPr="005F781F" w:rsidRDefault="00A939AB" w:rsidP="00F818E8">
      <w:pPr>
        <w:pStyle w:val="NormalHanging12a"/>
        <w:rPr>
          <w:szCs w:val="24"/>
        </w:rPr>
      </w:pPr>
      <w:r>
        <w:t>26</w:t>
      </w:r>
      <w:r w:rsidR="00F818E8" w:rsidRPr="005F781F">
        <w:t>.</w:t>
      </w:r>
      <w:r w:rsidR="00F818E8" w:rsidRPr="005F781F">
        <w:tab/>
        <w:t>подчертава, че акцентът, поставен миналата година върху процедурите за възлагане на обществени поръчки и набиране на персонал, организирани от делегациите на Съюза поради констатации на Палатата, продължава да дава поводи за безпокойство; отбелязва, че ЕСВД настоява за няколко промени във Финансовия регламент, за да се вземе предвид специалното положение на делегациите на Съюза в трети държави; подчертава, че въпреки че известна гъвкавост може да бъде оправдана, разликите между сроковете и правилата за всяка от приемащите държави могат да доведат до допълнителни грешки и несъответствия в процедурите за възлагане на обществени поръчки; въпреки това, и имайки предвид крайния резултат от преговорите по Финансовия регламент, призовава ЕСВД да приеме необходимите мерки, за да се гарантира намаляване на броя на грешките, допускани от делегациите на Съюза, и да докладва на Парламента относно приетите мерки;</w:t>
      </w:r>
    </w:p>
    <w:p w:rsidR="00F818E8" w:rsidRPr="005F781F" w:rsidRDefault="00A939AB" w:rsidP="00F818E8">
      <w:pPr>
        <w:pStyle w:val="NormalHanging12a"/>
        <w:rPr>
          <w:szCs w:val="24"/>
        </w:rPr>
      </w:pPr>
      <w:r>
        <w:t>27</w:t>
      </w:r>
      <w:r w:rsidR="00F818E8" w:rsidRPr="005F781F">
        <w:t>.</w:t>
      </w:r>
      <w:r w:rsidR="00F818E8" w:rsidRPr="005F781F">
        <w:tab/>
        <w:t>отбелязва, че делегацията на Съюза в Обединеното кралство беше открита на 1 февруари 2020 г. в офис пространството, заемано преди това от Представителството на Комисията и Бюрото за връзка на Европейския парламент; отбелязва със задоволство, че след подписването на споразумение за нивото на обслужване между ЕСВД и Парламента, служителите на Парламента, командировани в Лондон, ще имат същите права и задължения като правата и задълженията, произтичащи за служителите на делегацията от споразумението за установяване, и че делегацията на Съюза в Лондон нотифицира органите на Обединеното кралство за служителите на Парламента в съответствие със споразумението за нивото на обслужване;</w:t>
      </w:r>
    </w:p>
    <w:p w:rsidR="00F818E8" w:rsidRPr="00C438B1" w:rsidRDefault="00F818E8" w:rsidP="00F818E8">
      <w:pPr>
        <w:pStyle w:val="NormalHanging12a"/>
        <w:rPr>
          <w:b/>
          <w:i/>
          <w:iCs/>
          <w:szCs w:val="24"/>
        </w:rPr>
      </w:pPr>
      <w:r w:rsidRPr="00C438B1">
        <w:rPr>
          <w:b/>
          <w:i/>
          <w:iCs/>
        </w:rPr>
        <w:t>Човешки ресурси, равенство и благосъстояние на служителите</w:t>
      </w:r>
    </w:p>
    <w:p w:rsidR="00F818E8" w:rsidRPr="005F781F" w:rsidRDefault="00A939AB" w:rsidP="00F818E8">
      <w:pPr>
        <w:pStyle w:val="NormalHanging12a"/>
        <w:rPr>
          <w:szCs w:val="24"/>
        </w:rPr>
      </w:pPr>
      <w:r>
        <w:t>28</w:t>
      </w:r>
      <w:r w:rsidR="00F818E8" w:rsidRPr="005F781F">
        <w:t>.</w:t>
      </w:r>
      <w:r w:rsidR="00F818E8" w:rsidRPr="005F781F">
        <w:tab/>
        <w:t>отбелязва, че към края на 2022 г. за ЕСВД са работили 5 188 души, от които 2 419 (46,6%) в централата на ЕСВД, а 2 769 (53,4%) в делегациите и службите на Съюза, което представлява увеличение с 2,3% спрямо 5 072 души, работещи в ЕСВД в края на 2021 г. – 2 303 в централата и 2 769 в делегациите и службите; отбелязва, че новоназначените 116 служители работят в централата на ЕСВД; накрая отбелязва, че за 2022 г. ЕСВД е получила допълнителни 32 еквивалента на пълно работно време от бюджетния орган и че четири длъжности (три AD и една AST) са били прехвърлени на Комисията като част от административния бюджет;</w:t>
      </w:r>
    </w:p>
    <w:p w:rsidR="00F818E8" w:rsidRPr="005F781F" w:rsidRDefault="00A939AB" w:rsidP="00F818E8">
      <w:pPr>
        <w:pStyle w:val="NormalHanging12a"/>
        <w:rPr>
          <w:szCs w:val="24"/>
        </w:rPr>
      </w:pPr>
      <w:r>
        <w:t>29</w:t>
      </w:r>
      <w:r w:rsidR="00F818E8" w:rsidRPr="005F781F">
        <w:t>.</w:t>
      </w:r>
      <w:r w:rsidR="00F818E8" w:rsidRPr="005F781F">
        <w:tab/>
        <w:t xml:space="preserve">отбелязва, че в края на 2022 г. персоналът е бил съставен от 1 247 длъжностни лица, 468 срочно наети служители, 596 договорно наети служители, 491 командировани национални експерти, 1 573 местни служители, 144 стажанти, 39 младши специалисти в делегациите и 630 външни, временни и други служители; отбелязва накрая, че освен това в делегациите на Съюза са работили 3 316 </w:t>
      </w:r>
      <w:r w:rsidR="00F818E8" w:rsidRPr="005F781F">
        <w:lastRenderedPageBreak/>
        <w:t>служители на Комисията;</w:t>
      </w:r>
    </w:p>
    <w:p w:rsidR="00F818E8" w:rsidRPr="005F781F" w:rsidRDefault="00A939AB" w:rsidP="00F818E8">
      <w:pPr>
        <w:pStyle w:val="NormalHanging12a"/>
        <w:rPr>
          <w:szCs w:val="24"/>
        </w:rPr>
      </w:pPr>
      <w:r>
        <w:t>30</w:t>
      </w:r>
      <w:r w:rsidR="00F818E8" w:rsidRPr="005F781F">
        <w:t>.</w:t>
      </w:r>
      <w:r w:rsidR="00F818E8" w:rsidRPr="005F781F">
        <w:tab/>
        <w:t>отбелязва, че към края на 2022 г. от общо 1 715 длъжностни лица и срочно наети служители 881 (51,4%) са мъже, а 834 (48,6%) жени, което представлява леко увеличение на дела на жените спрямо 2021 г., когато 48,1% от служителите са били жени; отбелязва, че 55,9% от договорно наетите служители са жени, спрямо 57,7% през 2021 г., докато сред командированите национални експерти жените са 25,1%, което представлява увеличение спрямо 22,2% през 2021 г.; отбелязва обаче, че жените са особено слабо представени на висши длъжности като AD 9—12 и AD 13—16, и са свръхпредставени главно на длъжности AST;</w:t>
      </w:r>
    </w:p>
    <w:p w:rsidR="00F818E8" w:rsidRPr="005F781F" w:rsidRDefault="00A939AB" w:rsidP="00F818E8">
      <w:pPr>
        <w:pStyle w:val="NormalHanging12a"/>
        <w:rPr>
          <w:szCs w:val="24"/>
        </w:rPr>
      </w:pPr>
      <w:r>
        <w:t>31</w:t>
      </w:r>
      <w:r w:rsidR="00F818E8" w:rsidRPr="005F781F">
        <w:t>.</w:t>
      </w:r>
      <w:r w:rsidR="00F818E8" w:rsidRPr="005F781F">
        <w:tab/>
        <w:t>отбелязва със загриженост, че във висшето ръководство в централата и в делегациите в края на 2022 г. броят на жените е бил 18 (29,0%), а на мъжете 44 (71,0%), което представлява леко увеличение на относителния дял на жените в сравнение с 26,8% през 2021 г.; приветства увеличението на дела на жените на висши ръководни длъжности в централата от 25,0% през 2021 г. на 30,6% през 2022 г.;</w:t>
      </w:r>
    </w:p>
    <w:p w:rsidR="00F818E8" w:rsidRPr="005F781F" w:rsidRDefault="00A939AB" w:rsidP="00F818E8">
      <w:pPr>
        <w:pStyle w:val="NormalHanging12a"/>
        <w:rPr>
          <w:szCs w:val="24"/>
        </w:rPr>
      </w:pPr>
      <w:r>
        <w:t>32</w:t>
      </w:r>
      <w:r w:rsidR="00F818E8" w:rsidRPr="005F781F">
        <w:t>.</w:t>
      </w:r>
      <w:r w:rsidR="00F818E8" w:rsidRPr="005F781F">
        <w:tab/>
        <w:t>отбелязва, че в края на 2022 г. на средни ръководни длъжности в централата и в делегациите са работили 86 жени (38,4%) и 138 мъже (61,6%); отбелязва, че това представлява увеличение на дела на жените, който е бил 34,2% през предходната година, но че делът на жените все още е незадоволително нисък; приветства също така увеличението на дела на жените на средни ръководни длъжности в централата от 40,7% през 2021 г. на 44,4% през 2022 г.;</w:t>
      </w:r>
    </w:p>
    <w:p w:rsidR="00F818E8" w:rsidRPr="005F781F" w:rsidRDefault="00A939AB" w:rsidP="00F818E8">
      <w:pPr>
        <w:pStyle w:val="NormalHanging12a"/>
        <w:rPr>
          <w:szCs w:val="24"/>
        </w:rPr>
      </w:pPr>
      <w:r>
        <w:t>33</w:t>
      </w:r>
      <w:r w:rsidR="00F818E8" w:rsidRPr="005F781F">
        <w:t>.</w:t>
      </w:r>
      <w:r w:rsidR="00F818E8" w:rsidRPr="005F781F">
        <w:tab/>
        <w:t>насърчава ЕСВД да продължи да предприема действия за постигане на по-осезаем баланс между половете в рамките на своята организация на всички равнища;</w:t>
      </w:r>
    </w:p>
    <w:p w:rsidR="00F818E8" w:rsidRPr="005F781F" w:rsidRDefault="00A939AB" w:rsidP="00F818E8">
      <w:pPr>
        <w:pStyle w:val="NormalHanging12a"/>
        <w:rPr>
          <w:szCs w:val="24"/>
        </w:rPr>
      </w:pPr>
      <w:r>
        <w:t>34</w:t>
      </w:r>
      <w:r w:rsidR="00F818E8" w:rsidRPr="005F781F">
        <w:t>.</w:t>
      </w:r>
      <w:r w:rsidR="00F818E8" w:rsidRPr="005F781F">
        <w:tab/>
        <w:t>приветства приемането от Комисията и върховния представител/заместник-председател, в отговор на призивите на Парламента, на план за действие относно равенството между половете за периода 2021 – 2025 г. като хоризонтална мярка за всички аспекти на външната политика и като първа стъпка към истинска феминистка дипломация; приветства факта, че посланикът на ЕС по въпросите на равенството между половете и многообразието продължава да популяризира политическата рамка на Съюза относно жените, мира и сигурността и да гарантира участието на жените във всички дипломатически и политически диалози, и приветства стартирането на Мрежата на жените дипломати на ЕС между държавите членки и ЕСВД за популяризиране на ценностите на Съюза в областта на многообразието и равенството и за подкрепа на равенството между половете в останалата част на света;</w:t>
      </w:r>
    </w:p>
    <w:p w:rsidR="00F818E8" w:rsidRPr="005F781F" w:rsidRDefault="00A939AB" w:rsidP="00F818E8">
      <w:pPr>
        <w:pStyle w:val="NormalHanging12a"/>
        <w:rPr>
          <w:szCs w:val="24"/>
        </w:rPr>
      </w:pPr>
      <w:r>
        <w:t>35</w:t>
      </w:r>
      <w:r w:rsidR="00F818E8" w:rsidRPr="005F781F">
        <w:t>.</w:t>
      </w:r>
      <w:r w:rsidR="00F818E8" w:rsidRPr="005F781F">
        <w:tab/>
        <w:t>подчертава, че съгласно GAP III до 2025 г. 85% от новите действия на ЕС трябва да допринасят за равенството между половете и овластяването на жените и момичетата, като ЕСВД трябва да ускори напредъка към постигането на целите на GAP III, съсредоточавайки се в ежедневната си работа върху постигането на значими резултати в ключовите области на GAP III, включително прекратяването на основаното на пола насилие, насърчаването на сексуалното и репродуктивното здраве и права, икономическите и социалните права и овластяването, равното участие и лидерството;</w:t>
      </w:r>
    </w:p>
    <w:p w:rsidR="00F818E8" w:rsidRPr="005F781F" w:rsidRDefault="00A939AB" w:rsidP="00F818E8">
      <w:pPr>
        <w:pStyle w:val="NormalHanging12a"/>
        <w:rPr>
          <w:szCs w:val="24"/>
        </w:rPr>
      </w:pPr>
      <w:r>
        <w:t>36</w:t>
      </w:r>
      <w:r w:rsidR="00F818E8" w:rsidRPr="005F781F">
        <w:t>.</w:t>
      </w:r>
      <w:r w:rsidR="00F818E8" w:rsidRPr="005F781F">
        <w:tab/>
        <w:t xml:space="preserve">изразява загриженост относно състоянието на правата на ЛГБТИК+ в световен </w:t>
      </w:r>
      <w:r w:rsidR="00F818E8" w:rsidRPr="005F781F">
        <w:lastRenderedPageBreak/>
        <w:t>мащаб, както и относно растящата съпротива срещу правата на жените, равенството между половете и сексуалното и репродуктивното здраве и права в развиващите се страни; призовава Комисията и ЕСВД да обърнат внимание на спада в признаването и защитата на тези права; подчертава необходимостта да се даде приоритет на целенасочената подкрепа за организациите на гражданското общество и общностите, които се застъпват за сексуалното и репродуктивното здраве и права, правата на жените, равенството между половете, общността на ЛГБТИК+ и други маргинализирани групи от населението, включително за засилени мерки за декриминализиране на хомосексуалността; припомня, че най-малко 85% от новите действия в рамките на ИССРМС – Глобална Европа следва да дават приоритет на равенството между половете, като най-малко 5% от тях следва да са специално посветени на правата и овластяването на жените и момичетата;</w:t>
      </w:r>
    </w:p>
    <w:p w:rsidR="00F818E8" w:rsidRPr="005F781F" w:rsidRDefault="00A939AB" w:rsidP="00F818E8">
      <w:pPr>
        <w:pStyle w:val="NormalHanging12a"/>
        <w:rPr>
          <w:szCs w:val="24"/>
        </w:rPr>
      </w:pPr>
      <w:r>
        <w:t>37</w:t>
      </w:r>
      <w:r w:rsidR="00F818E8" w:rsidRPr="005F781F">
        <w:t>.</w:t>
      </w:r>
      <w:r w:rsidR="00F818E8" w:rsidRPr="005F781F">
        <w:tab/>
        <w:t>приветства факта, че всички държави членки са представени сред служителите на ЕСВД; отбелязва обаче, че продължават да съществуват някои съществени дисбаланси, като 25 държави членки са представени във всички категории служители, докато в категорията на договорно наетите служители има само двама граждани на Люксембург (един договорно нает служител и един командирован национален експерт) и няма нито един гражданин на Малта; отбелязва, че Белгия е най-свръхпредставената държава членка с 12,7% от служителите на ЕСВД, включително 15,4% от длъжностните лица; отбелязва, че сред посланиците на Съюза (общо 141) няма представители на три държави членки (Унгария, Люксембург и Малта), а Кипър и Словения имат само по един представител, при това един по-малко, отколкото през 2021 г., докато държавите членки с най-много посланици са Франция с 20, Испания с 18, Италия със 17, Германия с 14 и Белгия с 11, което означава, че представители на тези пет държави заемат 80 от тези длъжности, което се равнява на 57%; отбелязва със задоволство, че това е по-малко, отколкото миналата година, когато 61% от посланиците са били от същите пет държави; изразява съжаление обаче, че делът на посланиците от държавите членки, присъединили се през 2004 г. или по-късно (ЕС-13), е спаднал до 17% през 2022 г. в сравнение с 18% през 2021 г.; призовава ЕСВД всяка година да публикува разбивка по пол и националност на служителите на средни и висши ръководни длъжности; отново изразява своята загриженост относно географския дисбаланс при ръководителите на делегации и призовава ЕСВД да продължи да подобрява географския баланс, за да има подходящо представителство на гражданите от всички държави членки, което да отразява тяхното многообразие, като същевременно се зачитат компетенциите и заслугите на кандидатите;</w:t>
      </w:r>
    </w:p>
    <w:p w:rsidR="00F818E8" w:rsidRPr="005F781F" w:rsidRDefault="00A939AB" w:rsidP="00F818E8">
      <w:pPr>
        <w:pStyle w:val="NormalHanging12a"/>
        <w:rPr>
          <w:szCs w:val="24"/>
        </w:rPr>
      </w:pPr>
      <w:r>
        <w:t>38</w:t>
      </w:r>
      <w:r w:rsidR="00F818E8" w:rsidRPr="005F781F">
        <w:t>.</w:t>
      </w:r>
      <w:r w:rsidR="00F818E8" w:rsidRPr="005F781F">
        <w:tab/>
        <w:t xml:space="preserve">приветства насърчаването от ЕСВД на гъвкава, цифрова и основана на доверие работна среда с цел повишаване на ефективността, защита на здравето и благосъстоянието на служителите и подобряване на равновесието между професионалния и личния живот; отбелязва, че според правилата за работа от разстояние в ЕСВД през 2022 г. на служителите в централата е било разрешено да работят дистанционно до три дни седмично, докато служителите в делегациите са можели да работят дистанционно един ден седмично; отбелязва освен това влизането в сила през октомври 2023 г. на нови правила относно работата от разстояние, като преходните мерки включват възможност за разрешаване на 10 дни дистанционна работа извън мястото на месторабота както за служителите в централата, така и за тези в делегациите, като този срок може да бъде удължаван в зависимост от случая за служители със сложни семейни ситуации; отправя искане </w:t>
      </w:r>
      <w:r w:rsidR="00F818E8" w:rsidRPr="005F781F">
        <w:lastRenderedPageBreak/>
        <w:t>към ЕСВД да информира Парламента относно новите правила за дистанционна работа и начина, по който те се оценяват както от служителите, така и от ръководството;</w:t>
      </w:r>
    </w:p>
    <w:p w:rsidR="00F818E8" w:rsidRPr="005F781F" w:rsidRDefault="00A939AB" w:rsidP="00F818E8">
      <w:pPr>
        <w:pStyle w:val="NormalHanging12a"/>
        <w:rPr>
          <w:szCs w:val="24"/>
        </w:rPr>
      </w:pPr>
      <w:r>
        <w:t>39</w:t>
      </w:r>
      <w:r w:rsidR="00F818E8" w:rsidRPr="005F781F">
        <w:t>.</w:t>
      </w:r>
      <w:r w:rsidR="00F818E8" w:rsidRPr="005F781F">
        <w:tab/>
        <w:t>отбелязва със съжаление, че броят на служителите в дългосрочен отпуск по болест за повече от 50 дни се е увеличил от 91 служители през 2021 г. на 111 служители през 2022 г., което се равнява на увеличение с 22%; същевременно отбелязва, че ЕСВД е въвела няколко инициативи за осигуряване на подкрепа и за образоване на персонала относно стратегиите за избягване на професионалното изчерпване, включително възлагане на ръководителите на отговорността да гарантират, че разпределението на задачите е разумно и че в случай на професионално изчерпване се осигуряват насоки и специална организация на работното време, за да се улесни завръщането на работа; призовава ЕСВД да обмисли допълнително как дългосрочните заболявания, включително професионалното изчерпване, могат да бъдат предотвратени във възможно най-голяма степен, и да предприеме необходимите мерки за гарантиране на благосъстоянието на своите служители;</w:t>
      </w:r>
    </w:p>
    <w:p w:rsidR="00F818E8" w:rsidRPr="005F781F" w:rsidRDefault="00A939AB" w:rsidP="00F818E8">
      <w:pPr>
        <w:pStyle w:val="NormalHanging12a"/>
        <w:rPr>
          <w:szCs w:val="24"/>
        </w:rPr>
      </w:pPr>
      <w:r>
        <w:t>40</w:t>
      </w:r>
      <w:r w:rsidR="00F818E8" w:rsidRPr="005F781F">
        <w:t>.</w:t>
      </w:r>
      <w:r w:rsidR="00F818E8" w:rsidRPr="005F781F">
        <w:tab/>
        <w:t>приветства увеличените усилия, полагани от ЕСВД през 2022 г., и стартираните инициативи за повишаване на осведомеността относно тормоза, включително Седмицата за повишаване на осведомеността относно борбата с тормоза, проведена през октомври 2022 г., и приемането на нови Принципи на професионално поведение в ЕСВД; отбелязва, че през 2022 г. са подадени две искания за помощ във връзка с тормоз, като разглеждането на едното е приключено през 2022 г., а на другото — през 2023 г., и в двата случая без налагането на санкции; отбелязва, че разглеждането на други три искания за помощ от 2021 г. и едно от 2020 г. е приключило съответно през 2022 г. и 2023 г.; отбелязва освен това, че търсенето на услуги за медиация в ЕСВД се е увеличило през 2022 г., като случаите на потърсена медиация са достигнали 218 и са били предоставени 19 поверителни консултации; отправя искане Парламентът да бъде информиран относно развитието по отношение на броя на случаите на тормоз и дали в някои от тях са наложени санкции;</w:t>
      </w:r>
    </w:p>
    <w:p w:rsidR="00F818E8" w:rsidRPr="005F781F" w:rsidRDefault="00A939AB" w:rsidP="00F818E8">
      <w:pPr>
        <w:pStyle w:val="NormalHanging12a"/>
        <w:rPr>
          <w:szCs w:val="24"/>
        </w:rPr>
      </w:pPr>
      <w:r>
        <w:t>41</w:t>
      </w:r>
      <w:r w:rsidR="00F818E8" w:rsidRPr="005F781F">
        <w:t>.</w:t>
      </w:r>
      <w:r w:rsidR="00F818E8" w:rsidRPr="005F781F">
        <w:tab/>
        <w:t>отбелязва, че ЕСВД не знае точния брой на служителите с увреждания, но че в отговорите си в анонимно проучване от 2021 г. 24 от 1 075 респонденти са декларирали увреждане, а 23-ма са декларирали краткосрочно или временно увреждане; приветства изготвянето от делегациите на Съюза на „справки относно достъпността“, които предоставят информация относно пригодността и достъпността на помещенията на делегацията за хора с уреждания, за да могат служителите с увреждания да разполагат със съответната информация, преди да кандидатстват за командироване;</w:t>
      </w:r>
    </w:p>
    <w:p w:rsidR="00F818E8" w:rsidRPr="005F781F" w:rsidRDefault="00A939AB" w:rsidP="00F818E8">
      <w:pPr>
        <w:pStyle w:val="NormalHanging12a"/>
        <w:rPr>
          <w:szCs w:val="24"/>
        </w:rPr>
      </w:pPr>
      <w:r>
        <w:t>42</w:t>
      </w:r>
      <w:r w:rsidR="00F818E8" w:rsidRPr="005F781F">
        <w:t>.</w:t>
      </w:r>
      <w:r w:rsidR="00F818E8" w:rsidRPr="005F781F">
        <w:tab/>
        <w:t xml:space="preserve">приветства факта, че ЕСВД продължава да приема относително голям брой стажанти, като предлага 63 стажа по линия на Синята книга, четири краткосрочни стажа в централата и 365 стажа в 102 делегации; отбелязва, че един краткосрочен стаж в централата и 22 стажа в делегациите не са били финансирани и са предоставени на студенти, от които се изисква да преминат стаж като част от обучението си в замяна на академични кредити; приветства факта, че подобно на служителите, стажантите са се възползвали от хибридни схеми на работа в съответствие с насоките, издадени от генералния директор на ГД „Управление на ресурсите“; отново призовава всички институции да осигуряват разумно </w:t>
      </w:r>
      <w:r w:rsidR="00F818E8" w:rsidRPr="005F781F">
        <w:lastRenderedPageBreak/>
        <w:t>възнаграждение на всички свои стажанти;</w:t>
      </w:r>
    </w:p>
    <w:p w:rsidR="00F818E8" w:rsidRPr="005F781F" w:rsidRDefault="00A939AB" w:rsidP="00F818E8">
      <w:pPr>
        <w:pStyle w:val="NormalHanging12a"/>
        <w:rPr>
          <w:szCs w:val="24"/>
        </w:rPr>
      </w:pPr>
      <w:r>
        <w:t>43</w:t>
      </w:r>
      <w:r w:rsidR="00F818E8" w:rsidRPr="005F781F">
        <w:t>.</w:t>
      </w:r>
      <w:r w:rsidR="00F818E8" w:rsidRPr="005F781F">
        <w:tab/>
        <w:t>призовава за създаването на постоянна структура и за осигуряването на необходимите ресурси за Европейската дипломатическа академия, която може да допринесе за пълното развитие на автономна дипломация на ЕС, отразяваща гледната точка на ЕС; счита, че в бъдеще тази академия следва да включва система за подбор, набиране и обучение на европейски граждани, които са завършили висше образование и не са дипломати от държавите членки; подчертава необходимостта от проучване и вземане на решения относно начините за достъп до ЕСВД за лицата, завършили тази академия;</w:t>
      </w:r>
    </w:p>
    <w:p w:rsidR="00F818E8" w:rsidRPr="00547429" w:rsidRDefault="00F818E8" w:rsidP="00F818E8">
      <w:pPr>
        <w:pStyle w:val="NormalHanging12a"/>
        <w:rPr>
          <w:b/>
          <w:i/>
          <w:iCs/>
          <w:szCs w:val="24"/>
        </w:rPr>
      </w:pPr>
      <w:r w:rsidRPr="00547429">
        <w:rPr>
          <w:b/>
          <w:i/>
          <w:iCs/>
        </w:rPr>
        <w:t>Етична рамка и прозрачност</w:t>
      </w:r>
    </w:p>
    <w:p w:rsidR="00F818E8" w:rsidRPr="005F781F" w:rsidRDefault="00A939AB" w:rsidP="00F818E8">
      <w:pPr>
        <w:pStyle w:val="NormalHanging12a"/>
        <w:rPr>
          <w:szCs w:val="24"/>
        </w:rPr>
      </w:pPr>
      <w:r>
        <w:t>44</w:t>
      </w:r>
      <w:r w:rsidR="00F818E8" w:rsidRPr="005F781F">
        <w:t>.</w:t>
      </w:r>
      <w:r w:rsidR="00F818E8" w:rsidRPr="005F781F">
        <w:tab/>
        <w:t>приветства факта, че ЕСВД продължава да предоставя обучение по етика в рамките на въвеждащите курсове за новопостъпили служители и семинарите преди командироване за посланиците и административните ръководители на Съюза; изисква от ЕСВД да осигурява задължителни обучения, за да гарантира напомнянето на всички служители на важни принципи като етичност, прозрачност, конфликти на интереси и борба с измамите;</w:t>
      </w:r>
    </w:p>
    <w:p w:rsidR="00F818E8" w:rsidRPr="005F781F" w:rsidRDefault="00A939AB" w:rsidP="00F818E8">
      <w:pPr>
        <w:pStyle w:val="NormalHanging12a"/>
        <w:rPr>
          <w:szCs w:val="24"/>
        </w:rPr>
      </w:pPr>
      <w:r>
        <w:t>45</w:t>
      </w:r>
      <w:r w:rsidR="00F818E8" w:rsidRPr="005F781F">
        <w:t>.</w:t>
      </w:r>
      <w:r w:rsidR="00F818E8" w:rsidRPr="005F781F">
        <w:tab/>
        <w:t>изразява съжаление, че през 2022 г. OLAF е разследвала няколко свързани с измами случаи на присвояване на средства на Съюза от служители на делегация на Съюза и че някои от разследванията все още не са приключени; подчертава, че OLAF трябва да приключи своите разследвания, преди да могат да бъдат направени заключения, но същевременно насърчава ЕСВД да предприеме всички необходими стъпки за бързи последващи действия в отговор на евентуални критики от страна на OLAF;</w:t>
      </w:r>
    </w:p>
    <w:p w:rsidR="00F818E8" w:rsidRPr="005F781F" w:rsidRDefault="00A939AB" w:rsidP="00F818E8">
      <w:pPr>
        <w:pStyle w:val="NormalHanging12a"/>
        <w:rPr>
          <w:szCs w:val="24"/>
        </w:rPr>
      </w:pPr>
      <w:r>
        <w:t>46</w:t>
      </w:r>
      <w:r w:rsidR="00F818E8" w:rsidRPr="005F781F">
        <w:t>.</w:t>
      </w:r>
      <w:r w:rsidR="00F818E8" w:rsidRPr="005F781F">
        <w:tab/>
        <w:t>отбелязва, че през 2022 г. ЕСВД е разгледала 16 искания от Омбудсмана, от които 11 случая са свързани с административни процедури, а пет — с достъп до документи; отбелязва, че 13 от 16-те проверки са приключени през 2022 г. и че в 11 случая не е установено лошо администриране, докато в останалите 2 случая е установено съответно частично лошо администриране и лошо администриране; приветства стремежа на ЕСВД да постигне 100% изпълнение на предложенията или препоръките на Омбудсмана;</w:t>
      </w:r>
    </w:p>
    <w:p w:rsidR="00F818E8" w:rsidRPr="005F781F" w:rsidRDefault="00A939AB" w:rsidP="00F818E8">
      <w:pPr>
        <w:pStyle w:val="NormalHanging12a"/>
        <w:rPr>
          <w:szCs w:val="24"/>
        </w:rPr>
      </w:pPr>
      <w:r>
        <w:t>47</w:t>
      </w:r>
      <w:r w:rsidR="00F818E8" w:rsidRPr="005F781F">
        <w:t>.</w:t>
      </w:r>
      <w:r w:rsidR="00F818E8" w:rsidRPr="005F781F">
        <w:tab/>
        <w:t>приветства приемането от ЕСВД през октомври 2022 г. на „Принципи на професионалното поведение в ЕСВД“, в които се обобщава професионалното поведение, което се очаква от членовете на персонала, и се посочва, че те трябва да декларират всички конфликти на интереси, които могат да възникнат при изпълнението на техните задължения, като изпращат формуляр до екипа по етика на ЕСВД; отбелязва, че ЕСВД продължава да обмисля евентуални актуализации на етичната си рамка; отправя искане Парламентът да бъде държан в течение за всяко развитие в това отношение;</w:t>
      </w:r>
    </w:p>
    <w:p w:rsidR="00F818E8" w:rsidRPr="005F781F" w:rsidRDefault="00A939AB" w:rsidP="00F818E8">
      <w:pPr>
        <w:pStyle w:val="NormalHanging12a"/>
        <w:rPr>
          <w:szCs w:val="24"/>
        </w:rPr>
      </w:pPr>
      <w:r>
        <w:t>48</w:t>
      </w:r>
      <w:r w:rsidR="00F818E8" w:rsidRPr="005F781F">
        <w:t>.</w:t>
      </w:r>
      <w:r w:rsidR="00F818E8" w:rsidRPr="005F781F">
        <w:tab/>
        <w:t xml:space="preserve">подчертава, че въпреки че ЕСВД не е институция по смисъла на член 13 от Договора за ЕС и няма пряка роля в законодателството на Съюза, тя все пак оказва съществено влияние, свързано със законодателството на Съюза по отношение на решенията относно санкциите и договарянето на международни търговски споразумения, които имат значително регулаторно въздействие; поради това счита за изключително важно ЕСВД да се присъедини към регистъра за </w:t>
      </w:r>
      <w:r w:rsidR="00F818E8" w:rsidRPr="005F781F">
        <w:lastRenderedPageBreak/>
        <w:t>прозрачност на Съюза въз основа на споразумение за нивото на обслужване; приканва ЕСВД да публикува всички срещи с всички видове лобистки организации, включително тези на ръководители на делегации на Съюза, с цел повишаване на прозрачността;</w:t>
      </w:r>
    </w:p>
    <w:p w:rsidR="00F818E8" w:rsidRPr="005F781F" w:rsidRDefault="00A939AB" w:rsidP="00F818E8">
      <w:pPr>
        <w:pStyle w:val="NormalHanging12a"/>
        <w:rPr>
          <w:szCs w:val="24"/>
        </w:rPr>
      </w:pPr>
      <w:r>
        <w:t>49</w:t>
      </w:r>
      <w:r w:rsidR="00F818E8" w:rsidRPr="005F781F">
        <w:t>.</w:t>
      </w:r>
      <w:r w:rsidR="00F818E8" w:rsidRPr="005F781F">
        <w:tab/>
        <w:t>отбелязва, че през 2022 г. ЕСВД е получила четири декларации за конфликти на интереси и че те са били обработени професионално и на индивидуална основа; отбелязва, че ЕСВД е отказала разрешение за външна дейност и е освободила служител от задължения във връзка с въпроси, финансиране или управление на проекти, свързани с предишния му работодател;</w:t>
      </w:r>
    </w:p>
    <w:p w:rsidR="00F818E8" w:rsidRPr="005F781F" w:rsidRDefault="00A939AB" w:rsidP="00F818E8">
      <w:pPr>
        <w:pStyle w:val="NormalHanging12a"/>
        <w:rPr>
          <w:szCs w:val="24"/>
        </w:rPr>
      </w:pPr>
      <w:r>
        <w:t>50</w:t>
      </w:r>
      <w:r w:rsidR="00F818E8" w:rsidRPr="005F781F">
        <w:t>.</w:t>
      </w:r>
      <w:r w:rsidR="00F818E8" w:rsidRPr="005F781F">
        <w:tab/>
        <w:t>отбелязва, че през 2022 г. ЕСВД е получила три уведомления за намерения за постъпване на работа в частно дружество от общо 15 уведомления за последващи дейности след приключване на служебните правоотношения; отбелязва със задоволство, че на установено длъжностно лице е бил наложен двугодишен период на прекъсване за дейност като съветник за адвокатска фирма;</w:t>
      </w:r>
    </w:p>
    <w:p w:rsidR="00F818E8" w:rsidRPr="005F781F" w:rsidRDefault="00A939AB" w:rsidP="00F818E8">
      <w:pPr>
        <w:pStyle w:val="NormalHanging12a"/>
        <w:rPr>
          <w:szCs w:val="24"/>
        </w:rPr>
      </w:pPr>
      <w:r>
        <w:t>51</w:t>
      </w:r>
      <w:r w:rsidR="00F818E8" w:rsidRPr="005F781F">
        <w:t>.</w:t>
      </w:r>
      <w:r w:rsidR="00F818E8" w:rsidRPr="005F781F">
        <w:tab/>
        <w:t>призовава ЕСВД да наблюдава позициите, които се заемат от нейни бивши служители на висши длъжности и ръководители на делегации, предвид тяхната чувствителна политическа роля; приканва ЕСВД систематично да прави преглед на потенциално проблематичните преминавания към частния сектор или към организации от трети държави и да продължи да наблюдава професионалната дейност на своите бивши служители на висши длъжности до края на задължителния период на прекъсване, тъй като нерешените ситуации на конфликт на интереси могат да компрометират прилагането на високи етични стандарти в цялата администрация на Съюза;</w:t>
      </w:r>
    </w:p>
    <w:p w:rsidR="00F818E8" w:rsidRPr="005F781F" w:rsidRDefault="00A939AB" w:rsidP="00F818E8">
      <w:pPr>
        <w:pStyle w:val="NormalHanging12a"/>
        <w:rPr>
          <w:szCs w:val="24"/>
        </w:rPr>
      </w:pPr>
      <w:r>
        <w:t>52</w:t>
      </w:r>
      <w:r w:rsidR="00F818E8" w:rsidRPr="005F781F">
        <w:t>.</w:t>
      </w:r>
      <w:r w:rsidR="00F818E8" w:rsidRPr="005F781F">
        <w:tab/>
        <w:t>отбелязва със задоволство, че през 2023 г. ЕСВД е приела нова стратегия за борба с измамите, която понастоящем се изпълнява; отправя искане да бъде информиран за изпълнението и ще разгледа отново въпроса по време на освобождаването от отговорност във връзка с изпълнението на бюджета за 2023 г.; същевременно отбелязва, че ЕСВД, заедно с Комисията, вече предоставя курсове за обучение относно измамите и че това обучение е задължителна част от обучението преди командироване;</w:t>
      </w:r>
    </w:p>
    <w:p w:rsidR="00F818E8" w:rsidRPr="005F781F" w:rsidRDefault="00A939AB" w:rsidP="00F818E8">
      <w:pPr>
        <w:pStyle w:val="NormalHanging12a"/>
        <w:rPr>
          <w:szCs w:val="24"/>
        </w:rPr>
      </w:pPr>
      <w:r>
        <w:t>53</w:t>
      </w:r>
      <w:r w:rsidR="00F818E8" w:rsidRPr="005F781F">
        <w:t>.</w:t>
      </w:r>
      <w:r w:rsidR="00F818E8" w:rsidRPr="005F781F">
        <w:tab/>
        <w:t>отбелязва, че ЕСВД обмисля евентуалното приемане на самостоятелни разпоредби за прилагане относно външните дейности и задачи; отправя искане Парламентът да бъде информиран за всички резултати и припомня значението на такава рамка за защитата на имиджа и репутацията на Съюза, по-специално в случая на ръководителите на делегации;</w:t>
      </w:r>
    </w:p>
    <w:p w:rsidR="00F818E8" w:rsidRPr="005F781F" w:rsidRDefault="00A939AB" w:rsidP="00F818E8">
      <w:pPr>
        <w:pStyle w:val="NormalHanging12a"/>
        <w:rPr>
          <w:szCs w:val="24"/>
        </w:rPr>
      </w:pPr>
      <w:r>
        <w:t>54</w:t>
      </w:r>
      <w:r w:rsidR="00F818E8" w:rsidRPr="005F781F">
        <w:t>.</w:t>
      </w:r>
      <w:r w:rsidR="00F818E8" w:rsidRPr="005F781F">
        <w:tab/>
        <w:t>отбелязва, че в ЕСВД не са получени никакви сигнали за нередности и че ЕСВД прилага насоките на Комисията относно подаването на сигнали за нередности; въпреки това насърчава ЕСВД да приеме своя собствена политика, съобразена със специфичните си характеристики, по този важен въпрос, и да създаде сигурен канал за сигнализиране на потенциални нередности;</w:t>
      </w:r>
    </w:p>
    <w:p w:rsidR="00F818E8" w:rsidRPr="00C438B1" w:rsidRDefault="00F818E8" w:rsidP="00F818E8">
      <w:pPr>
        <w:spacing w:after="240"/>
        <w:rPr>
          <w:b/>
          <w:i/>
          <w:iCs/>
          <w:szCs w:val="24"/>
        </w:rPr>
      </w:pPr>
      <w:r w:rsidRPr="00C438B1">
        <w:rPr>
          <w:b/>
          <w:i/>
          <w:iCs/>
        </w:rPr>
        <w:t>Цифровизация, киберсигурност и защита на данните</w:t>
      </w:r>
    </w:p>
    <w:p w:rsidR="00F818E8" w:rsidRPr="005F781F" w:rsidRDefault="00A939AB" w:rsidP="00F818E8">
      <w:pPr>
        <w:pStyle w:val="NormalHanging12a"/>
        <w:rPr>
          <w:szCs w:val="24"/>
        </w:rPr>
      </w:pPr>
      <w:r>
        <w:t>55</w:t>
      </w:r>
      <w:r w:rsidR="00F818E8" w:rsidRPr="005F781F">
        <w:t>.</w:t>
      </w:r>
      <w:r w:rsidR="00F818E8" w:rsidRPr="005F781F">
        <w:tab/>
        <w:t xml:space="preserve">отбелязва, че ЕСВД управлява свой собствен оперативен център за сигурност, който отговаря за справянето с инциденти и се намира в централата: </w:t>
      </w:r>
      <w:r w:rsidR="00F818E8" w:rsidRPr="005F781F">
        <w:lastRenderedPageBreak/>
        <w:t>предупреждава, че през 2022 г. са били потвърдени 129 кибератаки срещу ЕСВД и отбелязва, че ЕСВД е много вероятна цел за субекти с огромни ресурси, които искат да създават трудности за институциите на Съюза, особено за субектите, спонсорирани от чужди държави; изразява съжаление, че поради своята сложност голям инцидент, свързан със сигурността, възникнал през 2022 г., е бил установен едва през 2023 г.; приветства факта, че не е компрометирана поверителна информация; призовава ЕСВД да продължи да поставя силен акцент върху киберсигурността и хибридните заплахи и да работи съвместно с другите институции на Съюза и държавите членки с цел установяване на такива заплахи и защита на инфраструктурата на Съюза във възможно най-голяма степен; подчертава, че осведомеността в областта на киберсигурността и наличието на програма за систематично обучение на целия персонал, включително ръководството, са ключови елементи от една ефективна рамка за киберсигурност;</w:t>
      </w:r>
    </w:p>
    <w:p w:rsidR="00F818E8" w:rsidRPr="005F781F" w:rsidRDefault="00A939AB" w:rsidP="00F818E8">
      <w:pPr>
        <w:pStyle w:val="NormalHanging12a"/>
        <w:rPr>
          <w:szCs w:val="24"/>
        </w:rPr>
      </w:pPr>
      <w:r>
        <w:t>56</w:t>
      </w:r>
      <w:r w:rsidR="00F818E8" w:rsidRPr="005F781F">
        <w:t>.</w:t>
      </w:r>
      <w:r w:rsidR="00F818E8" w:rsidRPr="005F781F">
        <w:tab/>
        <w:t>отбелязва със задоволство, че през 2022 г. няма започнати или приключени проверки или разследвания на Европейския надзорен орган по защита на данните (ЕНОЗД), свързани конкретно с ЕСВД; приветства решението на ЕСВД да не използва Microsoft 365 поради опасения, свързани със сигурността, а да продължи да използва вътрешни приложения за изчисления в облак, хоствани в Европа;</w:t>
      </w:r>
    </w:p>
    <w:p w:rsidR="00F818E8" w:rsidRPr="005F781F" w:rsidRDefault="00A939AB" w:rsidP="00F818E8">
      <w:pPr>
        <w:pStyle w:val="NormalHanging12a"/>
        <w:rPr>
          <w:szCs w:val="24"/>
        </w:rPr>
      </w:pPr>
      <w:r>
        <w:t>57</w:t>
      </w:r>
      <w:r w:rsidR="00F818E8" w:rsidRPr="005F781F">
        <w:t>.</w:t>
      </w:r>
      <w:r w:rsidR="00F818E8" w:rsidRPr="005F781F">
        <w:tab/>
        <w:t>отново отбелязва със задоволство, че ЕСВД е приела политика за хостинг и поддържа централно хранилище на всички информационни системи и технически услуги, свързани с работни приложения и услуги; отбелязва освен това, че в случая на информационни системи, хоствани на място, както системата, така и нейните данни са на сървъри, които са пряко притежавани и контролирани от ЕСВД, и че длъжностното лице по защита на данните гарантира наличието на надежден контрол за защита на данните; приветства факта, че информационните системи, хоствани в облак, съдържат клаузи за защита на данните въз основа на съвместни препоръки от ЕНОЗД и Комисията;</w:t>
      </w:r>
    </w:p>
    <w:p w:rsidR="00F818E8" w:rsidRPr="005F781F" w:rsidRDefault="00A939AB" w:rsidP="00F818E8">
      <w:pPr>
        <w:pStyle w:val="NormalHanging12a"/>
        <w:rPr>
          <w:b/>
          <w:i/>
          <w:szCs w:val="24"/>
        </w:rPr>
      </w:pPr>
      <w:r>
        <w:t>58</w:t>
      </w:r>
      <w:r w:rsidR="00F818E8" w:rsidRPr="005F781F">
        <w:t>.</w:t>
      </w:r>
      <w:r w:rsidR="00F818E8" w:rsidRPr="005F781F">
        <w:tab/>
        <w:t>отбелязва факта, че политиката на ЕСВД за цифрови решения с отворен код предполага, че отвореният код е приемливо решение, ако след извършването на оценка всички инструменти и приложения се считат за равностойни; отбелязва, че ЕСВД използва редица продукти с отворен код, за да запази изцяло собствеността си и контрола си върху своите данни;</w:t>
      </w:r>
    </w:p>
    <w:p w:rsidR="00F818E8" w:rsidRPr="005F781F" w:rsidRDefault="00A939AB" w:rsidP="00F818E8">
      <w:pPr>
        <w:pStyle w:val="NormalHanging12a"/>
        <w:rPr>
          <w:szCs w:val="24"/>
        </w:rPr>
      </w:pPr>
      <w:r>
        <w:t>59</w:t>
      </w:r>
      <w:r w:rsidR="00F818E8" w:rsidRPr="005F781F">
        <w:t>.</w:t>
      </w:r>
      <w:r w:rsidR="00F818E8" w:rsidRPr="005F781F">
        <w:tab/>
        <w:t>подчертава, че изправен пред нарастващи геополитически предизвикателства и кризи в световен мащаб, ЕС трябва да може да разчита на необходимата информация от първа ръка по глобални проблеми, възникващи отвъд неговите граници; призовава в тази връзка за укрепване на Центъра на ЕС за анализ на информация (EU INTCEN), Центъра на ЕСВД за реагиране при кризи и Сателитния център на Европейския съюз чрез увеличаване на техния персонал и финансовите им ресурси, както и на техните способности;</w:t>
      </w:r>
    </w:p>
    <w:p w:rsidR="00F818E8" w:rsidRPr="00C438B1" w:rsidRDefault="00F818E8" w:rsidP="00F818E8">
      <w:pPr>
        <w:spacing w:after="240"/>
        <w:rPr>
          <w:b/>
          <w:bCs/>
          <w:i/>
          <w:iCs/>
          <w:szCs w:val="24"/>
        </w:rPr>
      </w:pPr>
      <w:r w:rsidRPr="00C438B1">
        <w:rPr>
          <w:b/>
          <w:i/>
          <w:iCs/>
        </w:rPr>
        <w:t>Сгради и сигурност</w:t>
      </w:r>
    </w:p>
    <w:p w:rsidR="00F818E8" w:rsidRPr="005F781F" w:rsidRDefault="00A939AB" w:rsidP="00F818E8">
      <w:pPr>
        <w:pStyle w:val="NormalHanging12a"/>
        <w:rPr>
          <w:szCs w:val="24"/>
        </w:rPr>
      </w:pPr>
      <w:r>
        <w:t>60</w:t>
      </w:r>
      <w:r w:rsidR="00F818E8" w:rsidRPr="005F781F">
        <w:t>.</w:t>
      </w:r>
      <w:r w:rsidR="00F818E8" w:rsidRPr="005F781F">
        <w:tab/>
        <w:t>отбелязва, че ЕСВД заема и управлява много сложен сграден фонд, включващ централата на ЕСВД в Брюксел и голям брой офиси и резиденции за посланици по света; отбелязва, че в началото на 2022 г. ЕСВД в Брюксел е поела 8 334 m² сградно пространство на Комисията, което преди това е било заемано от EPSO;</w:t>
      </w:r>
    </w:p>
    <w:p w:rsidR="00F818E8" w:rsidRPr="005F781F" w:rsidRDefault="00A939AB" w:rsidP="00F818E8">
      <w:pPr>
        <w:pStyle w:val="NormalHanging12a"/>
        <w:rPr>
          <w:szCs w:val="24"/>
        </w:rPr>
      </w:pPr>
      <w:r>
        <w:lastRenderedPageBreak/>
        <w:t>61</w:t>
      </w:r>
      <w:r w:rsidR="00F818E8" w:rsidRPr="005F781F">
        <w:t>.</w:t>
      </w:r>
      <w:r w:rsidR="00F818E8" w:rsidRPr="005F781F">
        <w:tab/>
        <w:t>приветства факта, че през 2022 г. ЕСВД е притежавала около 58 000 m² офис пространство и приблизително 20% от 153-те резиденции за посланици; отбелязва, че ЕСВД изчислява общите икономии от притежаването на тези сгради на около 20 милиона евро годишно; силно приветства разработването от ЕСВД на политическа рамка за стратегия за закупуване, която беше представена на бюджетния орган през 2023 г.;</w:t>
      </w:r>
    </w:p>
    <w:p w:rsidR="00F818E8" w:rsidRPr="005F781F" w:rsidRDefault="00A939AB" w:rsidP="00F818E8">
      <w:pPr>
        <w:pStyle w:val="NormalHanging12a"/>
        <w:rPr>
          <w:szCs w:val="24"/>
        </w:rPr>
      </w:pPr>
      <w:r>
        <w:t>62</w:t>
      </w:r>
      <w:r w:rsidR="00F818E8" w:rsidRPr="005F781F">
        <w:t>.</w:t>
      </w:r>
      <w:r w:rsidR="00F818E8" w:rsidRPr="005F781F">
        <w:tab/>
        <w:t>отбелязва, че от 2020 г. насам ЕСВД развива своята политика за управление на работните пространства в посока на концепции за офис пространства за съвместна работа и с гъвкаво приложение както в централата, така и в делегациите; изисква това развитие да се извършва в тясно сътрудничество с персонала, за да се гарантира, че се вземат предвид всички основателни опасения и гледни точки;</w:t>
      </w:r>
    </w:p>
    <w:p w:rsidR="00F818E8" w:rsidRPr="005F781F" w:rsidRDefault="00A939AB" w:rsidP="00F818E8">
      <w:pPr>
        <w:pStyle w:val="NormalHanging12a"/>
        <w:rPr>
          <w:szCs w:val="24"/>
        </w:rPr>
      </w:pPr>
      <w:r>
        <w:t>63</w:t>
      </w:r>
      <w:r w:rsidR="00F818E8" w:rsidRPr="005F781F">
        <w:t>.</w:t>
      </w:r>
      <w:r w:rsidR="00F818E8" w:rsidRPr="005F781F">
        <w:tab/>
        <w:t>приветства факта, че ЕСВД поставя акцент върху достъпността на своя сграден фонд за хора с увреждания и намалена подвижност; отбелязва, че сградата в Брюксел вече отговаря на тези изисквания и приветства факта, че за делегациите на Съюза процедурите за подбор на ЕСВД включват строителство без препятствия като ключов критерий при избора на нови офис сгради;</w:t>
      </w:r>
    </w:p>
    <w:p w:rsidR="00F818E8" w:rsidRPr="005F781F" w:rsidRDefault="00A939AB" w:rsidP="00F818E8">
      <w:pPr>
        <w:pStyle w:val="NormalHanging12a"/>
        <w:rPr>
          <w:szCs w:val="24"/>
        </w:rPr>
      </w:pPr>
      <w:r>
        <w:t>64</w:t>
      </w:r>
      <w:r w:rsidR="00F818E8" w:rsidRPr="005F781F">
        <w:t>.</w:t>
      </w:r>
      <w:r w:rsidR="00F818E8" w:rsidRPr="005F781F">
        <w:tab/>
        <w:t>отбелязва, че основните допълнителни разходи за сигурност в делегациите на Съюза произтичат от завръщането на ЕСВД в Кабул като единствената европейска мисия в Кабул след идването на властта на талибаните, от влошаващото се положение със сигурността в държави и области като Украйна и Сахел и от необходимостта от повече оборудване за сигурност в делегациите; отбелязва, че разходите са били покрити чрез забавяне и отлагане на други разходи;</w:t>
      </w:r>
    </w:p>
    <w:p w:rsidR="00F818E8" w:rsidRPr="00C438B1" w:rsidRDefault="00F818E8" w:rsidP="00F818E8">
      <w:pPr>
        <w:spacing w:after="240"/>
        <w:rPr>
          <w:b/>
          <w:i/>
          <w:iCs/>
          <w:szCs w:val="24"/>
        </w:rPr>
      </w:pPr>
      <w:r w:rsidRPr="00C438B1">
        <w:rPr>
          <w:b/>
          <w:i/>
          <w:iCs/>
        </w:rPr>
        <w:t>Околна среда и устойчивост</w:t>
      </w:r>
    </w:p>
    <w:p w:rsidR="00F818E8" w:rsidRPr="005F781F" w:rsidRDefault="00A939AB" w:rsidP="00F818E8">
      <w:pPr>
        <w:pStyle w:val="NormalHanging12a"/>
        <w:rPr>
          <w:szCs w:val="24"/>
        </w:rPr>
      </w:pPr>
      <w:r>
        <w:t>65</w:t>
      </w:r>
      <w:r w:rsidR="00F818E8" w:rsidRPr="005F781F">
        <w:t>.</w:t>
      </w:r>
      <w:r w:rsidR="00F818E8" w:rsidRPr="005F781F">
        <w:tab/>
        <w:t>приветства подписването от ЕСВД през април 2022 г. на рамков договор за подпомагане на подготовката на Схема за управление на околната среда и одитиране (EMAS) за централата на ЕСВД и делегациите, като същевременно приема, че в много делегации ще трябва да се прилага по-лека система за управление на околната среда (СУОС) поради местни ограничения; отправя искане Парламентът да бъде информиран относно резултатите от прилагането на тези схеми както в централата, така и в делегациите;</w:t>
      </w:r>
    </w:p>
    <w:p w:rsidR="00F818E8" w:rsidRPr="005F781F" w:rsidRDefault="00A939AB" w:rsidP="00F818E8">
      <w:pPr>
        <w:pStyle w:val="NormalHanging12a"/>
        <w:rPr>
          <w:szCs w:val="24"/>
        </w:rPr>
      </w:pPr>
      <w:r>
        <w:t>66</w:t>
      </w:r>
      <w:r w:rsidR="00F818E8" w:rsidRPr="005F781F">
        <w:t>.</w:t>
      </w:r>
      <w:r w:rsidR="00F818E8" w:rsidRPr="005F781F">
        <w:tab/>
        <w:t>приветства факта, че към края на 2022 г. както сградата на централата на ЕСВД, така и 20 сгради на делегациите са били оборудвани с фотоволтаични панели и че три делегации са били оборудвани с такива панели през годината; насърчава ЕСВД да продължава да развива инсталациите от фотоволтаични панели във всички свои сгради, тъй като това намалява екологичния отпечатък на делегациите, спестява емисии, енергия и пари, намалява зависимостта от генератори и горива, както и демонстрира подкрепата на ЕСВД за „Зеления пакт“;</w:t>
      </w:r>
    </w:p>
    <w:p w:rsidR="00F818E8" w:rsidRPr="005F781F" w:rsidRDefault="00A939AB" w:rsidP="00F818E8">
      <w:pPr>
        <w:pStyle w:val="NormalHanging12a"/>
        <w:rPr>
          <w:szCs w:val="24"/>
        </w:rPr>
      </w:pPr>
      <w:r>
        <w:t>67</w:t>
      </w:r>
      <w:r w:rsidR="00F818E8" w:rsidRPr="005F781F">
        <w:t>.</w:t>
      </w:r>
      <w:r w:rsidR="00F818E8" w:rsidRPr="005F781F">
        <w:tab/>
        <w:t>приветства разработването през 2022 г. на първия план на ЕСВД за пътуване от и до работното място с цел увеличаване на дела на служителите, пътуващи до работното място по устойчив начин, удвояването на местата за паркиране на велосипеди в основната сграда на ЕСВД и продължаващото възстановяване на половината от разходите за обществен транспорт в Брюксел за служители, които не са заявили пропуск за паркиране на автомобил;</w:t>
      </w:r>
    </w:p>
    <w:p w:rsidR="00F818E8" w:rsidRPr="005F781F" w:rsidRDefault="00A939AB" w:rsidP="00F818E8">
      <w:pPr>
        <w:pStyle w:val="NormalHanging12a"/>
        <w:rPr>
          <w:b/>
          <w:i/>
          <w:szCs w:val="24"/>
        </w:rPr>
      </w:pPr>
      <w:r>
        <w:lastRenderedPageBreak/>
        <w:t>68</w:t>
      </w:r>
      <w:r w:rsidR="00F818E8" w:rsidRPr="005F781F">
        <w:t>.</w:t>
      </w:r>
      <w:r w:rsidR="00F818E8" w:rsidRPr="005F781F">
        <w:tab/>
        <w:t>изразява съжаление, че споразуменията за съвместно ползване на сгради понастоящем не включват клаузи, свързани с устойчивостта; отбелязва, че изричното включване в бъдеще на определени екологични стандарти и цели в тези споразумения също би било ясен сигнал за ангажимента на ЕСВД за осигуряване на екологична устойчивост; приканва ЕСВД да проучи осъществимите варианти и да насърчи повишаването на енергийната ефективност и в делегациите, които споделят обекти;</w:t>
      </w:r>
    </w:p>
    <w:p w:rsidR="00F818E8" w:rsidRPr="005F781F" w:rsidRDefault="00A939AB" w:rsidP="00F818E8">
      <w:pPr>
        <w:pStyle w:val="NormalHanging12a"/>
        <w:rPr>
          <w:szCs w:val="24"/>
        </w:rPr>
      </w:pPr>
      <w:r>
        <w:t>69</w:t>
      </w:r>
      <w:r w:rsidR="00F818E8" w:rsidRPr="005F781F">
        <w:t>.</w:t>
      </w:r>
      <w:r w:rsidR="00F818E8" w:rsidRPr="005F781F">
        <w:tab/>
        <w:t>припомня, че преките и косвените последици от изменението на климата подкопават мира и сигурността в световен мащаб, като същевременно задълбочават съществуващите уязвимости и неравенства и пораждат рискове за правата на човека; настоятелно призовава Комисията и ЕСВД да разработят и провеждат силна дипломация на ЕС по въпросите на климата с цел насърчаване международното сътрудничество за постигане на целите на Парижкото споразумение, засилване на външното измерение на Новия зелен пакт и предоставяне на осезаема подкрепа за амбициозни цели за намаляване на емисиите на CO</w:t>
      </w:r>
      <w:r w:rsidR="00F818E8" w:rsidRPr="005F781F">
        <w:rPr>
          <w:vertAlign w:val="subscript"/>
        </w:rPr>
        <w:t>2</w:t>
      </w:r>
      <w:r w:rsidR="00F818E8" w:rsidRPr="005F781F">
        <w:t xml:space="preserve"> в трети държави;</w:t>
      </w:r>
    </w:p>
    <w:p w:rsidR="00F818E8" w:rsidRPr="00C438B1" w:rsidRDefault="00F818E8" w:rsidP="00F818E8">
      <w:pPr>
        <w:spacing w:after="240"/>
        <w:rPr>
          <w:i/>
          <w:iCs/>
          <w:szCs w:val="24"/>
        </w:rPr>
      </w:pPr>
      <w:r w:rsidRPr="00C438B1">
        <w:rPr>
          <w:b/>
          <w:i/>
          <w:iCs/>
        </w:rPr>
        <w:t>Междуинституционално сътрудничество</w:t>
      </w:r>
    </w:p>
    <w:p w:rsidR="00F818E8" w:rsidRPr="005F781F" w:rsidRDefault="00A939AB" w:rsidP="00F818E8">
      <w:pPr>
        <w:pStyle w:val="NormalHanging12a"/>
        <w:rPr>
          <w:szCs w:val="24"/>
        </w:rPr>
      </w:pPr>
      <w:r>
        <w:t>70</w:t>
      </w:r>
      <w:r w:rsidR="00F818E8" w:rsidRPr="005F781F">
        <w:t>.</w:t>
      </w:r>
      <w:r w:rsidR="00F818E8" w:rsidRPr="005F781F">
        <w:tab/>
        <w:t>приветства факта, че през 2022 г. ЕСВД договори две споразумения за нивото на обслужване с Парламента: първото се отнася до командироването на длъжностни лица на Парламента в първоначално три делегации (в Организацията на обединените нации в Ню Йорк, в Африканския съюз в Етиопия и в АСЕАН в Джакарта), където командированите служители ще се интегрират в подсекцията по парламентарни въпроси на политическите секции на делегациите, а второто — до служителите на Парламента в бюрата за връзка в Лондон и Вашингтон;</w:t>
      </w:r>
    </w:p>
    <w:p w:rsidR="00F818E8" w:rsidRPr="005F781F" w:rsidRDefault="00A939AB" w:rsidP="00F818E8">
      <w:pPr>
        <w:pStyle w:val="NormalHanging12a"/>
        <w:rPr>
          <w:szCs w:val="24"/>
        </w:rPr>
      </w:pPr>
      <w:r>
        <w:t>71</w:t>
      </w:r>
      <w:r w:rsidR="00F818E8" w:rsidRPr="005F781F">
        <w:t>.</w:t>
      </w:r>
      <w:r w:rsidR="00F818E8" w:rsidRPr="005F781F">
        <w:tab/>
        <w:t>отбелязва, че процесът на замяна на междуинституционалното споразумение от 2002 г. между Парламента и Съвета относно достъпа на Парламента до класифицирана информация в областта на общата външна политика и политика на сигурност (ОВППС) продължава с много бавни темпове и че през 2022 г. и 2023 г. се е състояла само по една техническа среща;</w:t>
      </w:r>
    </w:p>
    <w:p w:rsidR="00F818E8" w:rsidRPr="005F781F" w:rsidRDefault="00A939AB" w:rsidP="00F818E8">
      <w:pPr>
        <w:pStyle w:val="NormalHanging12a"/>
        <w:rPr>
          <w:szCs w:val="24"/>
        </w:rPr>
      </w:pPr>
      <w:r>
        <w:t>72</w:t>
      </w:r>
      <w:r w:rsidR="00F818E8" w:rsidRPr="005F781F">
        <w:t>.</w:t>
      </w:r>
      <w:r w:rsidR="00F818E8" w:rsidRPr="005F781F">
        <w:tab/>
        <w:t>приветства факта, че ЕСВД заявява, че си сътрудничи отлично с OLAF, Европейската прокуратура и Палатата и че между тези институции се провеждат редовни срещи и обмен на информация; освен това приветства преговорите, които ЕСВД води за специални работни договорености между ЕСВД и Европейската прокуратура, и изисква Парламентът да бъде информиран за напредъка, постигнат в тези преговори;</w:t>
      </w:r>
    </w:p>
    <w:p w:rsidR="00F818E8" w:rsidRPr="005F781F" w:rsidRDefault="00A939AB" w:rsidP="00F818E8">
      <w:pPr>
        <w:pStyle w:val="NormalHanging12a"/>
        <w:rPr>
          <w:szCs w:val="24"/>
        </w:rPr>
      </w:pPr>
      <w:r>
        <w:t>73</w:t>
      </w:r>
      <w:r w:rsidR="00F818E8" w:rsidRPr="005F781F">
        <w:t>.</w:t>
      </w:r>
      <w:r w:rsidR="00F818E8" w:rsidRPr="005F781F">
        <w:tab/>
        <w:t>приканва ЕСВД да постави акцент в преговорите си за специални работни договорености с Европейската прокуратура върху правилата за възлагане на обществени поръчки, тъй като някои процедури могат да включват изключително чувствителна и дори свързана със сигурността информация;</w:t>
      </w:r>
    </w:p>
    <w:p w:rsidR="00F818E8" w:rsidRPr="005F781F" w:rsidRDefault="00A939AB" w:rsidP="00F818E8">
      <w:pPr>
        <w:pStyle w:val="NormalHanging12a"/>
        <w:rPr>
          <w:szCs w:val="24"/>
        </w:rPr>
      </w:pPr>
      <w:r>
        <w:t>74</w:t>
      </w:r>
      <w:r w:rsidR="00F818E8" w:rsidRPr="005F781F">
        <w:t>.</w:t>
      </w:r>
      <w:r w:rsidR="00F818E8" w:rsidRPr="005F781F">
        <w:tab/>
        <w:t>приветства активното сътрудничество, което ЕСВД поддържа с ЕНОЗД чрез своето длъжностно лице по защита на данните, включително чрез участие в кръгли маси, срещи за определяне на бъдещите цели на Мрежата на длъжностните лица по защита на данните (ДЛЗД) и чрез принос към работната група по международни трансфери;</w:t>
      </w:r>
    </w:p>
    <w:p w:rsidR="00F818E8" w:rsidRPr="005F781F" w:rsidRDefault="00A939AB" w:rsidP="00F818E8">
      <w:pPr>
        <w:pStyle w:val="NormalHanging12a"/>
        <w:rPr>
          <w:szCs w:val="24"/>
        </w:rPr>
      </w:pPr>
      <w:r>
        <w:lastRenderedPageBreak/>
        <w:t>75</w:t>
      </w:r>
      <w:r w:rsidR="00F818E8" w:rsidRPr="005F781F">
        <w:t>.</w:t>
      </w:r>
      <w:r w:rsidR="00F818E8" w:rsidRPr="005F781F">
        <w:tab/>
        <w:t>приветства тясното сътрудничество на ЕСВД с Омбудсмана и вече редовните покани до Омбудсмана за участие в семинарите на ЕСВД преди командироване на служители, за да представи своята работа с цел повишаване на осведомеността относно принципите на добро административно поведение;</w:t>
      </w:r>
    </w:p>
    <w:p w:rsidR="00F818E8" w:rsidRPr="00C438B1" w:rsidRDefault="00F818E8" w:rsidP="00F818E8">
      <w:pPr>
        <w:spacing w:after="240"/>
        <w:rPr>
          <w:b/>
          <w:i/>
          <w:iCs/>
          <w:szCs w:val="24"/>
        </w:rPr>
      </w:pPr>
      <w:r w:rsidRPr="00C438B1">
        <w:rPr>
          <w:b/>
          <w:i/>
          <w:iCs/>
        </w:rPr>
        <w:t>Комуникация</w:t>
      </w:r>
    </w:p>
    <w:p w:rsidR="00F818E8" w:rsidRPr="005F781F" w:rsidRDefault="00A939AB" w:rsidP="00F818E8">
      <w:pPr>
        <w:pStyle w:val="NormalHanging12a"/>
        <w:rPr>
          <w:szCs w:val="24"/>
        </w:rPr>
      </w:pPr>
      <w:r>
        <w:t>76</w:t>
      </w:r>
      <w:r w:rsidR="00F818E8" w:rsidRPr="005F781F">
        <w:t>.</w:t>
      </w:r>
      <w:r w:rsidR="00F818E8" w:rsidRPr="005F781F">
        <w:tab/>
        <w:t>отбелязва, че ЕСВД е разполагала с общ бюджет от 15,352 милиона евро за публични комуникационни и рекламни дейности и че публичните комуникационни дейности са се засилили значително вследствие на агресивната война на Русия срещу Украйна;</w:t>
      </w:r>
    </w:p>
    <w:p w:rsidR="00F818E8" w:rsidRPr="005F781F" w:rsidRDefault="00A939AB" w:rsidP="00F818E8">
      <w:pPr>
        <w:pStyle w:val="NormalHanging12a"/>
        <w:rPr>
          <w:szCs w:val="24"/>
        </w:rPr>
      </w:pPr>
      <w:r>
        <w:t>77</w:t>
      </w:r>
      <w:r w:rsidR="00F818E8" w:rsidRPr="005F781F">
        <w:t>.</w:t>
      </w:r>
      <w:r w:rsidR="00F818E8" w:rsidRPr="005F781F">
        <w:tab/>
        <w:t>приветства предприемането на мерки от ЕСВД за подобряване на корпоративното използване на социалните медии, включително за гарантиране на съответствието му с правилата за ИТ сигурност и защита на данните, за актуализиране на насоките и за спиране на платените реклами на корпоративния профил; освен това отбелязва издаването на насоки относно използването на социалните медии за лични цели;</w:t>
      </w:r>
    </w:p>
    <w:p w:rsidR="00F818E8" w:rsidRPr="005F781F" w:rsidRDefault="00A939AB" w:rsidP="00116084">
      <w:pPr>
        <w:pStyle w:val="NormalHanging12a"/>
        <w:rPr>
          <w:szCs w:val="24"/>
        </w:rPr>
      </w:pPr>
      <w:r>
        <w:t>78</w:t>
      </w:r>
      <w:r w:rsidR="00F818E8" w:rsidRPr="005F781F">
        <w:t>.</w:t>
      </w:r>
      <w:r w:rsidR="00F818E8" w:rsidRPr="005F781F">
        <w:tab/>
      </w:r>
      <w:r w:rsidR="00116084" w:rsidRPr="00116084">
        <w:t>приветства присъединяването на ЕСВД към платформата на социалните медии с отворен код EU Voice на ЕНОЗД и я насърчава да се присъедини и към платформата на ЕС за видеоматериали – EU Video, като се има предвид растящата ѝ популярност; приветства също така сътрудничеството на ЕСВД с други институции на Съюза с цел обмен на опит и най-добри практики;</w:t>
      </w:r>
    </w:p>
    <w:p w:rsidR="00F818E8" w:rsidRPr="005F781F" w:rsidRDefault="00A939AB" w:rsidP="00F818E8">
      <w:pPr>
        <w:pStyle w:val="NormalHanging12a"/>
        <w:rPr>
          <w:szCs w:val="24"/>
        </w:rPr>
      </w:pPr>
      <w:r>
        <w:t>79</w:t>
      </w:r>
      <w:r w:rsidR="00F818E8" w:rsidRPr="005F781F">
        <w:t>.</w:t>
      </w:r>
      <w:r w:rsidR="00F818E8" w:rsidRPr="005F781F">
        <w:tab/>
        <w:t>отбелязва, че бюджетът за борба с чуждестранното манипулиране на информация и вмешателство, включително с дейностите по дезинформация, възлиза на общо 7,150 милиона евро през 2022 г.; силно приветства значителните инвестиции на ЕСВД в укрепването и изграждането на устойчивост с цел противодействие на дезинформацията и външната намеса в работите на Съюза; подчертава, че ЕСВД е основната институция на Съюза, която отговаря за противодействието на чуждестранната намеса;</w:t>
      </w:r>
    </w:p>
    <w:p w:rsidR="00F818E8" w:rsidRPr="005F781F" w:rsidRDefault="00A939AB" w:rsidP="00F818E8">
      <w:pPr>
        <w:pStyle w:val="NormalHanging12a"/>
        <w:rPr>
          <w:szCs w:val="24"/>
        </w:rPr>
      </w:pPr>
      <w:r>
        <w:t>80</w:t>
      </w:r>
      <w:r w:rsidR="00F818E8" w:rsidRPr="005F781F">
        <w:t>.</w:t>
      </w:r>
      <w:r w:rsidR="00F818E8" w:rsidRPr="005F781F">
        <w:tab/>
        <w:t>отбелязва, че Оперативната група на ЕС за стратегическа комуникация с Източното съседство е увеличила усилията си за изобличаване на кампаниите за дезинформация на Кремъл след започването на агресивната война на Русия срещу Украйна и че оперативната група поддържа тясно сътрудничество с независими медии и партньори от гражданското общество в партньорските държави от Източна Европа за борба с чуждестранното манипулиране на информация и вмешателство и че избрано съдържание на уебсайта EUvsDisinfo е било преведено на множество езици, включително на някои от официалните езици на Съюза, както и на украински, грузински, арменски, азербайджански, руски и китайски;</w:t>
      </w:r>
    </w:p>
    <w:p w:rsidR="00F818E8" w:rsidRPr="005F781F" w:rsidRDefault="00A939AB" w:rsidP="00F818E8">
      <w:pPr>
        <w:pStyle w:val="NormalHanging12a"/>
        <w:rPr>
          <w:szCs w:val="24"/>
        </w:rPr>
      </w:pPr>
      <w:r>
        <w:t>81</w:t>
      </w:r>
      <w:r w:rsidR="00F818E8" w:rsidRPr="005F781F">
        <w:t>.</w:t>
      </w:r>
      <w:r w:rsidR="00F818E8" w:rsidRPr="005F781F">
        <w:tab/>
        <w:t xml:space="preserve">призовава делегациите на Съюза в съседните ни държави и в държавите от Западните Балкани да увеличат усилията си в подкрепа на по-активна и ефективна комуникационна политика относно европейската перспектива, както и да бъдат готови да окажат възможно най-добрата помощ на държавите, осъществяващи продемократични и проевропейски реформи; призовава делегациите на Съюза да прилагат по-надежден и основан на заслуги подход, следващ критериите от Копенхаген, по-специално по отношение на принципите на правовата държава, демокрацията и защитата на правата на човека, особено като се има предвид </w:t>
      </w:r>
      <w:r w:rsidR="00F818E8" w:rsidRPr="005F781F">
        <w:lastRenderedPageBreak/>
        <w:t>ограниченият напредък, постигнат от някои държави от Западните Балкани;</w:t>
      </w:r>
    </w:p>
    <w:p w:rsidR="00F818E8" w:rsidRPr="005F781F" w:rsidRDefault="00A939AB" w:rsidP="00F818E8">
      <w:pPr>
        <w:pStyle w:val="NormalHanging12a"/>
        <w:rPr>
          <w:szCs w:val="24"/>
        </w:rPr>
      </w:pPr>
      <w:r>
        <w:t>82</w:t>
      </w:r>
      <w:r w:rsidR="00F818E8" w:rsidRPr="005F781F">
        <w:t>.</w:t>
      </w:r>
      <w:r w:rsidR="00F818E8" w:rsidRPr="005F781F">
        <w:tab/>
        <w:t>призовава делегациите на Съюза да засилят подкрепата за истинските защитници на демокрацията и за гражданското общество в Западните Балкани, както и решително и публично да осъждат действията на представители на нелиберални и недемократични сили, които противоречат на интересите на Съюза и да гарантират, че изпълнението на финансирането по ИПП III е в съответствие с целите на Съюза;</w:t>
      </w:r>
    </w:p>
    <w:p w:rsidR="00F818E8" w:rsidRPr="005F781F" w:rsidRDefault="00A939AB" w:rsidP="00F818E8">
      <w:pPr>
        <w:pStyle w:val="NormalHanging12a"/>
        <w:rPr>
          <w:b/>
          <w:i/>
          <w:szCs w:val="24"/>
        </w:rPr>
      </w:pPr>
      <w:r>
        <w:t>83</w:t>
      </w:r>
      <w:r w:rsidR="00F818E8" w:rsidRPr="005F781F">
        <w:t>.</w:t>
      </w:r>
      <w:r w:rsidR="00F818E8" w:rsidRPr="005F781F">
        <w:tab/>
        <w:t>продължава да насърчава делегациите на Съюза да популяризират и да взаимодействат с местните участници, организации на гражданското общество и социални партньори в трети държави с цел стимулиране на социалния диалог и диалога по принципите на правовата държава, основните права и борбата срещу корупцията, както и да разобличават кампаниите за дезинформация, застрашаващи демократичните ценности, организирани от чуждестранни държавни участници; отправя искане към делегациите на Съюза да предоставят логистична и технологична подкрепа на защитниците на правата на човека и коренното население, по-специално на жените; призовава делегациите на Съюза да продължат своите координирани усилия за повишаване на видимостта на финансираните от ЕС проекти, особено в държавите кандидатки; призовава делегациите на Съюза да спазват високи стандарти за отчетност и прозрачност при взаимодействията си с регионални партньори; отправя искане към делегациите на Съюза да гарантират, че средствата на Съюза в трети държави се използват ефективно, ефикасно и в съответствие с ценностите, политиките и финансовите правила на Съюза, залегнали във Финансовия регламент, който определя прозрачността като един от своите водещи бюджетни принципи, и в други законодателни актове; изисква да се обърне специално внимание на избягването на ненужни бюрократични препятствия и да се подкрепят бенефициерите за предотвратяване на грешки, които се отразяват върху процента грешки; призовава ЕСВД да засили делегациите на Съюза в държавите от Източното партньорство; подчертава необходимостта от оказване на помощ на държавите от Източното партньорство, които страдат от военната агресия на Русия срещу Украйна, и от по-ефективно информиране на техните граждани за политиките на Съюза;</w:t>
      </w:r>
    </w:p>
    <w:p w:rsidR="00F818E8" w:rsidRPr="005F781F" w:rsidRDefault="00A939AB" w:rsidP="00F818E8">
      <w:pPr>
        <w:pStyle w:val="NormalHanging12a"/>
        <w:rPr>
          <w:szCs w:val="24"/>
        </w:rPr>
      </w:pPr>
      <w:r>
        <w:t>84</w:t>
      </w:r>
      <w:r w:rsidR="00F818E8" w:rsidRPr="005F781F">
        <w:t>.</w:t>
      </w:r>
      <w:r w:rsidR="00F818E8" w:rsidRPr="005F781F">
        <w:tab/>
        <w:t>настоятелно призовава ЕСВД и делегациите на Съюза да следят отблизо състоянието на демокрацията в различните държави и да предоставят логистична и технологична подкрепа на защитниците на правата на човека и на коренното население, по-специално на жените;</w:t>
      </w:r>
    </w:p>
    <w:p w:rsidR="00F818E8" w:rsidRPr="00C438B1" w:rsidRDefault="00F818E8" w:rsidP="00F818E8">
      <w:pPr>
        <w:pStyle w:val="NormalHanging12a"/>
        <w:rPr>
          <w:b/>
          <w:i/>
          <w:iCs/>
          <w:szCs w:val="24"/>
        </w:rPr>
      </w:pPr>
      <w:r w:rsidRPr="00C438B1">
        <w:rPr>
          <w:b/>
          <w:i/>
          <w:iCs/>
        </w:rPr>
        <w:t>Агресивната война на Русия срещу Украйна и положението в Газа</w:t>
      </w:r>
    </w:p>
    <w:p w:rsidR="00F818E8" w:rsidRPr="005F781F" w:rsidRDefault="00A939AB" w:rsidP="00F818E8">
      <w:pPr>
        <w:pStyle w:val="NormalHanging12a"/>
        <w:rPr>
          <w:szCs w:val="24"/>
        </w:rPr>
      </w:pPr>
      <w:r>
        <w:t>85</w:t>
      </w:r>
      <w:r w:rsidR="00F818E8" w:rsidRPr="005F781F">
        <w:t>.</w:t>
      </w:r>
      <w:r w:rsidR="00F818E8" w:rsidRPr="005F781F">
        <w:tab/>
        <w:t>отбелязва, че руската агресивна война срещу Украйна оказа много силно въздействие върху бюджета на ЕСВД чрез нарастващата инфлация, не на последно място в много части на света, в които ЕСВД извършва по-голямата част от своите операции, като тази инфлация също така доведе до увеличаване на разходите за сигурност и ИТ оборудване;</w:t>
      </w:r>
    </w:p>
    <w:p w:rsidR="00F818E8" w:rsidRPr="005F781F" w:rsidRDefault="00A939AB" w:rsidP="00F818E8">
      <w:pPr>
        <w:pStyle w:val="NormalHanging12a"/>
        <w:rPr>
          <w:szCs w:val="24"/>
        </w:rPr>
      </w:pPr>
      <w:r>
        <w:t>86</w:t>
      </w:r>
      <w:r w:rsidR="00F818E8" w:rsidRPr="005F781F">
        <w:t>.</w:t>
      </w:r>
      <w:r w:rsidR="00F818E8" w:rsidRPr="005F781F">
        <w:tab/>
        <w:t xml:space="preserve">отбелязва, че преди инвазията в делегацията в Украйна са работили 108 служители, от които около 60% местни и 40% командировани, и че служителите с несъществени функции са били помолени да напуснат седмица преди инвазията; </w:t>
      </w:r>
      <w:r w:rsidR="00F818E8" w:rsidRPr="005F781F">
        <w:lastRenderedPageBreak/>
        <w:t>отбелязва освен това, че в делегацията на Съюза в Русия през януари са работили 25 командировани и 36 местни служители, както и двама служители от ЕИБ, и че през април 2022 г. Русия е експулсирала 18 членове на делегацията, след като 19 членове на руската постоянна мисия в ЕС в Брюксел бяха обявени за персона нон грата;</w:t>
      </w:r>
    </w:p>
    <w:p w:rsidR="00F818E8" w:rsidRPr="005F781F" w:rsidRDefault="00A939AB" w:rsidP="00F818E8">
      <w:pPr>
        <w:pStyle w:val="NormalHanging12a"/>
        <w:rPr>
          <w:szCs w:val="24"/>
        </w:rPr>
      </w:pPr>
      <w:r>
        <w:t>87</w:t>
      </w:r>
      <w:r w:rsidR="00F818E8" w:rsidRPr="005F781F">
        <w:t>.</w:t>
      </w:r>
      <w:r w:rsidR="00F818E8" w:rsidRPr="005F781F">
        <w:tab/>
        <w:t>подчертава, че Съюзът трябва да продължи да развива стабилна и устойчива външна служба с ясно политическо ръководство, за да се справя с настоящите предизвикателства и да гарантира съгласуваността на външната политика на Съюза; отбелязва в тази връзка ключовата роля на ЕСВД и особено на нейните делегации в контекста на геополитическото въздействие на руската агресия срещу Украйна и произтичащата необходимост от подкрепа на държавите партньори по света и от укрепване на глобалните алианси; подчертава значението на поддържането на силна политическа ангажираност и използването на ефекта на лоста на двустранно равнище, както и в публичната и културната дипломация, за насърчаването на ценностите, принципите и интересите на Съюза и в стратегическата комуникация за борба с дезинформацията; призовава за по-ефикасно използване на наличните ресурси, за да се избегне излагането на риск на ефективността на Съюза на международната сцена; призовава ЕСВД да продължи усилията си за модернизиране на подходите си и за инвестиране в нови умения и способности, като същевременно увеличава ефективността на разходите;</w:t>
      </w:r>
    </w:p>
    <w:p w:rsidR="00F818E8" w:rsidRPr="005F781F" w:rsidRDefault="00A939AB" w:rsidP="00F818E8">
      <w:pPr>
        <w:pStyle w:val="NormalHanging12a"/>
        <w:rPr>
          <w:szCs w:val="24"/>
        </w:rPr>
      </w:pPr>
      <w:r>
        <w:t>88</w:t>
      </w:r>
      <w:r w:rsidR="00F818E8" w:rsidRPr="005F781F">
        <w:t>.</w:t>
      </w:r>
      <w:r w:rsidR="00F818E8" w:rsidRPr="005F781F">
        <w:tab/>
        <w:t>изразява изключителна загриженост относно взаимоотношенията, които унгарският министър-председател Виктор Орбан продължава да поддържа с руския президент, въпреки санкциите на ЕС и заповедта за арест на Международния наказателен съд за военни престъпления срещу последния в контекста на продължаващата руска агресия срещу Украйна; подчертава, че съгласно член 24, параграф 3 от Договора за ЕС държавите членки имат задължението да подкрепят активно и безрезервно външната политика и политиката на сигурност на Съюза в дух на лоялност и взаимна солидарност и да се въздържат от всяко действие, което е в противоречие с интересите на Съюза; припомня на върховния представител/заместник-председател неговото задължение да гарантира спазването от страна на държавите членки на принципите по този член и в този контекст го приканва да докладва пред Парламента своите виждания за политиката на унгарския министър-председател спрямо Русия и спазването на този член от Договора, както и за евентуалните действия, които е предприел;</w:t>
      </w:r>
    </w:p>
    <w:p w:rsidR="00F818E8" w:rsidRDefault="00A939AB" w:rsidP="00F818E8">
      <w:pPr>
        <w:pStyle w:val="NormalHanging12a"/>
      </w:pPr>
      <w:r>
        <w:t>89</w:t>
      </w:r>
      <w:r w:rsidR="00F818E8" w:rsidRPr="005F781F">
        <w:t>.</w:t>
      </w:r>
      <w:r w:rsidR="00F818E8" w:rsidRPr="005F781F">
        <w:tab/>
        <w:t>решително осъжда използването на сексуално и основано на пола насилие като средство за водене на война в Украйна, като го квалифицира като военно престъпление; посочва растящия брой съобщения за трафик на хора, сексуално насилие, експлоатация, изнасилване и малтретиране, на които са изложени жените и децата, бягащи от Украйна към Европа; призовава държавите членки да обърнат внимание на специфичните нужди на жените и момичетата в приемните центрове, като осигуряват незабавен достъп до услуги в помощ на жертви на насилие, основано на пола; настоятелно призовава Съюза и приемащите и транзитните държави да гарантират достъп до услуги в областта на сексуалното и репродуктивното здраве и права; призовава Съюза и неговите държави членки да подкрепят организациите, предоставящи услуги и подслон на жертви на насилие, основано на пола, сред жените и момичетата бежанци;</w:t>
      </w:r>
    </w:p>
    <w:p w:rsidR="00116084" w:rsidRPr="005F781F" w:rsidRDefault="00A939AB" w:rsidP="00F818E8">
      <w:pPr>
        <w:pStyle w:val="NormalHanging12a"/>
        <w:rPr>
          <w:szCs w:val="24"/>
        </w:rPr>
      </w:pPr>
      <w:r>
        <w:rPr>
          <w:szCs w:val="24"/>
        </w:rPr>
        <w:lastRenderedPageBreak/>
        <w:t>90</w:t>
      </w:r>
      <w:r w:rsidR="00116084" w:rsidRPr="00116084">
        <w:rPr>
          <w:szCs w:val="24"/>
        </w:rPr>
        <w:t>.</w:t>
      </w:r>
      <w:r w:rsidR="00116084" w:rsidRPr="00116084">
        <w:rPr>
          <w:szCs w:val="24"/>
        </w:rPr>
        <w:tab/>
        <w:t>остро осъжда всяко свързано с конфликти сексуално насилие; подчертава, че тази целенасочена форма на брутално сексуално насилие и изтезания срещу жени се използва систематично при военни конфликти с цел тероризиране и унижаване на населението; в този контекст изразява дълбоко съжаление за ужасяващите страдания, причинени на жени по време на нападенията на Хамас на 7 октомври 2023 г., при които членове на Хамас са извършила изнасилвания и други форми на жестоки сексуални изтезания срещу жени и момичета от израелски и друг произход според доклад на мисията на ООН и доклад на Асоциацията на центрове за бързо реагиране при кризи, свързани с изнасилвания в Израел; съжалява за липсата на лидерство от страна на ЕСВД и Комисията и забавените им реакции на тези жестоки нападения; настоятелно призовава ЕСВД да създаде по-добра глобална стратегия за предотвратяване на такива нападения, да предоставя подкрепа на жените, живеещи в райони с висок риск и зони на конфликт, и да продължи да осъжда публично всякакъв вид сексуално насилие и изтезания;</w:t>
      </w:r>
    </w:p>
    <w:p w:rsidR="00F818E8" w:rsidRPr="005F781F" w:rsidRDefault="00A939AB" w:rsidP="00657FBC">
      <w:pPr>
        <w:pStyle w:val="NormalHanging12a"/>
        <w:rPr>
          <w:b/>
          <w:i/>
          <w:szCs w:val="24"/>
        </w:rPr>
      </w:pPr>
      <w:r>
        <w:t>91</w:t>
      </w:r>
      <w:r w:rsidR="00F818E8" w:rsidRPr="005F781F">
        <w:t>.</w:t>
      </w:r>
      <w:r w:rsidR="00F818E8" w:rsidRPr="005F781F">
        <w:tab/>
        <w:t xml:space="preserve">приветства свикването от върховния представител/заместник-председател на извънредно заседание на Съвета по външни работи на 10 октомври </w:t>
      </w:r>
      <w:r w:rsidR="004058D2">
        <w:t xml:space="preserve">2023 г. </w:t>
      </w:r>
      <w:bookmarkStart w:id="9" w:name="_GoBack"/>
      <w:bookmarkEnd w:id="9"/>
      <w:r w:rsidR="00F818E8" w:rsidRPr="005F781F">
        <w:t xml:space="preserve">малко след ужасяващото терористично нападение на Хамас срещу Израел; освен това отбелязва, че на извънредното си заседание от 17 октомври 2023 г. Европейският съвет прие обща позиция относно положението в Израел и Палестина, включително план за действие с няколко работни направления; </w:t>
      </w:r>
      <w:r w:rsidR="00657FBC" w:rsidRPr="00657FBC">
        <w:t>е изключително разтревожен от спекулациите, че парите на данъкоплатците от Съюза може да се използват от Хамас, вместо в помощ на палестинското цивилно население, и поради това отбелязва със задоволство, че прегледът на помощта на Съюза за Палестина, завър</w:t>
      </w:r>
      <w:r w:rsidR="00657FBC">
        <w:t>шен през ноември 2023 г.</w:t>
      </w:r>
      <w:r w:rsidR="00657FBC">
        <w:rPr>
          <w:rStyle w:val="FootnoteReference"/>
        </w:rPr>
        <w:footnoteReference w:id="7"/>
      </w:r>
      <w:r w:rsidR="00657FBC" w:rsidRPr="00657FBC">
        <w:t>, показа, че до момента не са открити доказателства за отклоняване на средства за непредвидени цели; изразява загриженост във връзка със сериозните обвинения на Израел, че 12 служители на UNRWA може да са участвали в терористични актове и отбелязва, че UNRWA незабавно е прекратила договорите им, започнала е разследване на ООН и е назначила независима група за преглед; отбелязва постоянното наблюдение от страна на ЕСВД за предотвратяване на злоупотребата със средства на Съюза от терористични организации като Хамас; отбелязва, че прегледът също така показа, че Комисията прилага подходящи предварителни и последващи проверки и че въведените предпазни мерки са ефективни; припомня незаменимата роля на UNRWA в хуманитарната реакция в Газа и за гарантиране на непрекъснатото предоставяне на жизненоважни услуги на уязвими палестински бежанци в Близкия изток; изисква от ЕСВД да информира Парламента относно промени в сътрудничеството между ЕСВД и Палестинската власт;</w:t>
      </w:r>
    </w:p>
    <w:p w:rsidR="00E365E1" w:rsidRPr="005F781F" w:rsidRDefault="00A939AB" w:rsidP="00C438B1">
      <w:pPr>
        <w:pStyle w:val="NormalHanging12a"/>
      </w:pPr>
      <w:r>
        <w:t>92</w:t>
      </w:r>
      <w:r w:rsidR="00F818E8" w:rsidRPr="005F781F">
        <w:t>.</w:t>
      </w:r>
      <w:r w:rsidR="00F818E8" w:rsidRPr="005F781F">
        <w:tab/>
        <w:t>признава, че агресивната война на Русия срещу Украйна и положението в Газа представляват финансова тежест за държавите членки, европейските граждани и функционирането на европейските институции; подчертава значението на преразглеждането на разпределените финансови ресурси за Украйна и Газа, за да се гарантира прозрачност и отчетност при използването на тези средства.</w:t>
      </w:r>
    </w:p>
    <w:sectPr w:rsidR="00E365E1" w:rsidRPr="005F781F" w:rsidSect="005F781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947" w:rsidRPr="005F781F" w:rsidRDefault="00274947">
      <w:r w:rsidRPr="005F781F">
        <w:separator/>
      </w:r>
    </w:p>
  </w:endnote>
  <w:endnote w:type="continuationSeparator" w:id="0">
    <w:p w:rsidR="00274947" w:rsidRPr="005F781F" w:rsidRDefault="00274947">
      <w:r w:rsidRPr="005F78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8E8" w:rsidRPr="005F781F" w:rsidRDefault="00F818E8" w:rsidP="00A5489E">
    <w:pPr>
      <w:pStyle w:val="EPFooter"/>
    </w:pPr>
    <w:r w:rsidRPr="005F781F">
      <w:t>PE</w:t>
    </w:r>
    <w:r w:rsidRPr="005F781F">
      <w:rPr>
        <w:rStyle w:val="HideTWBExt"/>
      </w:rPr>
      <w:t>&lt;NoPE&gt;</w:t>
    </w:r>
    <w:r w:rsidRPr="005F781F">
      <w:t>753.482</w:t>
    </w:r>
    <w:r w:rsidRPr="005F781F">
      <w:rPr>
        <w:rStyle w:val="HideTWBExt"/>
      </w:rPr>
      <w:t>&lt;/NoPE&gt;&lt;Version&gt;</w:t>
    </w:r>
    <w:r w:rsidRPr="005F781F">
      <w:t>v02-00</w:t>
    </w:r>
    <w:r w:rsidRPr="005F781F">
      <w:rPr>
        <w:rStyle w:val="HideTWBExt"/>
      </w:rPr>
      <w:t>&lt;/Version&gt;</w:t>
    </w:r>
    <w:r w:rsidRPr="005F781F">
      <w:tab/>
    </w:r>
    <w:r w:rsidRPr="005F781F">
      <w:fldChar w:fldCharType="begin"/>
    </w:r>
    <w:r w:rsidRPr="005F781F">
      <w:instrText xml:space="preserve"> PAGE  \* MERGEFORMAT </w:instrText>
    </w:r>
    <w:r w:rsidRPr="005F781F">
      <w:fldChar w:fldCharType="separate"/>
    </w:r>
    <w:r w:rsidR="005F781F" w:rsidRPr="005F781F">
      <w:rPr>
        <w:noProof/>
      </w:rPr>
      <w:t>2</w:t>
    </w:r>
    <w:r w:rsidRPr="005F781F">
      <w:fldChar w:fldCharType="end"/>
    </w:r>
    <w:r w:rsidRPr="005F781F">
      <w:t>/</w:t>
    </w:r>
    <w:r w:rsidR="004058D2">
      <w:fldChar w:fldCharType="begin"/>
    </w:r>
    <w:r w:rsidR="004058D2">
      <w:instrText xml:space="preserve"> NUMPAGES  \* MERGEFORMAT </w:instrText>
    </w:r>
    <w:r w:rsidR="004058D2">
      <w:fldChar w:fldCharType="separate"/>
    </w:r>
    <w:r w:rsidR="005F781F" w:rsidRPr="005F781F">
      <w:rPr>
        <w:noProof/>
      </w:rPr>
      <w:t>4</w:t>
    </w:r>
    <w:r w:rsidR="004058D2">
      <w:rPr>
        <w:noProof/>
      </w:rPr>
      <w:fldChar w:fldCharType="end"/>
    </w:r>
    <w:r w:rsidRPr="005F781F">
      <w:tab/>
    </w:r>
    <w:r w:rsidRPr="005F781F">
      <w:rPr>
        <w:rStyle w:val="HideTWBExt"/>
      </w:rPr>
      <w:t>&lt;PathFdR&gt;</w:t>
    </w:r>
    <w:r w:rsidRPr="005F781F">
      <w:t>RR\1298778BG.docx</w:t>
    </w:r>
    <w:r w:rsidRPr="005F781F">
      <w:rPr>
        <w:rStyle w:val="HideTWBExt"/>
      </w:rPr>
      <w:t>&lt;/PathFdR&gt;</w:t>
    </w:r>
  </w:p>
  <w:p w:rsidR="00F818E8" w:rsidRPr="005F781F" w:rsidRDefault="00F818E8" w:rsidP="00A5489E">
    <w:pPr>
      <w:pStyle w:val="EPFooter2"/>
    </w:pPr>
    <w:r w:rsidRPr="005F781F">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8E8" w:rsidRPr="005F781F" w:rsidRDefault="00F818E8" w:rsidP="00A5489E">
    <w:pPr>
      <w:pStyle w:val="EPFooter"/>
    </w:pPr>
    <w:r w:rsidRPr="005F781F">
      <w:rPr>
        <w:rStyle w:val="HideTWBExt"/>
      </w:rPr>
      <w:t>&lt;PathFdR&gt;</w:t>
    </w:r>
    <w:r w:rsidRPr="005F781F">
      <w:t>RR\1298778BG.docx</w:t>
    </w:r>
    <w:r w:rsidRPr="005F781F">
      <w:rPr>
        <w:rStyle w:val="HideTWBExt"/>
      </w:rPr>
      <w:t>&lt;/PathFdR&gt;</w:t>
    </w:r>
    <w:r w:rsidRPr="005F781F">
      <w:tab/>
    </w:r>
    <w:r w:rsidRPr="005F781F">
      <w:tab/>
      <w:t>PE</w:t>
    </w:r>
    <w:r w:rsidRPr="005F781F">
      <w:rPr>
        <w:rStyle w:val="HideTWBExt"/>
      </w:rPr>
      <w:t>&lt;NoPE&gt;</w:t>
    </w:r>
    <w:r w:rsidRPr="005F781F">
      <w:t>753.482</w:t>
    </w:r>
    <w:r w:rsidRPr="005F781F">
      <w:rPr>
        <w:rStyle w:val="HideTWBExt"/>
      </w:rPr>
      <w:t>&lt;/NoPE&gt;&lt;Version&gt;</w:t>
    </w:r>
    <w:r w:rsidRPr="005F781F">
      <w:t>v02-00</w:t>
    </w:r>
    <w:r w:rsidRPr="005F781F">
      <w:rPr>
        <w:rStyle w:val="HideTWBExt"/>
      </w:rPr>
      <w:t>&lt;/Version&gt;</w:t>
    </w:r>
  </w:p>
  <w:p w:rsidR="00F818E8" w:rsidRPr="005F781F" w:rsidRDefault="00F818E8" w:rsidP="00A5489E">
    <w:pPr>
      <w:pStyle w:val="EPFooter2"/>
    </w:pPr>
    <w:r w:rsidRPr="005F781F">
      <w:t>BG</w:t>
    </w:r>
    <w:r w:rsidRPr="005F781F">
      <w:tab/>
    </w:r>
    <w:r w:rsidRPr="005F781F">
      <w:rPr>
        <w:b w:val="0"/>
        <w:i/>
        <w:color w:val="C0C0C0"/>
        <w:sz w:val="22"/>
      </w:rPr>
      <w:t>Единство в многообразието</w:t>
    </w:r>
    <w:r w:rsidRPr="005F781F">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947" w:rsidRPr="005F781F" w:rsidRDefault="00274947">
      <w:r w:rsidRPr="005F781F">
        <w:separator/>
      </w:r>
    </w:p>
  </w:footnote>
  <w:footnote w:type="continuationSeparator" w:id="0">
    <w:p w:rsidR="00274947" w:rsidRPr="005F781F" w:rsidRDefault="00274947">
      <w:r w:rsidRPr="005F781F">
        <w:continuationSeparator/>
      </w:r>
    </w:p>
  </w:footnote>
  <w:footnote w:id="1">
    <w:p w:rsidR="00F818E8" w:rsidRPr="005F781F" w:rsidRDefault="00F818E8" w:rsidP="005F781F">
      <w:pPr>
        <w:pStyle w:val="FootnoteText"/>
        <w:ind w:left="567" w:hanging="567"/>
        <w:rPr>
          <w:sz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OВ L 45, 24.2.2022 г.</w:t>
      </w:r>
    </w:p>
  </w:footnote>
  <w:footnote w:id="2">
    <w:p w:rsidR="00F818E8" w:rsidRPr="005F781F" w:rsidRDefault="00F818E8" w:rsidP="005F781F">
      <w:pPr>
        <w:pStyle w:val="FootnoteText"/>
        <w:ind w:left="567" w:hanging="567"/>
        <w:rPr>
          <w:sz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ОВ C, C/2023/2, 12.10.2023 г.</w:t>
      </w:r>
    </w:p>
  </w:footnote>
  <w:footnote w:id="3">
    <w:p w:rsidR="00F818E8" w:rsidRPr="005F781F" w:rsidRDefault="00F818E8" w:rsidP="005F781F">
      <w:pPr>
        <w:pStyle w:val="FootnoteText"/>
        <w:ind w:left="567" w:hanging="567"/>
        <w:rPr>
          <w:sz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ОВ C, C/2023/103, 4.10.2023 г.</w:t>
      </w:r>
    </w:p>
  </w:footnote>
  <w:footnote w:id="4">
    <w:p w:rsidR="00F818E8" w:rsidRPr="005F781F" w:rsidRDefault="00F818E8" w:rsidP="005F781F">
      <w:pPr>
        <w:pStyle w:val="FootnoteText"/>
        <w:ind w:left="567" w:hanging="567"/>
        <w:rPr>
          <w:sz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ОВ C, C/2023/112, 12.10.2023 г.</w:t>
      </w:r>
    </w:p>
  </w:footnote>
  <w:footnote w:id="5">
    <w:p w:rsidR="00F818E8" w:rsidRPr="005F781F" w:rsidRDefault="00F818E8" w:rsidP="005F781F">
      <w:pPr>
        <w:pStyle w:val="FootnoteText"/>
        <w:ind w:left="567" w:hanging="567"/>
        <w:rPr>
          <w:sz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ОВ L 193, 30.7.2018 г., стр. 1.</w:t>
      </w:r>
    </w:p>
  </w:footnote>
  <w:footnote w:id="6">
    <w:p w:rsidR="00F818E8" w:rsidRPr="005F781F" w:rsidRDefault="00F818E8" w:rsidP="005F781F">
      <w:pPr>
        <w:pStyle w:val="FootnoteText"/>
        <w:ind w:left="567" w:hanging="567"/>
        <w:rPr>
          <w:iCs/>
          <w:sz w:val="24"/>
          <w:szCs w:val="24"/>
          <w:lang w:val="bg-BG"/>
        </w:rPr>
      </w:pPr>
      <w:r w:rsidRPr="005F781F">
        <w:rPr>
          <w:rStyle w:val="FootnoteReference"/>
          <w:sz w:val="24"/>
          <w:lang w:val="bg-BG"/>
        </w:rPr>
        <w:footnoteRef/>
      </w:r>
      <w:r w:rsidR="005F781F" w:rsidRPr="005F781F">
        <w:rPr>
          <w:sz w:val="24"/>
          <w:lang w:val="bg-BG"/>
        </w:rPr>
        <w:t xml:space="preserve"> </w:t>
      </w:r>
      <w:r w:rsidR="005F781F" w:rsidRPr="005F781F">
        <w:rPr>
          <w:sz w:val="24"/>
          <w:lang w:val="bg-BG"/>
        </w:rPr>
        <w:tab/>
      </w:r>
      <w:r w:rsidRPr="005F781F">
        <w:rPr>
          <w:sz w:val="24"/>
          <w:lang w:val="bg-BG"/>
        </w:rPr>
        <w:t>OВ L 201, 3.8.2010 г., стр. 30.</w:t>
      </w:r>
    </w:p>
  </w:footnote>
  <w:footnote w:id="7">
    <w:p w:rsidR="00657FBC" w:rsidRPr="00C438B1" w:rsidRDefault="00657FBC" w:rsidP="00C438B1">
      <w:pPr>
        <w:pStyle w:val="FootnoteText"/>
        <w:ind w:left="567" w:hanging="567"/>
        <w:rPr>
          <w:sz w:val="24"/>
          <w:szCs w:val="24"/>
          <w:lang w:val="en-GB"/>
        </w:rPr>
      </w:pPr>
      <w:r w:rsidRPr="00367438">
        <w:rPr>
          <w:rStyle w:val="FootnoteReference"/>
          <w:sz w:val="24"/>
          <w:szCs w:val="24"/>
        </w:rPr>
        <w:footnoteRef/>
      </w:r>
      <w:r w:rsidRPr="00367438">
        <w:rPr>
          <w:sz w:val="24"/>
          <w:szCs w:val="24"/>
        </w:rPr>
        <w:t xml:space="preserve"> </w:t>
      </w:r>
      <w:r w:rsidRPr="00367438">
        <w:rPr>
          <w:sz w:val="24"/>
          <w:szCs w:val="24"/>
          <w:lang w:val="en-GB"/>
        </w:rPr>
        <w:tab/>
        <w:t>Съобщение до Комисията „Review of ongoing financial assistance for Palestine“ (Преглед на текущата финансова помощ за Палестина), C(2023)8300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8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BG"/>
    <w:docVar w:name="dvnumam" w:val="0"/>
    <w:docVar w:name="dvpe" w:val="753.482"/>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общия бюджет на Европейския съюз за финансовата 2022 година, раздел X ‒ Европейска служба за външна дейност(2023/2134(DEC))"/>
  </w:docVars>
  <w:rsids>
    <w:rsidRoot w:val="00274947"/>
    <w:rsid w:val="00002272"/>
    <w:rsid w:val="00064002"/>
    <w:rsid w:val="000677B9"/>
    <w:rsid w:val="000831BA"/>
    <w:rsid w:val="000A42CC"/>
    <w:rsid w:val="000D16BA"/>
    <w:rsid w:val="000E7DD9"/>
    <w:rsid w:val="0010095E"/>
    <w:rsid w:val="00116084"/>
    <w:rsid w:val="00125B37"/>
    <w:rsid w:val="00187494"/>
    <w:rsid w:val="001F32AE"/>
    <w:rsid w:val="00274947"/>
    <w:rsid w:val="002767FF"/>
    <w:rsid w:val="002B18FE"/>
    <w:rsid w:val="002B5493"/>
    <w:rsid w:val="00343214"/>
    <w:rsid w:val="00361C00"/>
    <w:rsid w:val="00367438"/>
    <w:rsid w:val="00395FA1"/>
    <w:rsid w:val="003E15D4"/>
    <w:rsid w:val="004058D2"/>
    <w:rsid w:val="00411CCE"/>
    <w:rsid w:val="0041666E"/>
    <w:rsid w:val="00421060"/>
    <w:rsid w:val="00471C19"/>
    <w:rsid w:val="004867E3"/>
    <w:rsid w:val="00494A28"/>
    <w:rsid w:val="004C0004"/>
    <w:rsid w:val="004C5D52"/>
    <w:rsid w:val="0050519A"/>
    <w:rsid w:val="005072A1"/>
    <w:rsid w:val="00514517"/>
    <w:rsid w:val="00545827"/>
    <w:rsid w:val="00547429"/>
    <w:rsid w:val="00560270"/>
    <w:rsid w:val="005C2568"/>
    <w:rsid w:val="005F781F"/>
    <w:rsid w:val="006037C0"/>
    <w:rsid w:val="00657FB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9AB"/>
    <w:rsid w:val="00AB441E"/>
    <w:rsid w:val="00AB6293"/>
    <w:rsid w:val="00AE0928"/>
    <w:rsid w:val="00AF3B82"/>
    <w:rsid w:val="00B12E95"/>
    <w:rsid w:val="00B22876"/>
    <w:rsid w:val="00B558F0"/>
    <w:rsid w:val="00BD48FE"/>
    <w:rsid w:val="00BD7BD8"/>
    <w:rsid w:val="00BE6ADC"/>
    <w:rsid w:val="00C05BFE"/>
    <w:rsid w:val="00C23CD4"/>
    <w:rsid w:val="00C438B1"/>
    <w:rsid w:val="00C61C0C"/>
    <w:rsid w:val="00C941CB"/>
    <w:rsid w:val="00CC2357"/>
    <w:rsid w:val="00CE42D3"/>
    <w:rsid w:val="00CF071A"/>
    <w:rsid w:val="00D058B8"/>
    <w:rsid w:val="00D56C11"/>
    <w:rsid w:val="00D834A0"/>
    <w:rsid w:val="00D872DF"/>
    <w:rsid w:val="00D91E21"/>
    <w:rsid w:val="00DA0583"/>
    <w:rsid w:val="00DA7FCD"/>
    <w:rsid w:val="00E365E1"/>
    <w:rsid w:val="00E47AC4"/>
    <w:rsid w:val="00E820A4"/>
    <w:rsid w:val="00E970E4"/>
    <w:rsid w:val="00EB006A"/>
    <w:rsid w:val="00EB4772"/>
    <w:rsid w:val="00ED169E"/>
    <w:rsid w:val="00ED4235"/>
    <w:rsid w:val="00F04346"/>
    <w:rsid w:val="00F075DC"/>
    <w:rsid w:val="00F149E9"/>
    <w:rsid w:val="00F5134D"/>
    <w:rsid w:val="00F74202"/>
    <w:rsid w:val="00F818E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3573B"/>
  <w15:chartTrackingRefBased/>
  <w15:docId w15:val="{C116E64E-A18D-44F0-AB08-32E76AC1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818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818E8"/>
    <w:pPr>
      <w:spacing w:before="480" w:after="240"/>
    </w:pPr>
  </w:style>
  <w:style w:type="paragraph" w:customStyle="1" w:styleId="PageHeading">
    <w:name w:val="PageHeading"/>
    <w:basedOn w:val="Normal"/>
    <w:rsid w:val="00F818E8"/>
    <w:pPr>
      <w:keepNext/>
      <w:spacing w:after="480"/>
      <w:jc w:val="center"/>
    </w:pPr>
    <w:rPr>
      <w:rFonts w:ascii="Arial" w:hAnsi="Arial" w:cs="Arial"/>
      <w:b/>
    </w:rPr>
  </w:style>
  <w:style w:type="paragraph" w:customStyle="1" w:styleId="NormalBold">
    <w:name w:val="NormalBold"/>
    <w:basedOn w:val="Normal"/>
    <w:rsid w:val="00F818E8"/>
    <w:rPr>
      <w:b/>
    </w:rPr>
  </w:style>
  <w:style w:type="paragraph" w:customStyle="1" w:styleId="NormalHanging12a">
    <w:name w:val="NormalHanging12a"/>
    <w:basedOn w:val="Normal"/>
    <w:link w:val="NormalHanging12aChar"/>
    <w:qFormat/>
    <w:rsid w:val="00F818E8"/>
    <w:pPr>
      <w:spacing w:after="240"/>
      <w:ind w:left="567" w:hanging="567"/>
    </w:pPr>
  </w:style>
  <w:style w:type="paragraph" w:styleId="Header">
    <w:name w:val="header"/>
    <w:basedOn w:val="Normal"/>
    <w:link w:val="HeaderChar"/>
    <w:rsid w:val="00F818E8"/>
    <w:pPr>
      <w:tabs>
        <w:tab w:val="center" w:pos="4513"/>
        <w:tab w:val="right" w:pos="9026"/>
      </w:tabs>
    </w:pPr>
  </w:style>
  <w:style w:type="character" w:customStyle="1" w:styleId="HeaderChar">
    <w:name w:val="Header Char"/>
    <w:basedOn w:val="DefaultParagraphFont"/>
    <w:link w:val="Header"/>
    <w:rsid w:val="00F818E8"/>
    <w:rPr>
      <w:sz w:val="24"/>
      <w:lang w:val="bg-BG"/>
    </w:rPr>
  </w:style>
  <w:style w:type="paragraph" w:customStyle="1" w:styleId="EPFooter">
    <w:name w:val="EPFooter"/>
    <w:basedOn w:val="Normal"/>
    <w:rsid w:val="00F818E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818E8"/>
    <w:rPr>
      <w:sz w:val="24"/>
      <w:lang w:val="bg-BG"/>
    </w:rPr>
  </w:style>
  <w:style w:type="paragraph" w:customStyle="1" w:styleId="Normal12a">
    <w:name w:val="Normal12a"/>
    <w:basedOn w:val="Normal"/>
    <w:rsid w:val="00F818E8"/>
    <w:pPr>
      <w:spacing w:after="240"/>
    </w:pPr>
  </w:style>
  <w:style w:type="paragraph" w:customStyle="1" w:styleId="PageHeadingNotTOC">
    <w:name w:val="PageHeadingNotTOC"/>
    <w:basedOn w:val="Normal"/>
    <w:rsid w:val="00F818E8"/>
    <w:pPr>
      <w:keepNext/>
      <w:spacing w:after="480"/>
      <w:jc w:val="center"/>
    </w:pPr>
    <w:rPr>
      <w:rFonts w:ascii="Arial" w:hAnsi="Arial" w:cs="Arial"/>
      <w:b/>
    </w:rPr>
  </w:style>
  <w:style w:type="paragraph" w:customStyle="1" w:styleId="Normal24a">
    <w:name w:val="Normal24a"/>
    <w:basedOn w:val="Normal"/>
    <w:rsid w:val="00F818E8"/>
    <w:pPr>
      <w:spacing w:after="480"/>
    </w:pPr>
  </w:style>
  <w:style w:type="paragraph" w:styleId="BalloonText">
    <w:name w:val="Balloon Text"/>
    <w:basedOn w:val="Normal"/>
    <w:link w:val="BalloonTextChar"/>
    <w:rsid w:val="00E47AC4"/>
    <w:rPr>
      <w:rFonts w:ascii="Segoe UI" w:hAnsi="Segoe UI" w:cs="Segoe UI"/>
      <w:sz w:val="18"/>
      <w:szCs w:val="18"/>
    </w:rPr>
  </w:style>
  <w:style w:type="character" w:customStyle="1" w:styleId="BalloonTextChar">
    <w:name w:val="Balloon Text Char"/>
    <w:basedOn w:val="DefaultParagraphFont"/>
    <w:link w:val="BalloonText"/>
    <w:rsid w:val="00E47AC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9BB90-8026-467C-82EE-53E748B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8797</Words>
  <Characters>50147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2024-05-21T12:12:00Z</dcterms:created>
  <dcterms:modified xsi:type="dcterms:W3CDTF">2024-05-21T12:12:00Z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P9_TA(2024)0236_</vt:lpwstr>
  </property>
  <property fmtid="{D5CDD505-2E9C-101B-9397-08002B2CF9AE}" pid="4" name="&lt;Type&gt;">
    <vt:lpwstr>RR</vt:lpwstr>
  </property>
</Properties>
</file>