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6C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6C73" w:rsidRDefault="0028226F" w:rsidP="0010095E">
            <w:pPr>
              <w:pStyle w:val="EPName"/>
            </w:pPr>
            <w:r w:rsidRPr="00CD6C73">
              <w:t>Evropský parlament</w:t>
            </w:r>
          </w:p>
          <w:p w:rsidR="00751A4A" w:rsidRPr="00CD6C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6C7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D6C73" w:rsidRDefault="00187494" w:rsidP="0010095E">
            <w:pPr>
              <w:pStyle w:val="EPLogo"/>
            </w:pPr>
            <w:r w:rsidRPr="00CD6C7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6C73" w:rsidRDefault="00D058B8" w:rsidP="004C5D52">
      <w:pPr>
        <w:pStyle w:val="LineTop"/>
      </w:pPr>
    </w:p>
    <w:p w:rsidR="00680577" w:rsidRPr="00CD6C73" w:rsidRDefault="0028226F" w:rsidP="00680577">
      <w:pPr>
        <w:pStyle w:val="EPBodyTA1"/>
      </w:pPr>
      <w:r w:rsidRPr="00CD6C73">
        <w:t>PŘIJATÉ TEXTY</w:t>
      </w:r>
    </w:p>
    <w:p w:rsidR="00D058B8" w:rsidRPr="00CD6C73" w:rsidRDefault="00D058B8" w:rsidP="00D058B8">
      <w:pPr>
        <w:pStyle w:val="LineBottom"/>
      </w:pPr>
    </w:p>
    <w:p w:rsidR="0028226F" w:rsidRPr="00CD6C73" w:rsidRDefault="0028226F" w:rsidP="0028226F">
      <w:pPr>
        <w:pStyle w:val="ATHeading1"/>
      </w:pPr>
      <w:bookmarkStart w:id="0" w:name="TANumber"/>
      <w:r w:rsidRPr="00CD6C73">
        <w:t>P9_TA(2024)0</w:t>
      </w:r>
      <w:r w:rsidR="00876FA4">
        <w:t>236</w:t>
      </w:r>
      <w:bookmarkEnd w:id="0"/>
    </w:p>
    <w:p w:rsidR="0028226F" w:rsidRDefault="0028226F" w:rsidP="0028226F">
      <w:pPr>
        <w:pStyle w:val="ATHeading2"/>
      </w:pPr>
      <w:bookmarkStart w:id="1" w:name="title"/>
      <w:r w:rsidRPr="00CD6C73">
        <w:t>Udělení absolutoria za rok 2022: souhrnný rozpočet EU – Evropská služba pro vnější činnost</w:t>
      </w:r>
      <w:bookmarkEnd w:id="1"/>
    </w:p>
    <w:p w:rsidR="0028226F" w:rsidRPr="00CD6C73" w:rsidRDefault="0028226F" w:rsidP="0028226F">
      <w:pPr>
        <w:rPr>
          <w:i/>
          <w:vanish/>
        </w:rPr>
      </w:pPr>
      <w:r w:rsidRPr="00CD6C73">
        <w:rPr>
          <w:i/>
        </w:rPr>
        <w:fldChar w:fldCharType="begin"/>
      </w:r>
      <w:r w:rsidRPr="00CD6C73">
        <w:rPr>
          <w:i/>
        </w:rPr>
        <w:instrText xml:space="preserve"> TC"(</w:instrText>
      </w:r>
      <w:bookmarkStart w:id="2" w:name="DocNumber"/>
      <w:r w:rsidRPr="00CD6C73">
        <w:rPr>
          <w:i/>
        </w:rPr>
        <w:instrText>A9-0102/2024</w:instrText>
      </w:r>
      <w:bookmarkEnd w:id="2"/>
      <w:r w:rsidRPr="00CD6C73">
        <w:rPr>
          <w:i/>
        </w:rPr>
        <w:instrText xml:space="preserve"> - Zpravodajka: Monika Hohlmeier)"\l3 \n&gt; \* MERGEFORMAT </w:instrText>
      </w:r>
      <w:r w:rsidRPr="00CD6C73">
        <w:rPr>
          <w:i/>
        </w:rPr>
        <w:fldChar w:fldCharType="end"/>
      </w:r>
    </w:p>
    <w:p w:rsidR="0028226F" w:rsidRPr="00CD6C73" w:rsidRDefault="0028226F" w:rsidP="0028226F">
      <w:pPr>
        <w:rPr>
          <w:vanish/>
        </w:rPr>
      </w:pPr>
      <w:bookmarkStart w:id="3" w:name="Commission"/>
      <w:r w:rsidRPr="00CD6C73">
        <w:rPr>
          <w:vanish/>
        </w:rPr>
        <w:t>Výbor pro rozpočtovou kontrolu</w:t>
      </w:r>
      <w:bookmarkEnd w:id="3"/>
    </w:p>
    <w:p w:rsidR="0028226F" w:rsidRPr="00CD6C73" w:rsidRDefault="0028226F" w:rsidP="0028226F">
      <w:pPr>
        <w:rPr>
          <w:vanish/>
        </w:rPr>
      </w:pPr>
      <w:bookmarkStart w:id="4" w:name="PE"/>
      <w:r w:rsidRPr="00CD6C73">
        <w:rPr>
          <w:vanish/>
        </w:rPr>
        <w:t>PE753.482</w:t>
      </w:r>
      <w:bookmarkEnd w:id="4"/>
    </w:p>
    <w:p w:rsidR="0028226F" w:rsidRPr="00CD6C73" w:rsidRDefault="0028226F" w:rsidP="0028226F">
      <w:pPr>
        <w:pStyle w:val="ATHeading3"/>
      </w:pPr>
      <w:bookmarkStart w:id="5" w:name="Sujet"/>
      <w:r w:rsidRPr="00CD6C73">
        <w:t>1. Rozhodnutí Evropského parlamentu ze dne 11. dubna 2024 o udělení absolutoria za plnění souhrnného rozpočtu Evropské unie na rozpočtový rok 2022, oddíl X – Evropská služba pro vnější činnost</w:t>
      </w:r>
      <w:bookmarkEnd w:id="5"/>
      <w:r w:rsidRPr="00CD6C73">
        <w:t xml:space="preserve"> </w:t>
      </w:r>
      <w:bookmarkStart w:id="6" w:name="References"/>
      <w:r w:rsidRPr="00CD6C73">
        <w:t>(2023/2134(DEC))</w:t>
      </w:r>
      <w:bookmarkEnd w:id="6"/>
    </w:p>
    <w:p w:rsidR="00F847ED" w:rsidRPr="00CD6C73" w:rsidRDefault="00F847ED" w:rsidP="00F847ED">
      <w:pPr>
        <w:pStyle w:val="EPComma"/>
      </w:pPr>
      <w:bookmarkStart w:id="7" w:name="TextBodyBegin"/>
      <w:bookmarkEnd w:id="7"/>
      <w:r w:rsidRPr="00CD6C73">
        <w:rPr>
          <w:i/>
        </w:rPr>
        <w:t>Evropský parlament</w:t>
      </w:r>
      <w:r w:rsidRPr="00CD6C73">
        <w:t>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 ohledem na souhrnný rozpočet Evropské unie na rozpočtový rok 2022</w:t>
      </w:r>
      <w:r w:rsidRPr="00CD6C73">
        <w:rPr>
          <w:rStyle w:val="FootnoteReference"/>
        </w:rPr>
        <w:footnoteReference w:id="1"/>
      </w:r>
      <w:r w:rsidRPr="00CD6C73">
        <w:t>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 ohledem na konsolidovanou účetní závěrku Evropské unie za rozpočtový rok 2022 (COM(2023)0391 – C9</w:t>
      </w:r>
      <w:r w:rsidRPr="00CD6C73">
        <w:noBreakHyphen/>
        <w:t>0253/2023)</w:t>
      </w:r>
      <w:r w:rsidRPr="00CD6C73">
        <w:rPr>
          <w:rStyle w:val="FootnoteReference"/>
        </w:rPr>
        <w:footnoteReference w:id="2"/>
      </w:r>
      <w:r w:rsidRPr="00CD6C73">
        <w:t>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 ohledem na výroční zprávu Evropské služby pro vnější činnost orgánu příslušnému pro udělení absolutoria o provedených interních auditech v roce 2022,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 ohledem na výroční zprávu Účetního dvora o plnění rozpočtu na rozpočtový rok 2022 spolu s odpověďmi orgánů</w:t>
      </w:r>
      <w:r w:rsidRPr="00CD6C73">
        <w:rPr>
          <w:rStyle w:val="FootnoteReference"/>
        </w:rPr>
        <w:footnoteReference w:id="3"/>
      </w:r>
      <w:r w:rsidRPr="00CD6C73">
        <w:t>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 ohledem na prohlášení o věrohodnosti</w:t>
      </w:r>
      <w:r w:rsidRPr="00CD6C73">
        <w:rPr>
          <w:rStyle w:val="FootnoteReference"/>
        </w:rPr>
        <w:footnoteReference w:id="4"/>
      </w:r>
      <w:r w:rsidRPr="00CD6C73">
        <w:t xml:space="preserve"> účetnictví a o legalitě a správnosti uskutečněných operací, které předložil Účetní dvůr za rozpočtový rok 2022 podle článku 287 Smlouvy o fungování Evropské unie,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 ohledem na čl. 314 odst. 10 a články 317, 318 a 319 Smlouvy o fungování Evropské unie,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 xml:space="preserve">s ohledem na nařízení Evropského parlamentu a Rady (EU, Euratom) 2018/1046 ze dne 18. července 2018, kterým se stanoví finanční pravidla pro souhrnný rozpočet Unie, mění nařízení (EU) č. 1296/2013, (EU) č. 1301/2013, (EU) č. 1303/2013, (EU) č. 1304/2013, (EU) č. 1309/2013, (EU) č. 1316/2013, (EU) č. 223/2014 a (EU) č. 283/2014 a rozhodnutí č. 541/2014/EU a zrušuje nařízení (EU, Euratom) </w:t>
      </w:r>
      <w:r w:rsidRPr="00CD6C73">
        <w:lastRenderedPageBreak/>
        <w:t>č. 966/2012</w:t>
      </w:r>
      <w:r w:rsidRPr="00CD6C73">
        <w:rPr>
          <w:rStyle w:val="FootnoteReference"/>
        </w:rPr>
        <w:footnoteReference w:id="5"/>
      </w:r>
      <w:r w:rsidRPr="00CD6C73">
        <w:t>, a zejména na články 59, 118 a 260 až 263 tohoto nařízení,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</w:r>
      <w:r w:rsidRPr="00CD6C73">
        <w:rPr>
          <w:snapToGrid w:val="0"/>
        </w:rPr>
        <w:t>s ohledem na rozhodnutí Rady 2010/427/EU ze dne 26. července 2010 o organizaci a fungování Evropské služby pro vnější činnost</w:t>
      </w:r>
      <w:r w:rsidRPr="00CD6C73">
        <w:rPr>
          <w:rStyle w:val="FootnoteReference"/>
          <w:bCs/>
        </w:rPr>
        <w:footnoteReference w:id="6"/>
      </w:r>
      <w:r w:rsidRPr="00CD6C73">
        <w:rPr>
          <w:snapToGrid w:val="0"/>
        </w:rPr>
        <w:t>, a zejména na článek 8 tohoto rozhodnutí,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 ohledem na článek 100 a přílohu V jednacího řádu,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 ohledem na stanovisko Výboru pro zahraniční věci,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 ohledem na zprávu Výboru pro rozpočtovou kontrolu (A9</w:t>
      </w:r>
      <w:r w:rsidRPr="00CD6C73">
        <w:noBreakHyphen/>
        <w:t>0102/2024),</w:t>
      </w:r>
    </w:p>
    <w:p w:rsidR="00F847ED" w:rsidRPr="00CD6C73" w:rsidRDefault="00F847ED" w:rsidP="0045751D">
      <w:pPr>
        <w:pStyle w:val="NormalHanging12a"/>
      </w:pPr>
      <w:r w:rsidRPr="00CD6C73">
        <w:t>1.</w:t>
      </w:r>
      <w:r w:rsidRPr="00CD6C73">
        <w:tab/>
        <w:t>uděluje vysokému představiteli Unie pro zahraniční věci a bezpečnostní politiku absolutorium za plnění rozpočtu Evropské služby pro vnější činnost na rozpočtový rok 2022;</w:t>
      </w:r>
    </w:p>
    <w:p w:rsidR="00F847ED" w:rsidRPr="00CD6C73" w:rsidRDefault="00F847ED" w:rsidP="0045751D">
      <w:pPr>
        <w:pStyle w:val="NormalHanging12a"/>
      </w:pPr>
      <w:r w:rsidRPr="00CD6C73">
        <w:t>2.</w:t>
      </w:r>
      <w:r w:rsidRPr="00CD6C73">
        <w:tab/>
        <w:t>předkládá své připomínky v dále uvedeném usnesení;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3.</w:t>
      </w:r>
      <w:r w:rsidRPr="00CD6C73">
        <w:tab/>
        <w:t xml:space="preserve">pověřuje svou předsedkyni, aby předala toto rozhodnutí a usnesení, které je jeho nedílnou součástí, Evropské službě pro vnější činnost, Radě, Komisi, Účetnímu dvoru, evropské veřejné ochránkyni práv a evropskému inspektorovi ochrany údajů a aby zajistila jejich zveřejnění v </w:t>
      </w:r>
      <w:r w:rsidRPr="00CD6C73">
        <w:rPr>
          <w:i/>
        </w:rPr>
        <w:t>Úředním věstníku Evropské unie</w:t>
      </w:r>
      <w:r w:rsidRPr="00CD6C73">
        <w:t xml:space="preserve"> (řada L). </w:t>
      </w:r>
    </w:p>
    <w:p w:rsidR="00F847ED" w:rsidRPr="00CD6C73" w:rsidRDefault="00F847ED" w:rsidP="00F847ED"/>
    <w:p w:rsidR="00F847ED" w:rsidRPr="00CD6C73" w:rsidRDefault="00F847ED" w:rsidP="00F847ED">
      <w:pPr>
        <w:pStyle w:val="PageHeading"/>
        <w:sectPr w:rsidR="00F847ED" w:rsidRPr="00CD6C73" w:rsidSect="00CD6C73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847ED" w:rsidRPr="00CD6C73" w:rsidRDefault="00F847ED" w:rsidP="0045751D">
      <w:pPr>
        <w:pStyle w:val="ATHeading3"/>
      </w:pPr>
      <w:bookmarkStart w:id="8" w:name="_Toc161931780"/>
      <w:r w:rsidRPr="00CD6C73">
        <w:lastRenderedPageBreak/>
        <w:t xml:space="preserve">2. </w:t>
      </w:r>
      <w:r w:rsidR="0045751D" w:rsidRPr="00CD6C73">
        <w:t>Usnesení Evropského parlamentu</w:t>
      </w:r>
      <w:bookmarkEnd w:id="8"/>
      <w:r w:rsidR="0045751D">
        <w:t xml:space="preserve"> </w:t>
      </w:r>
      <w:r w:rsidR="00BF7630" w:rsidRPr="00CD6C73">
        <w:t xml:space="preserve">ze dne 11. dubna 2024 </w:t>
      </w:r>
      <w:r w:rsidRPr="00CD6C73">
        <w:t>obsahující připomínky, které jsou nedílnou součástí rozhodnutí o plnění souhrnného rozpočtu Evropské unie na rozpočtový rok 2022, oddíl X – Evropská služba pro vnější činnost</w:t>
      </w:r>
      <w:r w:rsidR="0045751D">
        <w:t xml:space="preserve"> </w:t>
      </w:r>
      <w:r w:rsidRPr="00CD6C73">
        <w:t>(2023/2134(DEC))</w:t>
      </w:r>
    </w:p>
    <w:p w:rsidR="00F847ED" w:rsidRPr="00CD6C73" w:rsidRDefault="00F847ED" w:rsidP="00F847ED">
      <w:pPr>
        <w:pStyle w:val="EPComma"/>
      </w:pPr>
      <w:r w:rsidRPr="00CD6C73">
        <w:rPr>
          <w:i/>
        </w:rPr>
        <w:t>Evropský parlament</w:t>
      </w:r>
      <w:r w:rsidRPr="00CD6C73">
        <w:t>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 ohledem na své rozhodnutí o udělení absolutoria za plnění souhrnného rozpočtu Evropské unie na rozpočtový rok 2022, oddíl X – Evropská služba pro vnější činnost,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 ohledem na článek 100 a přílohu V jednacího řádu,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 ohledem na stanovisko Výboru pro zahraniční věci,</w:t>
      </w:r>
    </w:p>
    <w:p w:rsidR="00F847ED" w:rsidRPr="00CD6C73" w:rsidRDefault="00F847ED" w:rsidP="0045751D">
      <w:pPr>
        <w:pStyle w:val="NormalHanging12a"/>
      </w:pPr>
      <w:r w:rsidRPr="00CD6C73">
        <w:t>–</w:t>
      </w:r>
      <w:r w:rsidRPr="00CD6C73">
        <w:tab/>
        <w:t>s ohledem na zprávu Výboru pro rozpočtovou kontrolu (A9</w:t>
      </w:r>
      <w:r w:rsidRPr="00CD6C73">
        <w:noBreakHyphen/>
        <w:t>0102/2024),</w:t>
      </w:r>
    </w:p>
    <w:p w:rsidR="00F847ED" w:rsidRPr="00CD6C73" w:rsidRDefault="00F847ED" w:rsidP="0045751D">
      <w:pPr>
        <w:pStyle w:val="NormalHanging12a"/>
      </w:pPr>
      <w:r w:rsidRPr="00CD6C73">
        <w:t>A.</w:t>
      </w:r>
      <w:r w:rsidRPr="00CD6C73"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 a řádným řízením lidských zdrojů;</w:t>
      </w:r>
    </w:p>
    <w:p w:rsidR="00F847ED" w:rsidRPr="00CD6C73" w:rsidRDefault="00F847ED" w:rsidP="0045751D">
      <w:pPr>
        <w:pStyle w:val="NormalHanging12a"/>
        <w:rPr>
          <w:rStyle w:val="HideTWBExt"/>
          <w:rFonts w:ascii="Times New Roman" w:hAnsi="Times New Roman"/>
          <w:noProof w:val="0"/>
          <w:vanish w:val="0"/>
          <w:color w:val="auto"/>
          <w:sz w:val="24"/>
        </w:rPr>
      </w:pPr>
      <w:r w:rsidRPr="00CD6C73">
        <w:t>B.</w:t>
      </w:r>
      <w:r w:rsidRPr="00CD6C73">
        <w:tab/>
        <w:t>vzhledem k tomu, že Evropská služba pro vnější činnost (ESVČ) odpovídá za řízení správních výdajů svého ústředí v Bruselu a za síť 144 delegací a kanceláří Unie;</w:t>
      </w:r>
    </w:p>
    <w:p w:rsidR="00F847ED" w:rsidRPr="00CD6C73" w:rsidRDefault="00F847ED" w:rsidP="0045751D">
      <w:pPr>
        <w:pStyle w:val="NormalHanging12a"/>
      </w:pPr>
      <w:r w:rsidRPr="00CD6C73">
        <w:t>C.</w:t>
      </w:r>
      <w:r w:rsidRPr="00CD6C73">
        <w:tab/>
        <w:t>vzhledem k tomu, že úkoly ESVČ na základě série dohod o poskytování služeb (</w:t>
      </w:r>
      <w:r w:rsidRPr="00CD6C73">
        <w:rPr>
          <w:i/>
        </w:rPr>
        <w:t>service level agreements</w:t>
      </w:r>
      <w:r w:rsidRPr="00CD6C73">
        <w:t>) rozšířily a zahrnují nyní i administrativní řízení zaměstnanců Komise v delegacích;</w:t>
      </w:r>
    </w:p>
    <w:p w:rsidR="00F847ED" w:rsidRPr="00CD6C73" w:rsidRDefault="00F847ED" w:rsidP="0045751D">
      <w:pPr>
        <w:pStyle w:val="NormalHanging12a"/>
      </w:pPr>
      <w:r w:rsidRPr="00CD6C73">
        <w:t>D.</w:t>
      </w:r>
      <w:r w:rsidRPr="00CD6C73">
        <w:tab/>
        <w:t>vzhledem k tomu, že úlohou delegací je zastupovat Unii a její občany po celém světě prostřednictvím budování sítí a partnerství a prosazovat hodnoty Unie;</w:t>
      </w:r>
    </w:p>
    <w:p w:rsidR="00F847ED" w:rsidRPr="00CD6C73" w:rsidRDefault="00F847ED" w:rsidP="0045751D">
      <w:pPr>
        <w:pStyle w:val="NormalHanging12a"/>
      </w:pPr>
      <w:r w:rsidRPr="00CD6C73">
        <w:t>E.</w:t>
      </w:r>
      <w:r w:rsidRPr="00CD6C73">
        <w:tab/>
        <w:t>vzhledem k tomu, že zvláštností ESVČ je i nadále její povaha a původ, neboť při jejím zřízení byli převedeni dohromady do jedné instituce zaměstnanci někdejších útvarů Rady a Komise pro vnější vztahy a byli do ní začleněni diplomaté z členských států;</w:t>
      </w:r>
    </w:p>
    <w:p w:rsidR="00F847ED" w:rsidRPr="00CD6C73" w:rsidRDefault="00F847ED" w:rsidP="0045751D">
      <w:pPr>
        <w:pStyle w:val="NormalHanging12a"/>
      </w:pPr>
      <w:r w:rsidRPr="00CD6C73">
        <w:t>F.</w:t>
      </w:r>
      <w:r w:rsidRPr="00CD6C73">
        <w:tab/>
        <w:t>vzhledem k tomu, že podle vnitřních předpisů ESVČ jedná generální tajemník ESVČ za instituci jako pověřená schvalující osoba a generální ředitel pro řízení zdrojů plní úlohu hlavní dále pověřené schvalující osoby;</w:t>
      </w:r>
    </w:p>
    <w:p w:rsidR="00F847ED" w:rsidRPr="00CD6C73" w:rsidRDefault="00F847ED" w:rsidP="0045751D">
      <w:pPr>
        <w:pStyle w:val="NormalHanging12a"/>
      </w:pPr>
      <w:r w:rsidRPr="00CD6C73">
        <w:t>G.</w:t>
      </w:r>
      <w:r w:rsidRPr="00CD6C73">
        <w:tab/>
        <w:t>vzhledem k tomu, že plnění rozpočtu se řídí finančním nařízením a vnitřními předpisy ESVČ pro plnění rozpočtu;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1.</w:t>
      </w:r>
      <w:r w:rsidRPr="00CD6C73">
        <w:tab/>
        <w:t xml:space="preserve">konstatuje, že rozpočet ESVČ spadá do okruhu 7 </w:t>
      </w:r>
      <w:r w:rsidR="00F7339F">
        <w:t>víceletého finančního rámce</w:t>
      </w:r>
      <w:r w:rsidRPr="00CD6C73">
        <w:t xml:space="preserve"> „Evropská veřejná správa“, který v roce 2022 činil 11,6 miliardy EUR (což představuje 5,9 % celkového rozpočtu Unie); konstatuje, že rozpočet ESVČ ve výši přibližně 1,1 miliardy EUR představuje přibližně 9,4 % celkových správních výdajů;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2.</w:t>
      </w:r>
      <w:r w:rsidRPr="00CD6C73">
        <w:tab/>
        <w:t xml:space="preserve">konstatuje, že Evropský účetní dvůr (dále jen „Účetní dvůr“) ve výroční zprávě za rozpočtový rok 2022 zkoumal vzorek 60 transakcí v oddílu Správa, což je stejný počet, jako v roce 2021; dále uvádí, že Účetní dvůr píše, že správní výdaje zahrnují výdaje na lidské zdroje včetně důchodů, které v roce 2022 představovaly přibližně 70 % celkových správních výdajů, a výdaje na budovy, vybavení, energie, komunikace </w:t>
      </w:r>
      <w:r w:rsidRPr="00CD6C73">
        <w:lastRenderedPageBreak/>
        <w:t>a informační technologie, a že z jeho dlouholeté práce vyplývá, že tyto výdaje celkově vykazují nízké riziko;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3.</w:t>
      </w:r>
      <w:r w:rsidRPr="00CD6C73">
        <w:tab/>
        <w:t>konstatuje, že 14 (23 %) z 60 transakcí obsahovalo chyby, ale že Účetní dvůr na základě pěti chyb, které byly vyčísleny, odhaduje míru chyb pod prahem významnosti;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4.</w:t>
      </w:r>
      <w:r w:rsidRPr="00CD6C73">
        <w:tab/>
        <w:t>vyjadřuje politování nad tím, že Účetní dvůr ve své výroční zprávě za rozpočtový rok 2022 konstatuje, že zjistil dvě vyčíslitelné chyby v platbách provedených ESVČ, z nichž jedna se týkala neexistence platné příslušné smlouvy na bezpečnostní služby pořízené delegací Unie a druhá přídavků na děti, které zaměstnanec obdržel z jiných zdrojů, ale které nebyly odečteny od jeho platu;</w:t>
      </w:r>
    </w:p>
    <w:p w:rsidR="00F847ED" w:rsidRPr="00CD6C73" w:rsidRDefault="00F847ED" w:rsidP="0045751D">
      <w:pPr>
        <w:pStyle w:val="NormalHanging12a"/>
        <w:rPr>
          <w:b/>
          <w:szCs w:val="24"/>
        </w:rPr>
      </w:pPr>
      <w:r w:rsidRPr="00CD6C73">
        <w:rPr>
          <w:b/>
        </w:rPr>
        <w:t>Rozpočtové a finanční řízení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5.</w:t>
      </w:r>
      <w:r w:rsidRPr="00CD6C73">
        <w:tab/>
        <w:t>konstatuje, že rozpočet ESVČ na rok 2022 činil 786 947 220 EUR, což představuje nárůst o 2,5 % oproti roku 2021, tj. menší než nárůst o 5,0 % v letech 2020 až 2021; bere na vědomí, že ESVČ měla kromě svého vlastního rozpočtu k dispozici také částku 241,4 milionu EUR (včetně účelově vázaných příjmů a přenesených částek), kterou poskytla Komise na krytí správních nákladů souvisejících s jejími zaměstnanci pracujícími v delegacích Unie; konstatuje, že oproti roku 2021 došlo k nárůstu o 14,3 %; konstatuje, že ESVČ obdržela rovněž dodatečné příspěvky na pokrytí společných nákladů na zaměstnance Evropského rozvojového fondu v delegacích a další částky, čímž se celkový dostupný rozpočet pro ESVČ (v prostředcích na závazky) zvýšil na 1 143,6 milionu EUR, což představuje nárůst o 4,8 % oproti roku 2020; lituje, že správní rozpočet ESVČ na rok 2022 byl navzdory důležité roli této instituce v širším mezinárodním kontextu na počátku roku 2022 a s tím spojenými vyššími náklady podhodnocen;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6.</w:t>
      </w:r>
      <w:r w:rsidRPr="00CD6C73">
        <w:tab/>
        <w:t>konstatuje, že v roce 2022 bylo vyčerpáno 99,99 % konečného rozpočtu ESVČ v závazcích, což bylo ještě více než v roce 2021, kdy bylo vyčerpáno 99,37 %, a výrazně více než v roce 2020, kdy bylo vyčerpáno 95,01 %; dále konstatuje, že v roce 2022 bylo vyčerpáno 90,56 % rozpočtu na platby, což je výrazný nárůst ve srovnání s mírou čerpání 84,47 % v roce 2021 a 82,34 % v roce 2020;</w:t>
      </w:r>
    </w:p>
    <w:p w:rsidR="00F847ED" w:rsidRPr="00CD6C73" w:rsidRDefault="0045751D" w:rsidP="0045751D">
      <w:pPr>
        <w:pStyle w:val="NormalHanging12a"/>
        <w:rPr>
          <w:szCs w:val="24"/>
        </w:rPr>
      </w:pPr>
      <w:r>
        <w:t>7.</w:t>
      </w:r>
      <w:r>
        <w:tab/>
      </w:r>
      <w:r w:rsidR="00F847ED" w:rsidRPr="00CD6C73">
        <w:t>konstatuje, že konečný rozpočet ústředí ESVČ po převodech činil v roce 2022 308,1 milionu EUR, což představuje nárůst o 4,4 % oproti roku 2021; konstatuje dále, že rozpočet v závazcích byl splněn na 100 %; uvádí, že v platbách bylo vyčerpáno 269,2 milionu EUR, což odpovídá 87,4 % rozpočtu a představuje nárůst o 30,9 milionu EUR oproti roku 2021, kdy bylo v platbách vyčerpáno 80,8 % rozpočtu;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8.</w:t>
      </w:r>
      <w:r w:rsidRPr="00CD6C73">
        <w:tab/>
        <w:t>konstatuje, že konečný rozpočet delegací ESVČ po převodech činil v roce 2022 478,9 milionu EUR, což představuje nárůst o 1,3 % oproti roku 2021; konstatuje dále, že rozpočet v závazcích byl splněn na 100 %; uvádí, že v platbách bylo vyčerpáno 443,4 milionu EUR, což odpovídá 92,6 % rozpočtu a představuje nárůst o 33,3 milionu EUR oproti roku 2021, kdy bylo v platbách vyčerpáno 86,8 % rozpočtu;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9.</w:t>
      </w:r>
      <w:r w:rsidRPr="00CD6C73">
        <w:tab/>
        <w:t xml:space="preserve">konstatuje, že ESVČ provedla v souladu s článkem 29 finančního nařízení 20 rozpočtových převodů, z nichž tři zahrnovaly informace o rozpočtovém orgánu; konstatuje, že celková částka, která byla předmětem převodů, činila 38,2 milionu EUR, čímž se rozpočet delegací ESVČ navýšil o 0,9 milionu EUR a rozpočet ústředí ESVČ na zaměstnance se snížil o 0,5 milionu EUR a rozpočet ústředí ESVČ na budovy </w:t>
      </w:r>
      <w:r w:rsidRPr="00CD6C73">
        <w:lastRenderedPageBreak/>
        <w:t>a vybavení o 0,4 milionu EUR;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10.</w:t>
      </w:r>
      <w:r w:rsidRPr="00CD6C73">
        <w:tab/>
        <w:t>se znepokojením konstatuje, že ESVČ uvádí, že rozpočet na rok 2022 byl obzvláště náročný kvůli novým úkolům a rostoucím provozním nákladům a že mezi zmírňující opatření patřilo snížení nebo zrušení všech nepodstatných výdajů v delegacích, že bylo pečlivě zváženo zveřejnění pracovních míst v ústředí a delegacích a že některá z nich byla na určitou dobu zmrazena, nepovinné aktualizace platů a povýšení pracovních míst byly v rámci možností pozastaveny nebo odloženy a vymáhání pohledávek vůči třetím stranám bylo podle možností urychleno;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11.</w:t>
      </w:r>
      <w:r w:rsidRPr="00CD6C73">
        <w:tab/>
        <w:t>konstatuje, že ruská útočná válka proti Ukrajině vyvinula tlak na rozpočet ESVČ, mimo jiné v důsledku rostoucí inflace a úpravy platů, silně rostoucích nákladů na energie a dalších dodavatelských nákladů na řadu zboží a služeb; poukazuje na význam vytvoření solidní bezpečné finanční základny pro ESVČ a na její klíčovou úlohu při účinném provádění společné bezpečnostní a zahraniční politiky Unie;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12.</w:t>
      </w:r>
      <w:r w:rsidRPr="00CD6C73">
        <w:tab/>
        <w:t>vyjadřuje politování nad tím, že rozpočtový tlak pokračoval i v roce 2023 a vedl ESVČ k rozhodnutí nevyslat z důvodu nedostatku prostředků na cestovní výdaje po velkou část roku 2023 žádné zaměstnance na žádnou kontrolní misi navazující na volební pozorovatelské mise; domnívá se, že ESVČ by měly být poskytnuty nezbytné zdroje s cílem zajistit řádnou návaznost na tyto důležité mise;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13.</w:t>
      </w:r>
      <w:r w:rsidRPr="00CD6C73">
        <w:tab/>
        <w:t xml:space="preserve">s uspokojením konstatuje, že celkový počet prostor </w:t>
      </w:r>
      <w:r w:rsidR="00C63A19">
        <w:t>v</w:t>
      </w:r>
      <w:r w:rsidRPr="00CD6C73">
        <w:t>yužívaných společně s členskými státy a dalšími partnery EU v delegacích Unie se zvýšil ze 122 v roce 2021 na 135 v roce 2022; vítá, že generální tajemník ESVČ přijal rozhodnutí o politice společného využívání prostor, které poskytuje komplexní a transparentní strukturální rámec k harmonizaci praxe ESVČ týkající se společného využívání prostor stanovením společných zásad a cílů;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14.</w:t>
      </w:r>
      <w:r w:rsidRPr="00CD6C73">
        <w:tab/>
        <w:t>konstatuje, že celkové vyplacené náklady na mise ESVČ v roce 2022 činily 24</w:t>
      </w:r>
      <w:r w:rsidR="00361CFD">
        <w:t xml:space="preserve"> </w:t>
      </w:r>
      <w:r w:rsidRPr="00CD6C73">
        <w:t>065 milionu EUR, což představuje výrazný nárůst oproti 6,128 milionu EUR v roce 2021, který je však srovnatelnější s úrovní z roku 2019 před pandemií onemocnění COVID</w:t>
      </w:r>
      <w:r w:rsidR="00361CFD">
        <w:t>-</w:t>
      </w:r>
      <w:r w:rsidRPr="00CD6C73">
        <w:t>19, kdy vyplacená částka činila 20,972 milionu EUR; dále konstatuje, že ESVČ nemá samostatnou rozpočtovou položku pro služební cesty a cestovní náklady vysokého představitele, místopředsedy Komise a že náklady na jeho služební cesty a cestovní náklady se dělí mezi ESVČ a Komisi v závislosti na účelu služební cesty; konečně konstatuje, že v roce 2022 činily náklady ESVČ na 6 služebních cest vysokého představitele, místopředsedy Komise 3 502,73 EUR a náklady na aerotaxi 178 320,76 EUR; žádá ESVČ, aby Parlament informovala o tom, kolikrát vysoký představitel, místopředseda cestoval komerčními lety a kolikrát byly využity charterové lety;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15.</w:t>
      </w:r>
      <w:r w:rsidRPr="00CD6C73">
        <w:tab/>
      </w:r>
      <w:r w:rsidR="00000FBE" w:rsidRPr="00104956">
        <w:t>konstatuje, že vysoký představitel, místopředseda Komise využívá v rozsáhlé míře</w:t>
      </w:r>
      <w:r w:rsidR="00000FBE" w:rsidRPr="00000FBE">
        <w:t xml:space="preserve"> k oficiálním cestám </w:t>
      </w:r>
      <w:r w:rsidR="00000FBE" w:rsidRPr="00104956">
        <w:t>soukromá pronajatá letadla, a uvědomuje si, že pro vysokého představitele pro zahraniční věci a bezpečnostní politiku je cestování nedílnou součástí jeho mandátu</w:t>
      </w:r>
      <w:r w:rsidR="00000FBE" w:rsidRPr="00000FBE">
        <w:t>,</w:t>
      </w:r>
      <w:r w:rsidR="00000FBE" w:rsidRPr="00104956">
        <w:t xml:space="preserve"> a že tento mandát zahrnuje i zastupování Unie na setkáních na vysoké úrovni, konferencích a summitech po celém světě</w:t>
      </w:r>
      <w:r w:rsidRPr="00000FBE">
        <w:t xml:space="preserve">; domnívá se, že hlavní zásadou orgánů Unie by měla být transparentnost pracovní činnosti a řádné finanční řízení při využívání veřejných prostředků Unie; dále se domnívá, že </w:t>
      </w:r>
      <w:r w:rsidR="00000FBE" w:rsidRPr="00104956">
        <w:t>členové</w:t>
      </w:r>
      <w:r w:rsidRPr="00CD6C73">
        <w:t xml:space="preserve"> orgánů EU by měli být příkladem pro veřejnost při plnění politiky v oblasti klimatu v souladu se stěžejní Zelenou dohodou pro Evropu;</w:t>
      </w:r>
    </w:p>
    <w:p w:rsidR="00F847ED" w:rsidRPr="00000FBE" w:rsidRDefault="00F847ED" w:rsidP="0045751D">
      <w:pPr>
        <w:pStyle w:val="NormalHanging12a"/>
        <w:rPr>
          <w:szCs w:val="24"/>
        </w:rPr>
      </w:pPr>
      <w:r w:rsidRPr="00CD6C73">
        <w:lastRenderedPageBreak/>
        <w:t>16.</w:t>
      </w:r>
      <w:r w:rsidRPr="00CD6C73">
        <w:tab/>
        <w:t>připomíná odpověď obdrženou na písemný dotaz člena výboru CONT týkající se podrobností o cestách vysokého představitele, místopředsedy Komise leteckou taxislužbou; s politováním konstatuje, že ESVČ kromě zmínění cest nedokázala uvést částky vynaložené na tyto cesty a neuvedla, které cesty a v jaké výši byly hrazeny z rozpočtu ESVČ a které a v jaké výši z rozpočtu Komise; zdůrazňuje, že je důležité, aby tyto informace byly orgánu udělujícímu absolutorium k dispozici</w:t>
      </w:r>
      <w:r w:rsidR="00000FBE" w:rsidRPr="00104956">
        <w:t>; všímá si rovněž toho</w:t>
      </w:r>
      <w:r w:rsidRPr="00000FBE">
        <w:t>, že náklady na leteckou taxislužbu vzrostly z 0 EUR v roce 2021 na 178 320,76 EUR v roce 2022</w:t>
      </w:r>
      <w:r w:rsidR="00000FBE" w:rsidRPr="00104956">
        <w:t>, což bylo logicky zapříčiněno pandemií COVID-19;</w:t>
      </w:r>
      <w:r w:rsidR="00000FBE" w:rsidRPr="00000FBE">
        <w:t xml:space="preserve"> </w:t>
      </w:r>
      <w:r w:rsidR="00000FBE" w:rsidRPr="00104956">
        <w:t>doporučuje, aby se letecká taxislužba používala, pouze pokud nejsou jiné komerční možnosti, nebo z bezpečnostních důvodů</w:t>
      </w:r>
      <w:r w:rsidRPr="00000FBE">
        <w:t>;</w:t>
      </w:r>
    </w:p>
    <w:p w:rsidR="00F847ED" w:rsidRPr="00CD6C73" w:rsidRDefault="00F847ED" w:rsidP="0045751D">
      <w:pPr>
        <w:pStyle w:val="NormalHanging12a"/>
        <w:rPr>
          <w:b/>
          <w:szCs w:val="24"/>
        </w:rPr>
      </w:pPr>
      <w:r w:rsidRPr="00CD6C73">
        <w:rPr>
          <w:b/>
        </w:rPr>
        <w:t>Vnitřní řízení, výkonnost a interní kontrola</w:t>
      </w:r>
    </w:p>
    <w:p w:rsidR="00F847ED" w:rsidRDefault="00F847ED" w:rsidP="0045751D">
      <w:pPr>
        <w:pStyle w:val="NormalHanging12a"/>
      </w:pPr>
      <w:r w:rsidRPr="00CD6C73">
        <w:t>17.</w:t>
      </w:r>
      <w:r w:rsidRPr="00CD6C73">
        <w:tab/>
        <w:t>konstatuje, že v průběhu roku 2022 byla postupně ukončena mimořádná opatření související s pandemií onemocnění COVID-19 a že orgány začaly opět normálně fungovat, zatímco ESVČ byla ovlivněna ruskou útočnou válkou na Ukrajině a bezpečnostní krizí v Afghánistánu, na Haiti a v Sahelu; konstatuje rovněž, že tři delegace Unie byly z hlediska evakuace označeny stupněm 3, což znamená, že zůstat v zemi vyslání, a to na Ukrajině (od února 2022), na Haiti (od června 2022) a v Burkině Faso (od prosince 2022), směli pouze nezbytní zaměstnanci;</w:t>
      </w:r>
    </w:p>
    <w:p w:rsidR="00A67246" w:rsidRPr="00A67246" w:rsidRDefault="00A67246" w:rsidP="0045751D">
      <w:pPr>
        <w:pStyle w:val="NormalHanging12a"/>
        <w:rPr>
          <w:szCs w:val="24"/>
        </w:rPr>
      </w:pPr>
      <w:r w:rsidRPr="00104956">
        <w:t>1</w:t>
      </w:r>
      <w:r w:rsidR="00C63A19">
        <w:t>8</w:t>
      </w:r>
      <w:r w:rsidRPr="00104956">
        <w:t>.</w:t>
      </w:r>
      <w:r w:rsidRPr="00A67246">
        <w:tab/>
      </w:r>
      <w:r w:rsidRPr="00104956">
        <w:t>konstatuje, že generální tajemník ESVČ vydal pokyn vedoucím delegací Unie, v němž je žádá zejména o včasné podávání zpráv během krizí („pravidelnější, přímější a systematičtější podávání zpráv“); považuje za znepokojující, že velvyslancům ESVČ trvalo poměrně dlouho, než informovali o změnách na místě a reagovali na ně, zejména na Ukrajině a v Afghánistánu, což vedlo ke spěšné evakuaci unijního personálu; domnívá se, že by ESVČ měla přezkoumat svou metodiku řízení rizik, která se používá k hodnocení bezpečnostní situace zaměstnanců delegací Unie;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1</w:t>
      </w:r>
      <w:r w:rsidR="00C63A19">
        <w:t>9</w:t>
      </w:r>
      <w:r w:rsidRPr="00CD6C73">
        <w:t>.</w:t>
      </w:r>
      <w:r w:rsidRPr="00CD6C73">
        <w:tab/>
        <w:t>vítá, že v reakci na nejrůznější krize v posledních několika letech vytvořila ESVČ v červenci 2022 Středisko pro reakci na krize, které udržuje kontakty s vnějšími partnery, jako jsou orgány Unie a členské státy, a interně sdružuje diplomatické, bezpečnostní a zpravodajské kapacity;</w:t>
      </w:r>
    </w:p>
    <w:p w:rsidR="00F847ED" w:rsidRPr="00CD6C73" w:rsidRDefault="00C63A19" w:rsidP="0045751D">
      <w:pPr>
        <w:pStyle w:val="NormalHanging12a"/>
        <w:rPr>
          <w:szCs w:val="24"/>
        </w:rPr>
      </w:pPr>
      <w:r>
        <w:t>20</w:t>
      </w:r>
      <w:r w:rsidR="00F847ED" w:rsidRPr="00CD6C73">
        <w:t>.</w:t>
      </w:r>
      <w:r w:rsidR="00F847ED" w:rsidRPr="00CD6C73">
        <w:tab/>
        <w:t>konstatuje, že generální ředitelství pro řízení zdrojů, které se bude nadále zabývat administrativními aspekty všech krizí, prošlo restrukturalizací, kdy byla vytvořena dvě ředitelství a seskupením podobných a souvisejících funkcí došlo ke snížení počtu odborů z 16 na 13 a zároveň byl posílen koordinační tým při generálním řediteli;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2</w:t>
      </w:r>
      <w:r w:rsidR="00C63A19">
        <w:t>1</w:t>
      </w:r>
      <w:r w:rsidRPr="00CD6C73">
        <w:t>.</w:t>
      </w:r>
      <w:r w:rsidRPr="00CD6C73">
        <w:tab/>
        <w:t>konstatuje, že v roce 2021 vytvořila ESVČ výbor pro vnitřní kontrolu, který se od té doby schází dvakrát ročně, aby umožnil vedoucím pracovníkům projednat zmírňující opatření navržená k řešení nedostatků zjištěných v rámci interních kontrol;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2</w:t>
      </w:r>
      <w:r w:rsidR="00C63A19">
        <w:t>2</w:t>
      </w:r>
      <w:r w:rsidRPr="00CD6C73">
        <w:t>.</w:t>
      </w:r>
      <w:r w:rsidRPr="00CD6C73">
        <w:tab/>
        <w:t>s uspokojením konstatuje, že v roce 2022 nepředložila výhrady žádná delegace Unie;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2</w:t>
      </w:r>
      <w:r w:rsidR="00C63A19">
        <w:t>3</w:t>
      </w:r>
      <w:r w:rsidRPr="00CD6C73">
        <w:t>.</w:t>
      </w:r>
      <w:r w:rsidRPr="00CD6C73">
        <w:tab/>
        <w:t>konstatuje, že různé aspekty rozpočtu ESVČ jsou kontrolovány jejím interním auditorem, útvarem interního auditu Komise a Účetním dvorem; s překvapením konstatuje, že ESVČ v roce 2022 nezahájila žádný interní audit, ale že dva audity byly v roce 2022 dokončeny a tři audity stále probíhají; poukazuje na význam pečlivého pravidelného provádění interních auditů, zejména poté, co ESVČ v roce 2021 zavedla novou metodiku svého systému interních auditů;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lastRenderedPageBreak/>
        <w:t>2</w:t>
      </w:r>
      <w:r w:rsidR="00C63A19">
        <w:t>4</w:t>
      </w:r>
      <w:r w:rsidRPr="00CD6C73">
        <w:t>.</w:t>
      </w:r>
      <w:r w:rsidRPr="00CD6C73">
        <w:tab/>
        <w:t>konstatuje, že čtyři kritická doporučení útvaru interního auditu zůstala v roce 2022 nedořešená; vítá, že doporučení týkající se bezpečnosti delegace Unie v Mali je pečlivě sledováno; lituje, že doporučení týkající se řízení delegace Unie ve Washingtonu zůstávají nedořešená a že vytvoření společnosti s ručením omezeným vyvolalo složité právní problémy; žádá, aby byl Parlament průběžně informován o vývoji situace týkající se této společnosti;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2</w:t>
      </w:r>
      <w:r w:rsidR="00C63A19">
        <w:t>5</w:t>
      </w:r>
      <w:r w:rsidRPr="00CD6C73">
        <w:t>.</w:t>
      </w:r>
      <w:r w:rsidRPr="00CD6C73">
        <w:tab/>
        <w:t>konstatuje, že inspekční útvary ESVČ vydaly v roce 2022 pět kritických doporučení, a oceňuje, že tři z nich byla plně provedena nebo vyřešena, zatímco poslední dvě jsou pečlivě sledována; žádá ESVČ, aby v návaznosti na zprávu o udělení absolutoria poskytla další informace;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2</w:t>
      </w:r>
      <w:r w:rsidR="00C63A19">
        <w:t>6</w:t>
      </w:r>
      <w:r w:rsidRPr="00CD6C73">
        <w:t>.</w:t>
      </w:r>
      <w:r w:rsidRPr="00CD6C73">
        <w:tab/>
        <w:t>zdůrazňuje, že loňské zaměření na postupy při zadávání veřejných zakázek a náboru zaměstnanců organizované delegacemi Unie, které je důsledkem zjištění Účetního dvora, je i nadále důvodem k obavám; konstatuje, že ESVČ se zasadila o několik změn finančního nařízení, aby se zohlednila zvláštní situace delegací Unie ve třetích zemích; zdůrazňuje, že určitá flexibilita může být sice odůvodnitelná, ale rozdíly mezi lhůtami a pravidly v jednotlivých hostitelských zemích mohou vést k dalším chybám a nesrovnalostem v zadávacích řízeních; nicméně s ohledem na konečný výsledek jednání o finančním nařízení vyzývá ESVČ, aby přijala nezbytná opatření, a zajistila tak snížení počtu chyb delegací Unie, a aby o přijatých opatřeních informovala Parlament;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2</w:t>
      </w:r>
      <w:r w:rsidR="00C63A19">
        <w:t>7</w:t>
      </w:r>
      <w:r w:rsidRPr="00CD6C73">
        <w:t>.</w:t>
      </w:r>
      <w:r w:rsidRPr="00CD6C73">
        <w:tab/>
        <w:t>konstatuje, že delegace Unie ve Spojeném království byla otevřena 1. února 2020 v kancelářských prostorách, které dříve využívalo zastoupení Komise a kontaktní kancelář Evropského parlamentu (EPLO); s uspokojením konstatuje, že po podpisu dohody o poskytování služeb mezi ESVČ a Parlamentem se na zaměstnance Parlamentu vyslané do Londýna budou vztahovat stejná práva a povinnosti, jaké vyplývají z dohody o zřízení delegace, a že delegace Unie v Londýně oznámí v souladu s dohodou o poskytování služeb zaměstnance Parlamentu orgánům Spojeného království;</w:t>
      </w:r>
    </w:p>
    <w:p w:rsidR="00F847ED" w:rsidRPr="00CD6C73" w:rsidRDefault="00F847ED" w:rsidP="0045751D">
      <w:pPr>
        <w:pStyle w:val="NormalHanging12a"/>
        <w:rPr>
          <w:b/>
          <w:szCs w:val="24"/>
        </w:rPr>
      </w:pPr>
      <w:r w:rsidRPr="00CD6C73">
        <w:rPr>
          <w:b/>
        </w:rPr>
        <w:t>Lidské zdroje, rovnost a pracovní podmínky zaměstnanců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2</w:t>
      </w:r>
      <w:r w:rsidR="00C63A19">
        <w:t>8</w:t>
      </w:r>
      <w:r w:rsidRPr="00CD6C73">
        <w:t>.</w:t>
      </w:r>
      <w:r w:rsidRPr="00CD6C73">
        <w:tab/>
        <w:t>konstatuje, že na konci roku 2022 bylo v ESVČ zaměstnáno 5 188 osob, z nichž 2 419 (46,6 %) bylo vysláno do ústředí ESVČ a 2 769 (53,4 %) pracovalo v delegacích a kancelářích Unie, což představuje nárůst o 2,3 % oproti 5 072 osobám pracujícím v ESVČ na konci roku 2021, kdy 2 303 osob pracovalo v ústředí a 2 769 osob v delegacích a kancelářích; konstatuje, že zvýšení počtu zaměstnanců o 116 se týkalo všech zaměstnanců ústředí ESVČ; konečně konstatuje, že pro rok 2022 obdržela ESVČ od rozpočtového orgánu dalších 32 ekvivalentů plného pracovního úvazku a že čtyři pracovní místa (tři AD a jedno AST) byla v rámci správního rozpočtu převedena na Komisi;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2</w:t>
      </w:r>
      <w:r w:rsidR="00C63A19">
        <w:t>9</w:t>
      </w:r>
      <w:r w:rsidRPr="00CD6C73">
        <w:t>.</w:t>
      </w:r>
      <w:r w:rsidRPr="00CD6C73">
        <w:tab/>
        <w:t>konstatuje, že na konci roku 2022 tvořilo personál 1 247 úředníků, 468 dočasných zaměstnanců, 596 smluvních zaměstnanců, 491 vyslaných národních odborníků, 1 573 místních zaměstnanců, 144 stážistů, 39 pomocných odborných pracovníků v delegacích a 630 externích, dočasných a ostatních zaměstnanců; a konečně konstatuje, že kromě toho bylo v delegacích Unie zaměstnáno 3 316 pracovníků Komise;</w:t>
      </w:r>
    </w:p>
    <w:p w:rsidR="00F847ED" w:rsidRPr="00CD6C73" w:rsidRDefault="00C63A19" w:rsidP="0045751D">
      <w:pPr>
        <w:pStyle w:val="NormalHanging12a"/>
        <w:rPr>
          <w:szCs w:val="24"/>
        </w:rPr>
      </w:pPr>
      <w:r>
        <w:t>30</w:t>
      </w:r>
      <w:r w:rsidR="00F847ED" w:rsidRPr="00CD6C73">
        <w:t>.</w:t>
      </w:r>
      <w:r w:rsidR="00F847ED" w:rsidRPr="00CD6C73">
        <w:tab/>
        <w:t xml:space="preserve">konstatuje, že na konci roku 2022 bylo z 1 715 úředníků a dočasných zaměstnanců 881 (51,4 %) mužů a 834 (48,6 %) žen, což představuje mírný nárůst oproti roku 2021, kdy ženy tvořily 48,1 % zaměstnanců; uvádí, že mezi smluvními zaměstnanci bylo </w:t>
      </w:r>
      <w:r w:rsidR="00F847ED" w:rsidRPr="00CD6C73">
        <w:lastRenderedPageBreak/>
        <w:t>55,9 % žen, což je mírný pokles oproti 57,7 % v roce 2021, zatímco mezi vyslanými národními odborníky bylo 25,1 % žen, což představuje nárůst oproti 22,2 % v roce 2021; konstatuje nicméně, že ženy jsou výrazně méně zastoupeny na vyšších pozicích, jako jsou AD 9–12 a AD 13–16, zatímco jsou nadměrně zastoupeny především na pozicích AST;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3</w:t>
      </w:r>
      <w:r w:rsidR="00C63A19">
        <w:t>1</w:t>
      </w:r>
      <w:r w:rsidRPr="00CD6C73">
        <w:t>.</w:t>
      </w:r>
      <w:r w:rsidRPr="00CD6C73">
        <w:tab/>
        <w:t>se znepokojením konstatuje, že ve vyšším vedení ústředí a delegací bylo na konci roku 2022 18 žen (29,0 %) a 44 mužů (71,0 %), což představuje mírné zvýšení relativního podílu žen z 26,8 % v roce 2021; vítá, že v případě ústředí se podíl žen na vedoucích pozicích zvýšil z 25,0 % v roce 2021 na 30,6 % v roce 2022;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3</w:t>
      </w:r>
      <w:r w:rsidR="00C63A19">
        <w:t>2</w:t>
      </w:r>
      <w:r w:rsidRPr="00CD6C73">
        <w:t>.</w:t>
      </w:r>
      <w:r w:rsidRPr="00CD6C73">
        <w:tab/>
        <w:t>konstatuje, že na pozicích středního managementu bylo na konci roku 2022 v ústředí a delegacích 86 (38,4 %) žen a 138 (61,6 %) mužů; konstatuje, že se tím zvýšil podíl žen v těchto skupinách z 34,2 %, ale že jejich podíl je stále neuspokojivě nízký; dále vítá, že v případě ústředí se podíl žen na středních vedoucích pozicích zvýšil ze 40,7 % v roce 2021 na 44,4 % v roce 2022;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3</w:t>
      </w:r>
      <w:r w:rsidR="00C63A19">
        <w:t>3</w:t>
      </w:r>
      <w:r w:rsidRPr="00CD6C73">
        <w:t>.</w:t>
      </w:r>
      <w:r w:rsidRPr="00CD6C73">
        <w:tab/>
        <w:t>vybízí ESVČ, aby i nadále přijímala opatření k dosažení zřetelnější genderové vyváženosti na všech úrovních své organizace;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3</w:t>
      </w:r>
      <w:r w:rsidR="00C63A19">
        <w:t>4</w:t>
      </w:r>
      <w:r w:rsidRPr="00CD6C73">
        <w:t>.</w:t>
      </w:r>
      <w:r w:rsidRPr="00CD6C73">
        <w:tab/>
        <w:t>vítá, že Komise a vysoký představitel, místopředseda Komise v reakci na výzvy Parlamentu přijali akční plán pro rovnost žen a mužů na období 2021–2025 jako průřezové opatření pro všechny aspekty zahraniční politiky, což je první krok ke skutečné feministické diplomacii; vítá, že velvyslankyně EU pro genderovou rovnost a rozmanitost nadále prosazuje rámec politiky Unie pro ženy, mír a bezpečnost s cílem zajistit účast žen ve všech diplomatických a politických dialozích, a vítá zahájení činnosti sítě diplomatek EU mezi členskými státy a ESVČ s cílem prosazovat hodnoty Unie v oblasti rozmanitosti a rovnosti a podporovat rovnost žen a mužů ve zbytku světa;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3</w:t>
      </w:r>
      <w:r w:rsidR="00C63A19">
        <w:t>5</w:t>
      </w:r>
      <w:r w:rsidRPr="00CD6C73">
        <w:t>.</w:t>
      </w:r>
      <w:r w:rsidRPr="00CD6C73">
        <w:tab/>
        <w:t>zdůrazňuje, že je v plánu GAP III stanoveno, že do roku 2025 musí 85 % nových opatření EU přispívat k rovnosti žen a mužů a posílení postavení žen a dívek, zatímco ESVČ musí urychlit pokrok při plnění cílů plánu GAP III tím, že se ve své každodenní práci reálně zaměří na klíčové oblasti tohoto plánu v oblasti jejich angažovanosti, mezi něž patří ukončení genderově podmíněného násilí, podpora sexuálního a reprodukčního zdraví a práv, hospodářská a sociální práva a silnější postavení žen a dívek, jejich rovná účast a zastávání vedoucích pozic;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3</w:t>
      </w:r>
      <w:r w:rsidR="00C63A19">
        <w:t>6</w:t>
      </w:r>
      <w:r w:rsidRPr="00CD6C73">
        <w:t>.</w:t>
      </w:r>
      <w:r w:rsidRPr="00CD6C73">
        <w:tab/>
        <w:t>vyjadřuje znepokojení nad celosvětovým stavem práv osob LGBTIQ+ a nad stále odmítavějším postojem vůči právům žen, rovnosti žen a mužů a sexuálnímu a reprodukčnímu zdraví a právům v rozvojových zemích; vyzývá Komisi a ESVČ, aby se zabývaly zhoršující se situací v oblasti uznávání a ochrany těchto práv; zdůrazňuje, že je třeba, aby se prioritou stala cílená podpora organizací občanské společnosti a komunit prosazujících sexuální a reprodukční zdraví a práva, práva žen a rovnost žen a mužů a podporujících komunitu LGBTIQ+ a další marginalizované skupiny obyvatelstva, včetně silnějších opatření zaměřených na dekriminalizaci homosexuality; připomíná, že nejméně 85 % nových opatření v rámci nástroje NDICI – Globální Evropa by mělo upřednostňovat rovnost žen a mužů, přičemž nejméně 5 % by mělo být věnováno konkrétně právům a posílení postavení žen a dívek;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3</w:t>
      </w:r>
      <w:r w:rsidR="00C63A19">
        <w:t>7</w:t>
      </w:r>
      <w:r w:rsidRPr="00CD6C73">
        <w:t>.</w:t>
      </w:r>
      <w:r w:rsidRPr="00CD6C73">
        <w:tab/>
        <w:t xml:space="preserve">vítá, že mezi zaměstnanci ESVČ jsou zastoupeny všechny členské státy; konstatuje však, že stále přetrvává značná nerovnováha, neboť ve všech kategoriích zaměstnanců </w:t>
      </w:r>
      <w:r w:rsidRPr="00CD6C73">
        <w:lastRenderedPageBreak/>
        <w:t>je zastoupeno 25 členských států, zatímco z Lucemburska jsou pouze dva státní příslušníci (1 smluvní zaměstnanec a 1 vyslaný národní odborník) a Malta nemá v kategorii smluvních zaměstnanců žádného státního příslušníka; konstatuje, že nejvíce nadměrně zastoupeným členským státem je Belgie, odkud pochází 12,7 % zaměstnanců ESVČ, z toho 15,4 % úředníků; konstatuje, že ze 141 velvyslanců Unie nemají tři členské státy žádného velvyslance (Maďarsko, Lucembursko a Malta) a Kypr a Slovinsko mají každý pouze jednoho, což je o poznání méně než v roce 2021, zatímco nejvíce velvyslanců má Francie (20), Španělsko (18), Itálie (17), Německo (14) a Belgie (11), což znamená, že těchto pět zemí má 80 ze 141 postů, což odpovídá 57 %; s uspokojením konstatuje, že se jedná o pokles oproti loňskému roku, kdy stejných pět zemí mělo 61 % míst velvyslanců; vyjadřuje však politování nad tím, že počet velvyslanců členských států, které přistoupily v roce 2004 nebo později (EU13), se v roce 2022 snížil na 17 % oproti 18 % v roce 2021; vyzývá ESVČ, aby zveřejňovala každoroční přehled zastoupení jednotlivých členských států a pohlaví ve středních a vyšších vedoucích pozicích; opakuje svou obavu ohledně geografické nerovnováhy týkající se pozic vedoucích delegací a vyzývá ESVČ, aby i nadále zlepšovala geografickou rovnováhu za účelem řádného zastoupení státních příslušníků všech členských států, aby to odráželo jejich různorodost, při současném respektování kompetencí a zásluh kandidátů;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3</w:t>
      </w:r>
      <w:r w:rsidR="00C63A19">
        <w:t>8</w:t>
      </w:r>
      <w:r w:rsidRPr="00CD6C73">
        <w:t>.</w:t>
      </w:r>
      <w:r w:rsidRPr="00CD6C73">
        <w:tab/>
        <w:t>vítá, že ESVČ podporuje flexibilní, digitální a na důvěře založené pracovní prostředí s cílem zvýšit efektivitu, chránit fyzické a duševní zdraví zaměstnanců a zlepšit rovnováhu mezi pracovním a soukromým životem; konstatuje, že pravidla pro práci na dálku v ESVČ v roce 2022 znamenala, že zaměstnanci v ústředí směli pracovat na dálku až tři dny v týdnu, zatímco zaměstnanci v delegacích směli pracovat na dálku jeden den v týdnu; dále konstatuje, že v říjnu 2023 vstoupila v platnost nová pravidla pro práci na dálku a že přechodná opatření zahrnují povolení 10 dnů práce na dálku mimo místo výkonu práce pro zaměstnance v ústředí i v delegacích, které lze v jednotlivých případech prodloužit pro zaměstnance ve složité rodinné situaci; žádá ESVČ, aby Parlament informovala o nových pravidlech pro práci na dálku a o tom, jak je hodnotí zaměstnanci i vedení;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3</w:t>
      </w:r>
      <w:r w:rsidR="00C63A19">
        <w:t>9</w:t>
      </w:r>
      <w:r w:rsidRPr="00CD6C73">
        <w:t>.</w:t>
      </w:r>
      <w:r w:rsidRPr="00CD6C73">
        <w:tab/>
        <w:t>s politováním konstatuje, že počet zaměstnanců v dlouhodobé pracovní neschopnosti delší než 50 dnů se zvýšil z 91 zaměstnanců v roce 2021 na 111 zaměstnanců v roce 2022, což odpovídá nárůstu o 22 %; zároveň konstatuje, že ESVČ zavedla několik iniciativ, jejichž cílem je zajistit podporu a poučit zaměstnance o strategiích, jak se vyhnout vyhoření, včetně toho, že vedoucím pracovníkům uložila povinnost zajistit přiměřené přidělování úkolů a zavedení pokynů a zvláštní pracovní doby v případě vyhoření, které by usnadnily návrat zaměstnanců do práce; vyzývá ESVČ, aby dále zvážila, jak lze co nejvíce předcházet dlouhodobé pracovní neschopnosti, včetně syndromu vyhoření, a aby přijala nezbytná opatření k zajištění dobrých podmínek svých zaměstnanců;</w:t>
      </w:r>
    </w:p>
    <w:p w:rsidR="00F847ED" w:rsidRPr="00CD6C73" w:rsidRDefault="00C63A19" w:rsidP="0045751D">
      <w:pPr>
        <w:pStyle w:val="NormalHanging12a"/>
        <w:rPr>
          <w:szCs w:val="24"/>
        </w:rPr>
      </w:pPr>
      <w:r>
        <w:t>40</w:t>
      </w:r>
      <w:r w:rsidR="00F847ED" w:rsidRPr="00CD6C73">
        <w:t>.</w:t>
      </w:r>
      <w:r w:rsidR="00F847ED" w:rsidRPr="00CD6C73">
        <w:tab/>
        <w:t xml:space="preserve">vítá, že ESVČ v průběhu roku 2022 zintenzivnila své úsilí a zahájila řadu iniciativ na zvýšení povědomí o obtěžování, včetně „Týdne zvyšování povědomí o obtěžování“ v říjnu 2022 a přijetí nových „Zásad profesionálního chování v ESVČ“; konstatuje, že v průběhu roku 2022 byly v souvislosti s obtěžováním podány dvě žádosti o pomoc, přičemž jedna byla vyřízena v roce 2022 a druhá v roce 2023, obě bez sankcí; konstatuje, že další tři žádosti z roku 2021 a jedna z roku 2020 byly vyřízeny v letech 2022 a 2023; dále konstatuje, že v roce 2022 došlo k nárůstu poptávky po mediačních službách ESVČ, kdy se jednalo o 218 případů mediace a 19 případů důvěrného </w:t>
      </w:r>
      <w:r w:rsidR="00F847ED" w:rsidRPr="00CD6C73">
        <w:lastRenderedPageBreak/>
        <w:t>poradenství; žádá, aby byl Parlament průběžně informován o vývoji počtu případů obtěžování a o tom, zda byly v některém z nich uloženy sankce;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4</w:t>
      </w:r>
      <w:r w:rsidR="00C63A19">
        <w:t>1</w:t>
      </w:r>
      <w:r w:rsidRPr="00CD6C73">
        <w:t>.</w:t>
      </w:r>
      <w:r w:rsidRPr="00CD6C73">
        <w:tab/>
        <w:t>konstatuje, že ESVČ nezná přesný počet zaměstnanců se zdravotním postižením, ale z odpovědí v anonymním průzkumu z roku 2021 vyplývá, že z 1 075 respondentů uvedly 24 osoby, že mají zdravotní postižení, a 23 osoby uvedly krátkodobou nebo dočasnou pracovní neschopnost; vítá, že delegace Unie vypracovaly „informační listy o přístupnosti prostor“, které poskytují informace o vhodnosti a přístupnosti prostor delegace, aby zaměstnanci se zdravotním postižením měli před podáním žádosti o vyslání k dispozici příslušné informace;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4</w:t>
      </w:r>
      <w:r w:rsidR="00C63A19">
        <w:t>2</w:t>
      </w:r>
      <w:r w:rsidRPr="00CD6C73">
        <w:t>.</w:t>
      </w:r>
      <w:r w:rsidRPr="00CD6C73">
        <w:tab/>
        <w:t>vítá, že ESVČ nadále zaměstnává poměrně velký počet stážistů, kdy nabízí místa pro 63 stážistů v rámci programu stáží „Blue Book“, čtyři krátkodobé stáže v ústředí a 365 míst pro stážisty ve 102 delegacích; konstatuje, že jedna krátkodobá stáž v ústředí a 22 stáží v delegacích nebyly financovány a byly vykonány studenty, kteří museli stáž absolvovat v rámci svého studia výměnou za akademické kredity; vítá, že stážisté mají podobně jako zaměstnanci možnost využívat hybridní pracovní režim v souladu s pokyny vydanými generálním ředitelem pro řízení zdrojů; znovu vyzývá všechny orgány, aby zajistily, že od nich všichni stážisté dostanou přiměřenou odměnu;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4</w:t>
      </w:r>
      <w:r w:rsidR="00C63A19">
        <w:t>3</w:t>
      </w:r>
      <w:r w:rsidRPr="00CD6C73">
        <w:t>.</w:t>
      </w:r>
      <w:r w:rsidRPr="00CD6C73">
        <w:tab/>
        <w:t>vyzývá k vytvoření stálé struktury a nezbytných zdrojů pro Evropskou diplomatickou akademii, která může přispět k plnému rozvoji autonomní diplomacie EU se společnou diplomatickou kulturou vycházející z perspektivy EU; domnívá se, že v budoucnu by tato akademie měla zahrnovat systém výběru, náboru a odborné přípravy Evropanů, kteří dokončili vysokoškolské vzdělání a nejsou diplomaty členských států; zdůrazňuje, že je třeba zvážit a rozhodnout, jakým způsobem by absolventi této akademie mohli být nabíráni do ESVČ;</w:t>
      </w:r>
    </w:p>
    <w:p w:rsidR="00F847ED" w:rsidRPr="00CD6C73" w:rsidRDefault="00F847ED" w:rsidP="0045751D">
      <w:pPr>
        <w:pStyle w:val="NormalHanging12a"/>
        <w:rPr>
          <w:b/>
          <w:szCs w:val="24"/>
        </w:rPr>
      </w:pPr>
      <w:r w:rsidRPr="00CD6C73">
        <w:rPr>
          <w:b/>
        </w:rPr>
        <w:t>Etický rámec a transparentnost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4</w:t>
      </w:r>
      <w:r w:rsidR="00C63A19">
        <w:t>4</w:t>
      </w:r>
      <w:r w:rsidRPr="00CD6C73">
        <w:t>.</w:t>
      </w:r>
      <w:r w:rsidRPr="00CD6C73">
        <w:tab/>
        <w:t>vítá, že ESVČ nadále poskytuje školení v oblasti etiky v rámci uvítacích informačních setkání pro nové zaměstnance a seminářů konaných před vysláním velvyslanců a vedoucích administrativy; žádá ESVČ, aby pořádala povinná školení s cílem zajistit, aby byli všichni zaměstnanci upozorněni na důležité zásady, jako je etika, transparentnost, střet zájmů a boj proti podvodům;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4</w:t>
      </w:r>
      <w:r w:rsidR="00C63A19">
        <w:t>5</w:t>
      </w:r>
      <w:r w:rsidRPr="00CD6C73">
        <w:t>.</w:t>
      </w:r>
      <w:r w:rsidRPr="00CD6C73">
        <w:tab/>
        <w:t>vyjadřuje politování nad tím, že úřad OLAF v roce 2022 vyšetřoval omezený počet případů podvodů souvisejících se zpronevěrou finančních prostředků Unie ze strany zaměstnanců delegace Unie a že některé z nich stále ještě nebyly uzavřeny; zdůrazňuje, že úřad OLAF musí ukončit své vyšetřování, než bude možné vyvodit závěry, zároveň však vybízí ESVČ, aby podnikla veškeré nezbytné kroky k rychlému přijetí opatření v návaznosti na případnou kritiku ze strany úřadu OLAF;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4</w:t>
      </w:r>
      <w:r w:rsidR="00C63A19">
        <w:t>6</w:t>
      </w:r>
      <w:r w:rsidRPr="00CD6C73">
        <w:t>.</w:t>
      </w:r>
      <w:r w:rsidRPr="00CD6C73">
        <w:tab/>
        <w:t>konstatuje, že v roce 2022 se ESVČ zabývala 16 žádostmi evropského veřejného ochránce práv, z čehož se 11 případů týkalo správních řízení a pět přístupu k dokumentům; konstatuje, že 13 z 16 šetření bylo ukončeno v roce 2022 a že v 11 případech nebyl zjištěn nesprávný úřední postup, zatímco v dalších dvou případech byl zjištěn částečně nesprávný úřední postup a nesprávný úřední postup; vítá, že ESVČ usiluje o dosažení 100% míry uplatňování návrhů nebo doporučení předložených evropským veřejným ochráncem práv;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lastRenderedPageBreak/>
        <w:t>4</w:t>
      </w:r>
      <w:r w:rsidR="00C63A19">
        <w:t>7</w:t>
      </w:r>
      <w:r w:rsidRPr="00CD6C73">
        <w:t>.</w:t>
      </w:r>
      <w:r w:rsidRPr="00CD6C73">
        <w:tab/>
        <w:t>vítá, že ESVČ přijala v říjnu 2022 „Zásady profesionálního chování v ESVČ“, které shrnují profesionální chování, jež se od zaměstnanců očekává, a že zaměstnanci musejí oznámit jakýkoli střet zájmů, který může vzniknout při výkonu jejich povinností, a to zasláním příslušného formuláře týmu ESVČ pro etiku; konstatuje, že ESVČ nadále uvažuje o možné aktualizaci etického rámce ESVČ; žádá, aby byl Parlament o veškerém vývoji v této oblasti plně informován;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4</w:t>
      </w:r>
      <w:r w:rsidR="00C63A19">
        <w:t>8</w:t>
      </w:r>
      <w:r w:rsidRPr="00CD6C73">
        <w:t>.</w:t>
      </w:r>
      <w:r w:rsidRPr="00CD6C73">
        <w:tab/>
        <w:t>zdůrazňuje, že ESVČ sice není orgánem ve smyslu článku 13 Smlouvy o EU a nehraje přímou roli v právních předpisech Unie, má však důležitou úlohu související s právními předpisy Unie, pokud jde o rozhodování týkající se sankcí a sjednávání mezinárodních obchodních dohod, které mají značný regulační dopad; konstatuje, že by bylo velmi důležité, aby se ESVČ připojila na základě dohody o poskytování služeb k rejstříku transparentnosti Unie; vyzývá ESVČ, aby v zájmu zvýšení transparentnosti zveřejňovala všechny schůzky se všemi druhy lobbistických organizací, včetně setkání vedoucích delegací Unie;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4</w:t>
      </w:r>
      <w:r w:rsidR="00C63A19">
        <w:t>9</w:t>
      </w:r>
      <w:r w:rsidRPr="00CD6C73">
        <w:t>.</w:t>
      </w:r>
      <w:r w:rsidRPr="00CD6C73">
        <w:tab/>
        <w:t>konstatuje, že v roce 2022 obdržela ESVČ čtyři prohlášení o střetu zájmů a že tato prohlášení byla řešena profesionálně a individuálně; konstatuje, že ESVČ odmítla udělit povolení k externí činnosti a zprostila zaměstnance povinností v souvislosti s problematikou, financováním nebo řízením projektů jeho předchozího zaměstnavatele;</w:t>
      </w:r>
    </w:p>
    <w:p w:rsidR="00F847ED" w:rsidRPr="00CD6C73" w:rsidRDefault="00C63A19" w:rsidP="0045751D">
      <w:pPr>
        <w:pStyle w:val="NormalHanging12a"/>
        <w:rPr>
          <w:szCs w:val="24"/>
        </w:rPr>
      </w:pPr>
      <w:r>
        <w:t>50</w:t>
      </w:r>
      <w:r w:rsidR="00F847ED" w:rsidRPr="00CD6C73">
        <w:t>.</w:t>
      </w:r>
      <w:r w:rsidR="00F847ED" w:rsidRPr="00CD6C73">
        <w:tab/>
        <w:t>konstatuje, že v roce 2022 obdržela ESVČ z patnácti oznámení o činnosti po skončení služby tři oznámení o záměru vstoupit do soukromé společnosti; s uspokojením konstatuje, že na činnost poradce advokátní kanceláře byla ustanovenému úředníkovi uložena dvouletá čekací lhůta;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5</w:t>
      </w:r>
      <w:r w:rsidR="00C63A19">
        <w:t>1</w:t>
      </w:r>
      <w:r w:rsidRPr="00CD6C73">
        <w:t>.</w:t>
      </w:r>
      <w:r w:rsidRPr="00CD6C73">
        <w:tab/>
        <w:t>vyzývá ESVČ, aby vzhledem k jejich citlivé politické úloze sledovala, jaké pozice zastávají bývalí vedoucí pracovníci a vedoucí delegací; vybízí ESVČ, aby systematicky přezkoumávala potenciálně problematický přechod zaměstnanců do soukromého sektoru nebo do organizací třetích zemí a aby i nadále sledovala zaměstnání bývalých vyšších úředníků až do konce povinného přechodného období, protože neřešené situace střetu zájmů mohou ohrozit prosazování vysokých etických standardů v celé správě Unie;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5</w:t>
      </w:r>
      <w:r w:rsidR="00C63A19">
        <w:t>2</w:t>
      </w:r>
      <w:r w:rsidRPr="00CD6C73">
        <w:t>.</w:t>
      </w:r>
      <w:r w:rsidRPr="00CD6C73">
        <w:tab/>
        <w:t>s uspokojením konstatuje, že ESVČ přijala v roce 2023 novou strategii boje proti podvodům, která se nyní provádí; žádá o aktuální informace o jejím provádění, přičemž se k této otázce vrátí během udělování absolutoria za rok 2023; zároveň konstatuje, že ESVČ už spolu s Komisí pořádá školení o podvodech a že toto školení je povinnou součástí školení před vysíláním zaměstnanců;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5</w:t>
      </w:r>
      <w:r w:rsidR="00C63A19">
        <w:t>3</w:t>
      </w:r>
      <w:r w:rsidRPr="00CD6C73">
        <w:t>.</w:t>
      </w:r>
      <w:r w:rsidRPr="00CD6C73">
        <w:tab/>
        <w:t>bere na vědomí, že se v rámci ESVČ uvažuje o přijetí samostatných prováděcích ustanovení o externí činnosti a externích úkolech; žádá, aby byl Parlament informován o výsledcích těchto úvah, a připomíná význam tohoto rámce pro ochranu jména a pověsti Unie, zejména v případě vedoucích delegací;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5</w:t>
      </w:r>
      <w:r w:rsidR="00C63A19">
        <w:t>4</w:t>
      </w:r>
      <w:r w:rsidRPr="00CD6C73">
        <w:t>.</w:t>
      </w:r>
      <w:r w:rsidRPr="00CD6C73">
        <w:tab/>
        <w:t>konstatuje, že ESVČ neobdržela žádné podněty týkající se whistleblowingu a že uplatňuje pokyny Komise pro whistleblowing; vyzývá nicméně ESVČ, aby přijala vlastní politiku upravenou podle specifických charakteristik ESVČ, pokud jde o tuto důležitou otázku, a aby vytvořila bezpečný kanál pro potenciální oznamovatele;</w:t>
      </w:r>
    </w:p>
    <w:p w:rsidR="00F847ED" w:rsidRPr="00CD6C73" w:rsidRDefault="00F847ED" w:rsidP="0045751D">
      <w:pPr>
        <w:spacing w:after="240"/>
        <w:ind w:left="567" w:hanging="567"/>
        <w:rPr>
          <w:b/>
          <w:szCs w:val="24"/>
        </w:rPr>
      </w:pPr>
      <w:r w:rsidRPr="00CD6C73">
        <w:rPr>
          <w:b/>
        </w:rPr>
        <w:t>Digitalizace, kybernetická bezpečnost a ochrana údajů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lastRenderedPageBreak/>
        <w:t>5</w:t>
      </w:r>
      <w:r w:rsidR="00C63A19">
        <w:t>5</w:t>
      </w:r>
      <w:r w:rsidRPr="00CD6C73">
        <w:t>.</w:t>
      </w:r>
      <w:r w:rsidRPr="00CD6C73">
        <w:tab/>
        <w:t>konstatuje, že ESVČ provozuje vlastní bezpečnostní operační středisko, které se zabývá řešením incidentů a sídlí v ústředí; varuje, že v roce 2022 bylo potvrzeno 129 kybernetických útoků na ESVČ, a podotýká, že ESVČ je velmi pravděpodobným cílem aktérů s obrovskými zdroji, kteří chtějí orgánům Unie způsobit potíže, zejména aktérů, kteří jsou financováni cizími státy; lituje, že jeden závažný bezpečnostní incident, k němuž došlo v roce 2022, byl kvůli své složitosti zjištěn až v roce 2023; vítá, že nebyly ohroženy žádné důvěrné informace; vyzývá ESVČ, aby se i nadále výrazně zaměřovala na kybernetickou bezpečnost a hybridní hrozby a spolupracovala s ostatními orgány Unie a členskými státy s cílem tyto hrozby identifikovat a co nejvíce chránit infrastrukturu Unie; zdůrazňuje, že klíčovým prvkem účinného rámce kybernetické bezpečnosti je informovanost o kybernetické bezpečnosti a program systematického vzdělávání pro všechny zaměstnance, včetně vedení;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5</w:t>
      </w:r>
      <w:r w:rsidR="00C63A19">
        <w:t>6</w:t>
      </w:r>
      <w:r w:rsidRPr="00CD6C73">
        <w:t>.</w:t>
      </w:r>
      <w:r w:rsidRPr="00CD6C73">
        <w:tab/>
        <w:t>s uspokojením konstatuje, že evropský inspektor ochrany údajů v roce 2022 nezahájil ani nedokončil žádné šetření nebo vyšetřování zaměřené konkrétně na ESVČ; vítá rozhodnutí ESVČ nepoužívat Microsoft 365 kvůli obavám souvisejícím s bezpečností a používat nadále interní cloudové aplikace s hostingem v Evropě;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5</w:t>
      </w:r>
      <w:r w:rsidR="00C63A19">
        <w:t>7</w:t>
      </w:r>
      <w:r w:rsidRPr="00CD6C73">
        <w:t>.</w:t>
      </w:r>
      <w:r w:rsidRPr="00CD6C73">
        <w:tab/>
        <w:t>nadále s uspokojením konstatuje, že ESVČ přijala politiku hostingu a udržuje centrální úložiště všech informačních systémů a technických služeb souvisejících s obchodními aplikacemi a službami; dále konstatuje, že v případě informačních systémů umístěných v prostorách ESVČ se systém i jeho údaje nacházejí na serverech, které ESVČ přímo vlastní a nad nimiž má kontrolu, a že pověřenec pro ochranu osobních údajů zajišťuje řádnou kontrolu ochrany údajů; vítá, že informační systémy hostované v cloudu obsahují doložku o ochraně údajů na základě společných doporučení evropského inspektora ochrany údajů a Komise;</w:t>
      </w:r>
    </w:p>
    <w:p w:rsidR="00F847ED" w:rsidRPr="00CD6C73" w:rsidRDefault="00F847ED" w:rsidP="0045751D">
      <w:pPr>
        <w:pStyle w:val="NormalHanging12a"/>
        <w:rPr>
          <w:b/>
          <w:i/>
          <w:szCs w:val="24"/>
        </w:rPr>
      </w:pPr>
      <w:r w:rsidRPr="00CD6C73">
        <w:t>5</w:t>
      </w:r>
      <w:r w:rsidR="00C63A19">
        <w:t>8</w:t>
      </w:r>
      <w:r w:rsidRPr="00CD6C73">
        <w:t>.</w:t>
      </w:r>
      <w:r w:rsidRPr="00CD6C73">
        <w:tab/>
        <w:t>konstatuje, že politika ESVČ v oblasti digitálních řešení založená na otevřeném zdrojovém kódu znamená, že otevřený zdrojový kód je životaschopným řešením, pokud jsou po posouzení všechny nástroje a aplikace považovány za rovnocenné; konstatuje, že ESVČ využívá řadu produktů s otevřeným zdrojovým kódem, aby si zachovala plné vlastnictví svých údajů a kontrolu nad nimi;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5</w:t>
      </w:r>
      <w:r w:rsidR="00C63A19">
        <w:t>9</w:t>
      </w:r>
      <w:r w:rsidRPr="00CD6C73">
        <w:t>.</w:t>
      </w:r>
      <w:r w:rsidRPr="00CD6C73">
        <w:tab/>
        <w:t>zdůrazňuje, že s ohledem na rostoucí geopolitické výzvy a krizi na celém světě musí být EU schopna spolehnout se na nezbytné bezprostřední informace o globálních problémech, které se objevují za jejími hranicemi; vyzývá v tomto směru k posílení Zpravodajského a informačního centra EU, Střediska ESVČ pro reakci na krize a Satelitního střediska EU navýšením počtu jejich zaměstnanců a finančních zdrojů a kapacit;</w:t>
      </w:r>
    </w:p>
    <w:p w:rsidR="00F847ED" w:rsidRPr="00CD6C73" w:rsidRDefault="00F847ED" w:rsidP="0045751D">
      <w:pPr>
        <w:spacing w:after="240"/>
        <w:ind w:left="567" w:hanging="567"/>
        <w:rPr>
          <w:b/>
          <w:bCs/>
          <w:iCs/>
          <w:szCs w:val="24"/>
        </w:rPr>
      </w:pPr>
      <w:r w:rsidRPr="00CD6C73">
        <w:rPr>
          <w:b/>
        </w:rPr>
        <w:t>Budovy a bezpečnost</w:t>
      </w:r>
    </w:p>
    <w:p w:rsidR="00F847ED" w:rsidRPr="00CD6C73" w:rsidRDefault="00C63A19" w:rsidP="0045751D">
      <w:pPr>
        <w:pStyle w:val="NormalHanging12a"/>
        <w:rPr>
          <w:szCs w:val="24"/>
        </w:rPr>
      </w:pPr>
      <w:r>
        <w:t>60</w:t>
      </w:r>
      <w:r w:rsidR="00F847ED" w:rsidRPr="00CD6C73">
        <w:t>.</w:t>
      </w:r>
      <w:r w:rsidR="00F847ED" w:rsidRPr="00CD6C73">
        <w:tab/>
        <w:t>konstatuje, že ESVČ využívá a spravuje velmi komplexní portfolio budov, které zahrnuje ústředí ESVČ v Bruselu a velké množství kanceláří a rezidencí pro velvyslance po celém světě; konstatuje dále, že počátkem roku 2022 převzala ESVČ v Bruselu od Komise 8 334 m</w:t>
      </w:r>
      <w:r w:rsidR="00F847ED" w:rsidRPr="00CD6C73">
        <w:rPr>
          <w:vertAlign w:val="superscript"/>
        </w:rPr>
        <w:t>2</w:t>
      </w:r>
      <w:r w:rsidR="00F847ED" w:rsidRPr="00CD6C73">
        <w:t xml:space="preserve"> prostor v budově, které předtím užíval úřad EPSO;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6</w:t>
      </w:r>
      <w:r w:rsidR="00C63A19">
        <w:t>1</w:t>
      </w:r>
      <w:r w:rsidRPr="00CD6C73">
        <w:t>.</w:t>
      </w:r>
      <w:r w:rsidRPr="00CD6C73">
        <w:tab/>
        <w:t>vítá, že v roce 2022 vlastnila ESVČ přibližně 58 000 m</w:t>
      </w:r>
      <w:r w:rsidRPr="00CD6C73">
        <w:rPr>
          <w:vertAlign w:val="superscript"/>
        </w:rPr>
        <w:t>2</w:t>
      </w:r>
      <w:r w:rsidRPr="00CD6C73">
        <w:t xml:space="preserve"> kancelářských prostor a přibližně 20 % ze 153 rezidencí pro velvyslance; konstatuje, že podle odhadů ESVČ činí celkové úspory plynoucí z vlastnictví těchto budov přibližně 20 milionů EUR ročně; velmi vítá, že ESVČ vypracovala politický rámec pro nákupní strategii, který byl </w:t>
      </w:r>
      <w:r w:rsidRPr="00CD6C73">
        <w:lastRenderedPageBreak/>
        <w:t>předložen rozpočtovému orgánu v roce 2023;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6</w:t>
      </w:r>
      <w:r w:rsidR="00C63A19">
        <w:t>2</w:t>
      </w:r>
      <w:r w:rsidRPr="00CD6C73">
        <w:t>.</w:t>
      </w:r>
      <w:r w:rsidRPr="00CD6C73">
        <w:tab/>
        <w:t>konstatuje, že ESVČ od roku 2020 rozvíjí svou politiku správy kanceláří směrem ke koncepci spolupráce a flexibilních kanceláří jak v ústředí, tak v delegacích; žádá, aby tento vývoj probíhal v úzké spolupráci se zaměstnanci s cílem zajistit zohlednění jejich oprávněných obav a názorů;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6</w:t>
      </w:r>
      <w:r w:rsidR="00C63A19">
        <w:t>3</w:t>
      </w:r>
      <w:r w:rsidRPr="00CD6C73">
        <w:t>.</w:t>
      </w:r>
      <w:r w:rsidRPr="00CD6C73">
        <w:tab/>
        <w:t>vítá, že se ESVČ zaměřuje na to, aby její budovy byly přístupné osobám se zdravotním postižením a s omezenou pohyblivostí; konstatuje, že budova v Bruselu už tyto požadavky splňuje, a oceňuje, že výběrová řízení pro delegace Unie předpokládají bezbariérovou konstrukci jako klíčové kritérium výběru nových kancelářských budov;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6</w:t>
      </w:r>
      <w:r w:rsidR="00C63A19">
        <w:t>4</w:t>
      </w:r>
      <w:r w:rsidRPr="00CD6C73">
        <w:t>.</w:t>
      </w:r>
      <w:r w:rsidRPr="00CD6C73">
        <w:tab/>
        <w:t>konstatuje, že hlavní dodatečné výdaje na bezpečnost v delegacích Unie vznikly v důsledku návratu ESVČ do Kábulu jako jediné evropské mise v tomto městě po převzetí moci Tálibánem, v důsledku zhoršující se bezpečnostní situace v zemích a oblastech, jako je Ukrajina a Sahel, a v důsledku potřeby většího množství bezpečnostního vybavení v delegacích; konstatuje, že tyto výdaje byly pokryty odložením a přesunutím jiných výdajů;</w:t>
      </w:r>
    </w:p>
    <w:p w:rsidR="00F847ED" w:rsidRPr="00CD6C73" w:rsidRDefault="00F847ED" w:rsidP="0045751D">
      <w:pPr>
        <w:spacing w:after="240"/>
        <w:ind w:left="567" w:hanging="567"/>
        <w:rPr>
          <w:b/>
          <w:szCs w:val="24"/>
        </w:rPr>
      </w:pPr>
      <w:r w:rsidRPr="00CD6C73">
        <w:rPr>
          <w:b/>
        </w:rPr>
        <w:t>Životní prostředí a udržitelnost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6</w:t>
      </w:r>
      <w:r w:rsidR="00C63A19">
        <w:t>5</w:t>
      </w:r>
      <w:r w:rsidRPr="00CD6C73">
        <w:t>.</w:t>
      </w:r>
      <w:r w:rsidRPr="00CD6C73">
        <w:tab/>
        <w:t>vítá, že ESVČ v dubnu 2022 podepsala rámcovou smlouvu o pomoci při přípravě systému pro environmentální řízení podniků a audit (EMAS) pro ústředí ESVČ a delegace, a zároveň uznává, že v mnoha delegacích bude muset být vzhledem k místním omezením uplatňován mírnější systém environmentálního řízení (EMS); žádá, aby byl Parlament informován o výsledcích provádění těchto programů v ústředí i v delegacích;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6</w:t>
      </w:r>
      <w:r w:rsidR="00C63A19">
        <w:t>6</w:t>
      </w:r>
      <w:r w:rsidRPr="00CD6C73">
        <w:t>.</w:t>
      </w:r>
      <w:r w:rsidRPr="00CD6C73">
        <w:tab/>
        <w:t>vítá, že do konce roku 2022 byly fotovoltaickými panely vybaveny budovy ústředí ESVČ i 20 delegací a že v průběhu roku 2023 byly těmito panely vybaveny další tři delegace; vybízí ESVČ, aby pokračovala v další instalaci fotovoltaických panelů na všech svých budovách, protože to zlepšuje ekologickou stopu delegace, šetří emise, energii a peníze, snižuje závislost na generátorech a pohonných hmotách a ukazuje, že ESVČ jde v podpoře „Zelené dohody“ příkladem;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6</w:t>
      </w:r>
      <w:r w:rsidR="00C63A19">
        <w:t>7</w:t>
      </w:r>
      <w:r w:rsidRPr="00CD6C73">
        <w:t>.</w:t>
      </w:r>
      <w:r w:rsidRPr="00CD6C73">
        <w:tab/>
        <w:t>vítá, že ESVČ v roce 2022 vypracovala svůj první plán dojíždění do práce s cílem zvýšit podíl zaměstnanců dojíždějících do práce udržitelnými prostředky, že byl zdvojnásoben počet parkovacích míst pro jízdní kola u hlavní budovy ESVČ a že ESVČ nadále hradí polovinu nákladů na bruselskou veřejnou dopravu zaměstnancům, kteří nepožádají o parkovací kartu;</w:t>
      </w:r>
    </w:p>
    <w:p w:rsidR="00F847ED" w:rsidRPr="00CD6C73" w:rsidRDefault="00F847ED" w:rsidP="0045751D">
      <w:pPr>
        <w:pStyle w:val="NormalHanging12a"/>
        <w:rPr>
          <w:b/>
          <w:i/>
          <w:szCs w:val="24"/>
        </w:rPr>
      </w:pPr>
      <w:r w:rsidRPr="00CD6C73">
        <w:t>6</w:t>
      </w:r>
      <w:r w:rsidR="00C63A19">
        <w:t>8</w:t>
      </w:r>
      <w:r w:rsidRPr="00CD6C73">
        <w:t>.</w:t>
      </w:r>
      <w:r w:rsidRPr="00CD6C73">
        <w:tab/>
        <w:t>lituje, že dohody o společném využívání prostor v současné době neobsahují ustanovení týkající se udržitelnosti; konstatuje, že kdyby se v těchto dohodách v budoucnu uvádělo také výslovné dodržování určitých environmentálních norem a cílů, vyslalo by to silný signál o závazku ESVČ k zajištění environmentální udržitelnosti; vyzývá ESVČ, aby prozkoumala proveditelné možnosti a podpořila modernizaci v zájmu zvýšení energetické účinnosti také v delegacích, které využívají prostory společně;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6</w:t>
      </w:r>
      <w:r w:rsidR="00C63A19">
        <w:t>9</w:t>
      </w:r>
      <w:r w:rsidRPr="00CD6C73">
        <w:t>.</w:t>
      </w:r>
      <w:r w:rsidRPr="00CD6C73">
        <w:tab/>
        <w:t xml:space="preserve">připomíná, že přímé a nepřímé dopady změny klimatu ohrožují celosvětový mír a bezpečnost a zároveň prohlubují už existující zranitelnost a nerovnost a představují riziko pro lidská práva; naléhá na Komisi a ESVČ, aby vytvořily a zavedly silnou </w:t>
      </w:r>
      <w:r w:rsidRPr="00CD6C73">
        <w:lastRenderedPageBreak/>
        <w:t>klimatickou diplomacii EU, jež by podporovala mezinárodní spolupráci v rámci plnění cílů Pařížské dohody, posílila vnější rozměr Zelené dohody pro Evropu a hmatatelně podpořila náročné cíle v oblasti snižování emisí CO</w:t>
      </w:r>
      <w:r w:rsidRPr="00CD6C73">
        <w:rPr>
          <w:vertAlign w:val="subscript"/>
        </w:rPr>
        <w:t>2</w:t>
      </w:r>
      <w:r w:rsidRPr="00CD6C73">
        <w:t xml:space="preserve"> ve třetích zemích;</w:t>
      </w:r>
    </w:p>
    <w:p w:rsidR="00F847ED" w:rsidRPr="00CD6C73" w:rsidRDefault="00F847ED" w:rsidP="0045751D">
      <w:pPr>
        <w:spacing w:after="240"/>
        <w:ind w:left="567" w:hanging="567"/>
        <w:rPr>
          <w:szCs w:val="24"/>
        </w:rPr>
      </w:pPr>
      <w:r w:rsidRPr="00CD6C73">
        <w:rPr>
          <w:b/>
        </w:rPr>
        <w:t>Interinstitucionální spolupráce</w:t>
      </w:r>
    </w:p>
    <w:p w:rsidR="00F847ED" w:rsidRPr="00CD6C73" w:rsidRDefault="00C63A19" w:rsidP="0045751D">
      <w:pPr>
        <w:pStyle w:val="NormalHanging12a"/>
        <w:rPr>
          <w:szCs w:val="24"/>
        </w:rPr>
      </w:pPr>
      <w:r>
        <w:t>70</w:t>
      </w:r>
      <w:r w:rsidR="00F847ED" w:rsidRPr="00CD6C73">
        <w:t>.</w:t>
      </w:r>
      <w:r w:rsidR="00F847ED" w:rsidRPr="00CD6C73">
        <w:tab/>
        <w:t>vítá, že ESVČ v průběhu roku 2022 uzavřela s Parlamentem dvě dohody o poskytování služeb, přičemž první se týká vyslání úředníků Parlamentu nejprve do tří delegací (při OSN v New Yorku, Africké unii v Etiopii a ASEAN v Jakartě), kde budou vyslaní zaměstnanci začleněni do podsekce pro parlamentní záležitosti politických sekcí delegací, a druhá se týká zaměstnanců Parlamentu v kontaktních kancelářích v Londýně a Washingtonu;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7</w:t>
      </w:r>
      <w:r w:rsidR="00C63A19">
        <w:t>1</w:t>
      </w:r>
      <w:r w:rsidRPr="00CD6C73">
        <w:t>.</w:t>
      </w:r>
      <w:r w:rsidRPr="00CD6C73">
        <w:tab/>
        <w:t>konstatuje, že proces nahrazení interinstitucionální dohody mezi Parlamentem a Radou o přístupu Parlamentu k utajovaným informacím v oblasti společné zahraniční a bezpečnostní politiky (SZBP) z roku 2002 pokračuje velmi pomalu, přičemž v průběhu roku 2022 se zřejmě uskutečnilo pouze jedno odborné zasedání a jedno v roce 2023;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7</w:t>
      </w:r>
      <w:r w:rsidR="00C63A19">
        <w:t>2</w:t>
      </w:r>
      <w:r w:rsidRPr="00CD6C73">
        <w:t>.</w:t>
      </w:r>
      <w:r w:rsidRPr="00CD6C73">
        <w:tab/>
        <w:t>vítá prohlášení ESVČ o vynikající spolupráci s úřady OLAF a EPPO a s Účetním dvorem a o tom, že mezi těmito orgány probíhají pravidelná setkání a pravidelná výměna informací; dále vítá, že ESVČ jedná o zvláštních pracovních ujednáních mezi ESVČ a úřadem EPPO, a žádá, aby byl Parlament informován o veškerém pokroku dosaženém v rámci těchto jednání;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7</w:t>
      </w:r>
      <w:r w:rsidR="00C63A19">
        <w:t>3</w:t>
      </w:r>
      <w:r w:rsidRPr="00CD6C73">
        <w:t>.</w:t>
      </w:r>
      <w:r w:rsidRPr="00CD6C73">
        <w:tab/>
        <w:t>vyzývá ESVČ, aby při jednáních o zvláštních pracovních ujednáních s úřadem EPPO kladla důraz na pravidla zadávání veřejných zakázek, jelikož některé postupy mohou zahrnovat velmi citlivé informace a dokonce informace související s bezpečností;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7</w:t>
      </w:r>
      <w:r w:rsidR="00C63A19">
        <w:t>4</w:t>
      </w:r>
      <w:r w:rsidRPr="00CD6C73">
        <w:t>.</w:t>
      </w:r>
      <w:r w:rsidRPr="00CD6C73">
        <w:tab/>
        <w:t>vítá, že ESVČ aktivně spolupracuje s evropským inspektorem ochrany údajů prostřednictvím svého pověřence pro ochranu údajů, kdy se mimo jiné účastní kulatých stolů a schůzek ke stanovení budoucích cílů sítě inspektorů ochrany údajů a kdy přispívá k činnosti pracovní skupiny pro mezinárodní předávání údajů;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7</w:t>
      </w:r>
      <w:r w:rsidR="00C63A19">
        <w:t>5</w:t>
      </w:r>
      <w:r w:rsidRPr="00CD6C73">
        <w:t>.</w:t>
      </w:r>
      <w:r w:rsidRPr="00CD6C73">
        <w:tab/>
        <w:t>vítá, že ESVČ úzce spolupracuje s úřadem veřejného ochránce práv, který je nyní systematicky zván na semináře ESVČ před vysíláním zaměstnanců, aby představil svou práci a zvýšil tak jejich povědomí o zásadách řádné správní praxe;</w:t>
      </w:r>
    </w:p>
    <w:p w:rsidR="00F847ED" w:rsidRPr="00CD6C73" w:rsidRDefault="00F847ED" w:rsidP="0045751D">
      <w:pPr>
        <w:spacing w:after="240"/>
        <w:ind w:left="567" w:hanging="567"/>
        <w:rPr>
          <w:b/>
          <w:szCs w:val="24"/>
        </w:rPr>
      </w:pPr>
      <w:r w:rsidRPr="00CD6C73">
        <w:rPr>
          <w:b/>
        </w:rPr>
        <w:t>Komunikační činnost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7</w:t>
      </w:r>
      <w:r w:rsidR="00C63A19">
        <w:t>6</w:t>
      </w:r>
      <w:r w:rsidRPr="00CD6C73">
        <w:t>.</w:t>
      </w:r>
      <w:r w:rsidRPr="00CD6C73">
        <w:tab/>
        <w:t>konstatuje, že ESVČ měla na komunikaci s veřejností a propagační činnost celkový rozpočet ve výši 15 352 milionů EUR a že v důsledku ruské útočné války proti Ukrajině došlo k výraznému zintenzivnění komunikace s veřejností;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7</w:t>
      </w:r>
      <w:r w:rsidR="00C63A19">
        <w:t>7</w:t>
      </w:r>
      <w:r w:rsidRPr="00CD6C73">
        <w:t>.</w:t>
      </w:r>
      <w:r w:rsidRPr="00CD6C73">
        <w:tab/>
        <w:t>vítá, že ESVČ přijala opatření s cílem zajistit lepší využívání sociálních médií v rámci vlastní ogranizace, mj. to, aby bylo jejich využívání v souladu s pravidly bezpečnosti IT a ochrany údajů, a dále s cílem aktualizovat pokyny a pozastavit placenou reklamu na svém vlastním účtu; dále konstatuje, že byly vydány pokyny pro soukromé používání sociálních médií;</w:t>
      </w:r>
    </w:p>
    <w:p w:rsidR="00F847ED" w:rsidRPr="00A67246" w:rsidRDefault="00F847ED" w:rsidP="0045751D">
      <w:pPr>
        <w:pStyle w:val="NormalHanging12a"/>
        <w:rPr>
          <w:szCs w:val="24"/>
        </w:rPr>
      </w:pPr>
      <w:r w:rsidRPr="00CD6C73">
        <w:t>7</w:t>
      </w:r>
      <w:r w:rsidR="00C63A19">
        <w:t>8</w:t>
      </w:r>
      <w:r w:rsidRPr="00CD6C73">
        <w:t>.</w:t>
      </w:r>
      <w:r w:rsidRPr="00CD6C73">
        <w:tab/>
        <w:t xml:space="preserve">vítá, že se ESVČ připojila k pilotnímu projektu </w:t>
      </w:r>
      <w:r w:rsidR="00A67246" w:rsidRPr="00104956">
        <w:t xml:space="preserve">platformy sociálních médií s otevřeným zdrojovým kódem </w:t>
      </w:r>
      <w:r w:rsidRPr="00A67246">
        <w:t xml:space="preserve">EU Voice, který realizuje evropský inspektor ochrany údajů, a </w:t>
      </w:r>
      <w:r w:rsidR="00A67246" w:rsidRPr="00104956">
        <w:t xml:space="preserve">vybízí </w:t>
      </w:r>
      <w:r w:rsidR="00A67246" w:rsidRPr="00104956">
        <w:lastRenderedPageBreak/>
        <w:t xml:space="preserve">ji, aby se připojila také k platformě EU Video, a to s ohledem na vývoj její popularity; rovněž vítá, </w:t>
      </w:r>
      <w:r w:rsidRPr="00A67246">
        <w:t xml:space="preserve">že </w:t>
      </w:r>
      <w:r w:rsidR="00A67246" w:rsidRPr="00A67246">
        <w:t xml:space="preserve">ESVČ </w:t>
      </w:r>
      <w:r w:rsidRPr="00A67246">
        <w:t>spolupracuje s ostatními orgány Unie s cílem dělit se o zkušenosti a osvědčené postupy;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7</w:t>
      </w:r>
      <w:r w:rsidR="00C63A19">
        <w:t>9</w:t>
      </w:r>
      <w:r w:rsidRPr="00CD6C73">
        <w:t>.</w:t>
      </w:r>
      <w:r w:rsidRPr="00CD6C73">
        <w:tab/>
        <w:t>konstatuje, že rozpočet na boj proti zahraniční manipulaci s informacemi a vměšování (FIMI), včetně dezinformačních aktivit, představoval v roce 2022 celkem 7 150 milionů EUR; velmi oceňuje, že ESVČ investovala významné prostředky do posílení a budování odolnosti proti dezinformacím a zahraničnímu vměšování do záležitostí Unie; zdůrazňuje, že ESVČ je hlavním orgánem Unie odpovědným za boj proti zahraničnímu vměšování;</w:t>
      </w:r>
    </w:p>
    <w:p w:rsidR="00F847ED" w:rsidRPr="00CD6C73" w:rsidRDefault="00C63A19" w:rsidP="0045751D">
      <w:pPr>
        <w:pStyle w:val="NormalHanging12a"/>
        <w:rPr>
          <w:szCs w:val="24"/>
        </w:rPr>
      </w:pPr>
      <w:r>
        <w:t>80</w:t>
      </w:r>
      <w:r w:rsidR="00F847ED" w:rsidRPr="00CD6C73">
        <w:t>.</w:t>
      </w:r>
      <w:r w:rsidR="00F847ED" w:rsidRPr="00CD6C73">
        <w:tab/>
        <w:t>konstatuje, že pracovní skupina East StratCom zintenzivnila své úsilí o odhalování kremelských dezinformačních kampaní po ruské útočné válce proti Ukrajině a úzce spolupracovala s nezávislými médii a partnery z řad občanské společnosti v zemích Východoevropského partnerství s cílem čelit zahraniční manipulaci s informacemi a vměšování a že vybraný obsah internetových stránek EUvsDisinfo byl přeložen do mnoha jazyků, včetně některých oficiálních jazyků Unie, a také do ukrajinštiny, gruzínštiny, arménštiny, ázerbájdžánštiny, ruštiny a čínštiny;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8</w:t>
      </w:r>
      <w:r w:rsidR="00C63A19">
        <w:t>1</w:t>
      </w:r>
      <w:r w:rsidRPr="00CD6C73">
        <w:t>.</w:t>
      </w:r>
      <w:r w:rsidRPr="00CD6C73">
        <w:tab/>
        <w:t>vyzývá delegace Unie v našem sousedství a v zemích západního Balkánu, aby zvýšily svou angažovanost s cílem podpořit aktivnější a efektivnější politiku komunikace o evropské perspektivě a připravit se na poskytování co nejlepší pomoci zemím, které provádějí prodemokratické a proevropské reformy; vyzývá delegace Unie, aby uplatňovaly věrohodnější přístup založený na dosažených výsledcích a vycházející z kodaňských kritérií, především pokud jde o právní stát, demokracii a ochranu lidských práv, a to zejména s ohledem na omezený pokrok, jehož některé země západního Balkánu dosáhly;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8</w:t>
      </w:r>
      <w:r w:rsidR="00C63A19">
        <w:t>2</w:t>
      </w:r>
      <w:r w:rsidRPr="00CD6C73">
        <w:t>.</w:t>
      </w:r>
      <w:r w:rsidRPr="00CD6C73">
        <w:tab/>
        <w:t>vyzývá delegace Unie, aby zvýšily podporu skutečným demokratickým aktérům a občanské společnosti na západním Balkáně a aby důrazně veřejně odsoudily kroky neliberálních a nedemokratických aktérů, které jdou proti zájmům Unie, a zajistily, aby bylo financování z Nástroje předvstupní pomoci III v souladu s cíli EU;</w:t>
      </w:r>
    </w:p>
    <w:p w:rsidR="00F847ED" w:rsidRPr="00CD6C73" w:rsidRDefault="00F847ED" w:rsidP="0045751D">
      <w:pPr>
        <w:pStyle w:val="NormalHanging12a"/>
        <w:rPr>
          <w:b/>
          <w:i/>
          <w:szCs w:val="24"/>
        </w:rPr>
      </w:pPr>
      <w:r w:rsidRPr="00CD6C73">
        <w:t>8</w:t>
      </w:r>
      <w:r w:rsidR="00C63A19">
        <w:t>3</w:t>
      </w:r>
      <w:r w:rsidRPr="00CD6C73">
        <w:t>.</w:t>
      </w:r>
      <w:r w:rsidRPr="00CD6C73">
        <w:tab/>
        <w:t xml:space="preserve">nadále vybízí delegace Unie, aby spolupracovaly s místními aktéry, organizacemi občanské společnosti a sociálními partnery ve třetích zemích a podporovaly je s cílem stimulovat sociální dialog a dialog o právním státu, základních právech a boji proti korupci a odhalovat dezinformační kampaně, které ohrožují demokratické hodnoty a jsou organizovány cizími státními aktéry; žádá delegace Unie, aby poskytovaly logistickou a technickou podporu obráncům lidských práv a původního obyvatelstva, zejména žen; vyzývá delegace Unie, aby pokračovaly v koordinovaném úsilí o větší zviditelnění projektů financovaných Unií, zejména v kandidátských zemích; vyzývá delegace Unie, aby v rámci spolupráce s regionálními partnery dodržovaly vysoké standardy odpovědnosti a transparentnosti; žádá delegace Unie, aby zajistily, aby byly finanční prostředky EU přidělené organizacím ve třetích zemích využívány účelně, účinně a v souladu s hodnotami, politikou a finančními pravidly Unie, které jsou zakotveny mimo jiné ve finančním nařízení, jež stanovuje transparentnost jako jednu z hlavních rozpočtových zásad; žádá, aby se věnovala zvláštní pozornost předcházení zbytečným byrokratickým překážkám a podpoře příjemců finančních prostředků s cílem zabránit chybám, které mají dopad na chybovost; vyzývá ESVČ, aby rozšířila delegace Unie v zemích Východního partnerství; zdůrazňuje, že je třeba pomoci zemím Východního partnerství, které trpí vojenskou agresí Ruska na Ukrajině, a účinněji </w:t>
      </w:r>
      <w:r w:rsidRPr="00CD6C73">
        <w:lastRenderedPageBreak/>
        <w:t>informovat jejich občany o politice Unie v nejrůznějších oblastech;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8</w:t>
      </w:r>
      <w:r w:rsidR="00C63A19">
        <w:t>4</w:t>
      </w:r>
      <w:r w:rsidRPr="00CD6C73">
        <w:t>.</w:t>
      </w:r>
      <w:r w:rsidRPr="00CD6C73">
        <w:tab/>
        <w:t>naléhavě žádá ESVČ a delegace Unie, aby pozorně sledovaly stav demokracie v různých zemích a poskytovaly logistickou a technickou podporu obráncům lidských práv a původním obyvatelům, zejména ženám;</w:t>
      </w:r>
    </w:p>
    <w:p w:rsidR="00F847ED" w:rsidRPr="00CD6C73" w:rsidRDefault="00F847ED" w:rsidP="0045751D">
      <w:pPr>
        <w:pStyle w:val="NormalHanging12a"/>
        <w:rPr>
          <w:b/>
          <w:szCs w:val="24"/>
        </w:rPr>
      </w:pPr>
      <w:r w:rsidRPr="00CD6C73">
        <w:rPr>
          <w:b/>
        </w:rPr>
        <w:t>Ruská útočná válka proti Ukrajině a situace v Gaze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8</w:t>
      </w:r>
      <w:r w:rsidR="00C63A19">
        <w:t>5</w:t>
      </w:r>
      <w:r w:rsidRPr="00CD6C73">
        <w:t>.</w:t>
      </w:r>
      <w:r w:rsidRPr="00CD6C73">
        <w:tab/>
        <w:t>konstatuje, že ruská útočná válka proti Ukrajině měla velmi silný dopad na rozpočet ESVČ v důsledku rostoucí inflace, a to i v mnoha částech světa, kde ESVČ provádí většinu svých operací, přičemž tato inflace měla dopad i na zvyšující se výdaje na bezpečnostní a IT vybavení;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8</w:t>
      </w:r>
      <w:r w:rsidR="00C63A19">
        <w:t>6</w:t>
      </w:r>
      <w:r w:rsidRPr="00CD6C73">
        <w:t>.</w:t>
      </w:r>
      <w:r w:rsidRPr="00CD6C73">
        <w:tab/>
        <w:t>konstatuje, že delegace na Ukrajině měla před invazí 108 zaměstnanců, z nichž přibližně 60 % tvořili místní a 40 % zahraniční zaměstnanci, a že postradatelní zaměstnanci byli týden před vypuknutím invaze požádáni, aby ze země odjeli; dále konstatuje, že delegace Unie v Rusku měla v lednu 25 zahraničních zaměstnanců, 36 místních zaměstnanců a dva zaměstnance EIB a že Rusko poté, co bylo 19 členů ruské stálé mise při EU v Bruselu prohlášeno za nežádoucí osoby, v dubnu 2022 vyhostilo 18 členů delegace Unie;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8</w:t>
      </w:r>
      <w:r w:rsidR="00C63A19">
        <w:t>7</w:t>
      </w:r>
      <w:r w:rsidRPr="00CD6C73">
        <w:t>.</w:t>
      </w:r>
      <w:r w:rsidRPr="00CD6C73">
        <w:tab/>
        <w:t>zdůrazňuje, že je třeba, aby Unie i nadále budovala silnou a odolnou vnější službu s jasným politickým vedením, aby mohla řešit stávající výzvy a zajistit ucelenost zahraniční politiky Unie; v této souvislosti bere na vědomí klíčovou úlohu ESVČ a zejména jejích delegací v souvislosti s geopolitickým dopadem ruské agrese na Ukrajině a z toho vyplývající potřebu podporovat partnerské země po celém světě a posilovat globální aliance; poukazuje na to, že je důležité i nadále se silně politicky angažovat a uplatňovat vliv na dvoustranné úrovni, v rámci veřejné a kulturní diplomacie zaměřené na prosazování hodnot, zásad a zájmů Unie i v rámci strategické komunikace pro boj proti dezinformacím; vyzývá k zavedení účinnějšího využívání dostupných zdrojů, aby se zabránilo ohrožení efektivity Unie na mezinárodní úrovni; vyzývá ESVČ, aby pokračovala ve svém úsilí o modernizaci svých přístupů a investovala do nových dovedností a schopností a současně zvyšovala nákladovou efektivitu;</w:t>
      </w:r>
    </w:p>
    <w:p w:rsidR="00F847ED" w:rsidRPr="00CD6C73" w:rsidRDefault="00F847ED" w:rsidP="0045751D">
      <w:pPr>
        <w:pStyle w:val="NormalHanging12a"/>
        <w:rPr>
          <w:szCs w:val="24"/>
        </w:rPr>
      </w:pPr>
      <w:r w:rsidRPr="00CD6C73">
        <w:t>8</w:t>
      </w:r>
      <w:r w:rsidR="00C63A19">
        <w:t>8</w:t>
      </w:r>
      <w:r w:rsidRPr="00CD6C73">
        <w:t>.</w:t>
      </w:r>
      <w:r w:rsidRPr="00CD6C73">
        <w:tab/>
        <w:t>je mimořádně znepokojen pokračující spoluprací maďarského premiéra Viktora Orbána s ruským prezidentem, a to navzdory unijním sankcím a zatýkacímu rozkazu Mezinárodního trestního soudu za válečné zločiny vydanému proti ruskému prezidentovi, které jsou důsledkem pokračující ruské agrese na Ukrajině; zdůrazňuje, že podle čl. 24 odst. 3 Smlouvy o EU mají členské státy v duchu loajality a vzájemné solidarity povinnost aktivně a bezvýhradně podporovat vnější a bezpečnostní politiku Unie a zdržet se jednání, které je v rozporu se zájmy Unie; připomíná vysokému představiteli, místopředsedovi Komise jeho povinnost zajistit, aby členské státy dodržovaly zásady uvedené v tomto článku, a vyzývá jej, aby v této souvislosti informoval Parlament o svém posouzení politiky maďarského premiéra vůči Rusku a dodržování tohoto článku Smlouvy i o veškerých případných krocích, které podnikl;</w:t>
      </w:r>
    </w:p>
    <w:p w:rsidR="00F847ED" w:rsidRDefault="00F847ED" w:rsidP="0045751D">
      <w:pPr>
        <w:pStyle w:val="NormalHanging12a"/>
      </w:pPr>
      <w:r w:rsidRPr="00CD6C73">
        <w:t>8</w:t>
      </w:r>
      <w:r w:rsidR="00C63A19">
        <w:t>9</w:t>
      </w:r>
      <w:r w:rsidRPr="00CD6C73">
        <w:t>.</w:t>
      </w:r>
      <w:r w:rsidRPr="00CD6C73">
        <w:tab/>
        <w:t xml:space="preserve">důrazně odsuzuje používání sexuálního a genderově podmíněného násilí jako válečné zbraně na Ukrajině a klasifikuje je jako válečný zločin; upozorňuje na rostoucí počet zpráv o obchodování s lidmi, sexuálním násilí, vykořisťování, znásilňování a zneužívání, jimž čelí ženy a děti prchající z Ukrajiny do Evropy; vyzývá členské státy, </w:t>
      </w:r>
      <w:r w:rsidRPr="00CD6C73">
        <w:lastRenderedPageBreak/>
        <w:t>aby se zabývaly specifickými potřebami žen a dívek v přijímacích střediscích a zajistily okamžitou dostupnost služeb v oblasti genderově podmíněného násilí; naléhavě vyzývá Unii a hostitelské a tranzitní země, aby jim zaručily přístup ke službám v oblasti sexuálního a reprodukčního zdraví a práv; vyzývá Unii a její členské státy, aby podporovaly organizace poskytující služby a přístřeší uprchlým ženám a dívkám, které se staly obětí genderově podmíněného násilí;</w:t>
      </w:r>
    </w:p>
    <w:p w:rsidR="007730FE" w:rsidRPr="007730FE" w:rsidRDefault="00C63A19" w:rsidP="0045751D">
      <w:pPr>
        <w:pStyle w:val="NormalHanging12a"/>
        <w:rPr>
          <w:szCs w:val="24"/>
        </w:rPr>
      </w:pPr>
      <w:r>
        <w:t>90</w:t>
      </w:r>
      <w:r w:rsidR="007730FE" w:rsidRPr="00104956">
        <w:t>.</w:t>
      </w:r>
      <w:r w:rsidR="007730FE" w:rsidRPr="007730FE">
        <w:tab/>
      </w:r>
      <w:r w:rsidR="007730FE" w:rsidRPr="00104956">
        <w:t>vyjadřuje hluboké politování nad veškerým sexuálním násilím v průběhu konfliktů; zdůrazňuje, že tato cílená forma brutálního sexuálního násilí a mučení páchaného na ženách je ve válečných konfliktech systematicky využívána k zastrašování a ponižování obyvatelstva; v této souvislosti vyjadřuje hluboké politování nad nezměrným utrpením žen během útoků Hamásu dne 7. října 2023, při nichž se Hamás dopustil znásilnění a dalších forem hrubého sexuálního mučení žen, dospívajících a dívek izraelské i jiné národnosti, jak vyplývá ze zprávy mise OSN a zprávy Asociace krizových středisek pro oběti znásilnění v Izraeli; vyjadřuje politování nad tím, že ESVČ a Komise nepřevzaly vedoucí úlohu a na tyto kruté útoky reagovaly opožděně; důrazně vyzývá ESVČ, aby vypracovala lepší globální strategii, která by předcházela takovýmto útokům, aby poskytovala podporu ženám žijícím v rizikových oblastech a oblastech konfliktů a aby i nadále veřejně odsuzovala všechny formy sexuálního násilí a mučení;</w:t>
      </w:r>
    </w:p>
    <w:p w:rsidR="00F847ED" w:rsidRPr="00CD6C73" w:rsidRDefault="00F847ED" w:rsidP="0045751D">
      <w:pPr>
        <w:pStyle w:val="NormalHanging12a"/>
        <w:rPr>
          <w:b/>
          <w:i/>
          <w:szCs w:val="24"/>
        </w:rPr>
      </w:pPr>
      <w:r w:rsidRPr="00CD6C73">
        <w:t>9</w:t>
      </w:r>
      <w:r w:rsidR="00C63A19">
        <w:t>1</w:t>
      </w:r>
      <w:r w:rsidRPr="00CD6C73">
        <w:t>.</w:t>
      </w:r>
      <w:r w:rsidRPr="00CD6C73">
        <w:tab/>
        <w:t>vítá skutečnost, že vysoký představitel, místopředseda Komise svolal na 10. října</w:t>
      </w:r>
      <w:r w:rsidR="00C40A3A">
        <w:t xml:space="preserve"> 2023</w:t>
      </w:r>
      <w:r w:rsidRPr="00CD6C73">
        <w:t xml:space="preserve">, krátce po strašlivém teroristickém útoku Hamásu na Izrael, mimořádné zasedání Rady pro zahraniční věci; dále bere na vědomí, že Evropská rada na svém mimořádném zasedání dne 17. října 2023 zaujala společný postoj k situaci v Izraeli a Palestině, včetně akčního plánu s několika pracovními okruhy; je velmi znepokojen </w:t>
      </w:r>
      <w:r w:rsidR="007730FE" w:rsidRPr="00104956">
        <w:t>spekulacemi o tom</w:t>
      </w:r>
      <w:r w:rsidRPr="00C40A3A">
        <w:t>, že by peníze daňových poplatníků Unie mohly být použity Hamásem, místo aby z nich mělo prospěch palestinské civilní obyvatelstvo</w:t>
      </w:r>
      <w:r w:rsidR="00C40A3A" w:rsidRPr="00104956">
        <w:t>, a proto s uspokojením konstatuje, že přezkum týkající se pomoci Unie pro Palestinu, který byl dokončen v listopadu 2023</w:t>
      </w:r>
      <w:r w:rsidR="00C40A3A">
        <w:rPr>
          <w:rStyle w:val="FootnoteReference"/>
        </w:rPr>
        <w:footnoteReference w:id="7"/>
      </w:r>
      <w:r w:rsidR="00C40A3A" w:rsidRPr="00104956">
        <w:t>, ukázal, že dosud nebyly nalezeny žádné důkazy o tom, že by peníze byly přesměrovány na nezamýšlené účely</w:t>
      </w:r>
      <w:r w:rsidR="00C40A3A" w:rsidRPr="00C40A3A">
        <w:t>;</w:t>
      </w:r>
      <w:r w:rsidR="00C40A3A" w:rsidRPr="00104956">
        <w:t xml:space="preserve"> </w:t>
      </w:r>
      <w:r w:rsidR="00C40A3A" w:rsidRPr="00C40A3A">
        <w:t xml:space="preserve">je </w:t>
      </w:r>
      <w:r w:rsidR="00C40A3A" w:rsidRPr="00104956">
        <w:t>znepokojen závažnými tvrzeními Izraele, že 12</w:t>
      </w:r>
      <w:r w:rsidRPr="00C40A3A">
        <w:t xml:space="preserve"> zaměstnanců agentury UNRWA </w:t>
      </w:r>
      <w:r w:rsidR="00C40A3A" w:rsidRPr="00C40A3A">
        <w:t>mohlo být zapojeno do</w:t>
      </w:r>
      <w:r w:rsidRPr="00C40A3A">
        <w:t xml:space="preserve"> teroristických čin</w:t>
      </w:r>
      <w:r w:rsidR="00C40A3A" w:rsidRPr="00C40A3A">
        <w:t>ů</w:t>
      </w:r>
      <w:r w:rsidR="00C40A3A" w:rsidRPr="00104956">
        <w:t>, a bere na vědomí, že agentura okamžitě ukončila jejich smlouvy, zahájila vyšetřování OSN a jmenovala nezávislou kontrolní skupinu; konstatuje</w:t>
      </w:r>
      <w:r w:rsidRPr="00C40A3A">
        <w:t xml:space="preserve"> že ESVČ </w:t>
      </w:r>
      <w:r w:rsidR="00C40A3A" w:rsidRPr="00104956">
        <w:t>provádí neustálý monitoring, který má</w:t>
      </w:r>
      <w:r w:rsidRPr="00C40A3A">
        <w:t xml:space="preserve"> zneužívání finančních prostředků Unie teroristickými organizacemi, jako je Hamás</w:t>
      </w:r>
      <w:r w:rsidR="00C40A3A" w:rsidRPr="00C40A3A">
        <w:t>, zabránit</w:t>
      </w:r>
      <w:r w:rsidRPr="00C40A3A">
        <w:t xml:space="preserve">; </w:t>
      </w:r>
      <w:r w:rsidR="00C40A3A" w:rsidRPr="00104956">
        <w:t>konstatuje, že přezkum rovněž ukázal</w:t>
      </w:r>
      <w:r w:rsidR="00C40A3A" w:rsidRPr="00C40A3A">
        <w:t xml:space="preserve">, </w:t>
      </w:r>
      <w:r w:rsidR="00C40A3A" w:rsidRPr="00104956">
        <w:t xml:space="preserve">že Komise uplatňuje odpovídající kontroly </w:t>
      </w:r>
      <w:r w:rsidR="00C40A3A" w:rsidRPr="00104956">
        <w:rPr>
          <w:i/>
        </w:rPr>
        <w:t xml:space="preserve">ex ante </w:t>
      </w:r>
      <w:r w:rsidR="00C40A3A" w:rsidRPr="00104956">
        <w:t xml:space="preserve">a </w:t>
      </w:r>
      <w:r w:rsidR="00C40A3A" w:rsidRPr="00104956">
        <w:rPr>
          <w:i/>
        </w:rPr>
        <w:t>ex post</w:t>
      </w:r>
      <w:r w:rsidR="00C40A3A" w:rsidRPr="00104956">
        <w:t xml:space="preserve"> a že zavedené záruky jsou účinné</w:t>
      </w:r>
      <w:r w:rsidR="00C40A3A" w:rsidRPr="00C40A3A">
        <w:t>;</w:t>
      </w:r>
      <w:r w:rsidR="00C40A3A" w:rsidRPr="00104956">
        <w:t xml:space="preserve"> připomíná klíčovou úlohu agentury</w:t>
      </w:r>
      <w:r w:rsidRPr="00C40A3A">
        <w:t xml:space="preserve"> při poskytování </w:t>
      </w:r>
      <w:r w:rsidR="00C40A3A" w:rsidRPr="00104956">
        <w:t>humanitární pomoci v Gaze</w:t>
      </w:r>
      <w:r w:rsidR="00C40A3A" w:rsidRPr="00C40A3A">
        <w:t xml:space="preserve"> a</w:t>
      </w:r>
      <w:r w:rsidR="00C40A3A" w:rsidRPr="00104956">
        <w:t xml:space="preserve"> při nepřetržitém zajišťování životně důležitých služeb zranitelným palestinským uprchlíkům na celém Blízkém východě</w:t>
      </w:r>
      <w:r w:rsidRPr="00C40A3A">
        <w:t>; žádá ESVČ, aby Parlament informovala o změnách ve spolupráci mezi</w:t>
      </w:r>
      <w:r w:rsidRPr="00CD6C73">
        <w:t xml:space="preserve"> ESVČ a palestinskou samosprávou s cílem zabránit teroristům působit na území, za které nese odpovědnost palestinská samospráva;</w:t>
      </w:r>
    </w:p>
    <w:p w:rsidR="00F847ED" w:rsidRPr="00CD6C73" w:rsidRDefault="00F847ED" w:rsidP="0045751D">
      <w:pPr>
        <w:spacing w:after="240"/>
        <w:ind w:left="567" w:hanging="567"/>
      </w:pPr>
      <w:r w:rsidRPr="00CD6C73">
        <w:t>9</w:t>
      </w:r>
      <w:r w:rsidR="00C63A19">
        <w:t>2</w:t>
      </w:r>
      <w:r w:rsidRPr="00CD6C73">
        <w:t>.</w:t>
      </w:r>
      <w:r w:rsidRPr="00CD6C73">
        <w:tab/>
        <w:t>uznává, že ruská agresivní válka proti Ukrajině a situace v Gaze vedou k finanční zátěži členských států a evropských občanů i k finanční zátěži z hlediska fungování evropských orgánů; zdůrazňuje, že je důležité přezkoumat finanční zdroje přidělené Ukrajině a Gaze, aby byla zajištěna transparentnost a odpovědnost při využívání těchto prostředků.</w:t>
      </w:r>
    </w:p>
    <w:p w:rsidR="00E365E1" w:rsidRPr="00CD6C73" w:rsidRDefault="00E365E1" w:rsidP="0028226F">
      <w:bookmarkStart w:id="10" w:name="TextBodyEnd"/>
      <w:bookmarkEnd w:id="10"/>
    </w:p>
    <w:sectPr w:rsidR="00E365E1" w:rsidRPr="00CD6C73" w:rsidSect="00CD6C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26F" w:rsidRPr="00CD6C73" w:rsidRDefault="0028226F">
      <w:r w:rsidRPr="00CD6C73">
        <w:separator/>
      </w:r>
    </w:p>
  </w:endnote>
  <w:endnote w:type="continuationSeparator" w:id="0">
    <w:p w:rsidR="0028226F" w:rsidRPr="00CD6C73" w:rsidRDefault="0028226F">
      <w:r w:rsidRPr="00CD6C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7ED" w:rsidRPr="00CD6C73" w:rsidRDefault="00F847ED" w:rsidP="000328F5">
    <w:pPr>
      <w:pStyle w:val="EPFooter"/>
    </w:pPr>
    <w:r w:rsidRPr="00CD6C73">
      <w:t>PE</w:t>
    </w:r>
    <w:r w:rsidRPr="00CD6C73">
      <w:rPr>
        <w:rStyle w:val="HideTWBExt"/>
      </w:rPr>
      <w:t>&lt;NoPE&gt;</w:t>
    </w:r>
    <w:r w:rsidRPr="00CD6C73">
      <w:t>753.482</w:t>
    </w:r>
    <w:r w:rsidRPr="00CD6C73">
      <w:rPr>
        <w:rStyle w:val="HideTWBExt"/>
      </w:rPr>
      <w:t>&lt;/NoPE&gt;&lt;Version&gt;</w:t>
    </w:r>
    <w:r w:rsidRPr="00CD6C73">
      <w:t>v02-00</w:t>
    </w:r>
    <w:r w:rsidRPr="00CD6C73">
      <w:rPr>
        <w:rStyle w:val="HideTWBExt"/>
      </w:rPr>
      <w:t>&lt;/Version&gt;</w:t>
    </w:r>
    <w:r w:rsidRPr="00CD6C73">
      <w:tab/>
    </w:r>
    <w:r w:rsidRPr="00CD6C73">
      <w:fldChar w:fldCharType="begin"/>
    </w:r>
    <w:r w:rsidRPr="00CD6C73">
      <w:instrText xml:space="preserve"> PAGE  \* MERGEFORMAT </w:instrText>
    </w:r>
    <w:r w:rsidRPr="00CD6C73">
      <w:fldChar w:fldCharType="separate"/>
    </w:r>
    <w:r w:rsidR="00CD6C73" w:rsidRPr="00CD6C73">
      <w:rPr>
        <w:noProof/>
      </w:rPr>
      <w:t>2</w:t>
    </w:r>
    <w:r w:rsidRPr="00CD6C73">
      <w:fldChar w:fldCharType="end"/>
    </w:r>
    <w:r w:rsidRPr="00CD6C73">
      <w:t>/</w:t>
    </w:r>
    <w:r w:rsidR="00FA7B5C">
      <w:fldChar w:fldCharType="begin"/>
    </w:r>
    <w:r w:rsidR="00FA7B5C">
      <w:instrText xml:space="preserve"> NUMPAGES  \* MERGEFORMAT </w:instrText>
    </w:r>
    <w:r w:rsidR="00FA7B5C">
      <w:fldChar w:fldCharType="separate"/>
    </w:r>
    <w:r w:rsidR="00CD6C73" w:rsidRPr="00CD6C73">
      <w:rPr>
        <w:noProof/>
      </w:rPr>
      <w:t>18</w:t>
    </w:r>
    <w:r w:rsidR="00FA7B5C">
      <w:rPr>
        <w:noProof/>
      </w:rPr>
      <w:fldChar w:fldCharType="end"/>
    </w:r>
    <w:r w:rsidRPr="00CD6C73">
      <w:tab/>
    </w:r>
    <w:r w:rsidRPr="00CD6C73">
      <w:rPr>
        <w:rStyle w:val="HideTWBExt"/>
      </w:rPr>
      <w:t>&lt;PathFdR&gt;</w:t>
    </w:r>
    <w:r w:rsidRPr="00CD6C73">
      <w:t>RR\1298778CS.docx</w:t>
    </w:r>
    <w:r w:rsidRPr="00CD6C73">
      <w:rPr>
        <w:rStyle w:val="HideTWBExt"/>
      </w:rPr>
      <w:t>&lt;/PathFdR&gt;</w:t>
    </w:r>
  </w:p>
  <w:p w:rsidR="00F847ED" w:rsidRPr="00CD6C73" w:rsidRDefault="00F847ED" w:rsidP="000328F5">
    <w:pPr>
      <w:pStyle w:val="EPFooter2"/>
    </w:pPr>
    <w:r w:rsidRPr="00CD6C73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7ED" w:rsidRPr="00CD6C73" w:rsidRDefault="00F847ED" w:rsidP="000328F5">
    <w:pPr>
      <w:pStyle w:val="EPFooter"/>
    </w:pPr>
    <w:r w:rsidRPr="00CD6C73">
      <w:rPr>
        <w:rStyle w:val="HideTWBExt"/>
      </w:rPr>
      <w:t>&lt;PathFdR&gt;</w:t>
    </w:r>
    <w:r w:rsidRPr="00CD6C73">
      <w:t>RR\1298778CS.docx</w:t>
    </w:r>
    <w:r w:rsidRPr="00CD6C73">
      <w:rPr>
        <w:rStyle w:val="HideTWBExt"/>
      </w:rPr>
      <w:t>&lt;/PathFdR&gt;</w:t>
    </w:r>
    <w:r w:rsidRPr="00CD6C73">
      <w:tab/>
    </w:r>
    <w:r w:rsidRPr="00CD6C73">
      <w:tab/>
      <w:t>PE</w:t>
    </w:r>
    <w:r w:rsidRPr="00CD6C73">
      <w:rPr>
        <w:rStyle w:val="HideTWBExt"/>
      </w:rPr>
      <w:t>&lt;NoPE&gt;</w:t>
    </w:r>
    <w:r w:rsidRPr="00CD6C73">
      <w:t>753.482</w:t>
    </w:r>
    <w:r w:rsidRPr="00CD6C73">
      <w:rPr>
        <w:rStyle w:val="HideTWBExt"/>
      </w:rPr>
      <w:t>&lt;/NoPE&gt;&lt;Version&gt;</w:t>
    </w:r>
    <w:r w:rsidRPr="00CD6C73">
      <w:t>v02-00</w:t>
    </w:r>
    <w:r w:rsidRPr="00CD6C73">
      <w:rPr>
        <w:rStyle w:val="HideTWBExt"/>
      </w:rPr>
      <w:t>&lt;/Version&gt;</w:t>
    </w:r>
  </w:p>
  <w:p w:rsidR="00F847ED" w:rsidRPr="00CD6C73" w:rsidRDefault="00F847ED" w:rsidP="000328F5">
    <w:pPr>
      <w:pStyle w:val="EPFooter2"/>
    </w:pPr>
    <w:r w:rsidRPr="00CD6C73">
      <w:t>CS</w:t>
    </w:r>
    <w:r w:rsidRPr="00CD6C73">
      <w:tab/>
    </w:r>
    <w:r w:rsidRPr="00CD6C73">
      <w:rPr>
        <w:b w:val="0"/>
        <w:i/>
        <w:color w:val="C0C0C0"/>
        <w:sz w:val="22"/>
      </w:rPr>
      <w:t>Jednotná v rozmanitosti</w:t>
    </w:r>
    <w:r w:rsidRPr="00CD6C73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6C7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6C7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6C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26F" w:rsidRPr="00CD6C73" w:rsidRDefault="0028226F">
      <w:r w:rsidRPr="00CD6C73">
        <w:separator/>
      </w:r>
    </w:p>
  </w:footnote>
  <w:footnote w:type="continuationSeparator" w:id="0">
    <w:p w:rsidR="0028226F" w:rsidRPr="00CD6C73" w:rsidRDefault="0028226F">
      <w:r w:rsidRPr="00CD6C73">
        <w:continuationSeparator/>
      </w:r>
    </w:p>
  </w:footnote>
  <w:footnote w:id="1">
    <w:p w:rsidR="00F847ED" w:rsidRPr="00CD6C73" w:rsidRDefault="00F847ED" w:rsidP="00CD6C73">
      <w:pPr>
        <w:pStyle w:val="FootnoteText"/>
        <w:ind w:left="567" w:hanging="567"/>
        <w:rPr>
          <w:sz w:val="24"/>
          <w:lang w:val="cs-CZ"/>
        </w:rPr>
      </w:pPr>
      <w:r w:rsidRPr="00CD6C73">
        <w:rPr>
          <w:rStyle w:val="FootnoteReference"/>
          <w:sz w:val="24"/>
          <w:lang w:val="cs-CZ"/>
        </w:rPr>
        <w:footnoteRef/>
      </w:r>
      <w:r w:rsidR="00CD6C73" w:rsidRPr="00CD6C73">
        <w:rPr>
          <w:sz w:val="24"/>
          <w:lang w:val="cs-CZ"/>
        </w:rPr>
        <w:t xml:space="preserve"> </w:t>
      </w:r>
      <w:r w:rsidR="00CD6C73" w:rsidRPr="00CD6C73">
        <w:rPr>
          <w:sz w:val="24"/>
          <w:lang w:val="cs-CZ"/>
        </w:rPr>
        <w:tab/>
      </w:r>
      <w:r w:rsidRPr="00CD6C73">
        <w:rPr>
          <w:sz w:val="24"/>
          <w:lang w:val="cs-CZ"/>
        </w:rPr>
        <w:t>Úř. věst. L 45, 24.2.2022.</w:t>
      </w:r>
    </w:p>
  </w:footnote>
  <w:footnote w:id="2">
    <w:p w:rsidR="00F847ED" w:rsidRPr="00CD6C73" w:rsidRDefault="00F847ED" w:rsidP="00CD6C73">
      <w:pPr>
        <w:pStyle w:val="FootnoteText"/>
        <w:ind w:left="567" w:hanging="567"/>
        <w:rPr>
          <w:sz w:val="24"/>
          <w:lang w:val="cs-CZ"/>
        </w:rPr>
      </w:pPr>
      <w:r w:rsidRPr="00CD6C73">
        <w:rPr>
          <w:rStyle w:val="FootnoteReference"/>
          <w:sz w:val="24"/>
          <w:lang w:val="cs-CZ"/>
        </w:rPr>
        <w:footnoteRef/>
      </w:r>
      <w:r w:rsidR="00CD6C73" w:rsidRPr="00CD6C73">
        <w:rPr>
          <w:sz w:val="24"/>
          <w:lang w:val="cs-CZ"/>
        </w:rPr>
        <w:t xml:space="preserve"> </w:t>
      </w:r>
      <w:r w:rsidR="00CD6C73" w:rsidRPr="00CD6C73">
        <w:rPr>
          <w:sz w:val="24"/>
          <w:lang w:val="cs-CZ"/>
        </w:rPr>
        <w:tab/>
      </w:r>
      <w:r w:rsidRPr="00CD6C73">
        <w:rPr>
          <w:sz w:val="24"/>
          <w:lang w:val="cs-CZ"/>
        </w:rPr>
        <w:t>Úř. věst. C, C/2023/2, 12.10.2023.</w:t>
      </w:r>
    </w:p>
  </w:footnote>
  <w:footnote w:id="3">
    <w:p w:rsidR="00F847ED" w:rsidRPr="00CD6C73" w:rsidRDefault="00F847ED" w:rsidP="00CD6C73">
      <w:pPr>
        <w:pStyle w:val="FootnoteText"/>
        <w:ind w:left="567" w:hanging="567"/>
        <w:rPr>
          <w:sz w:val="24"/>
          <w:lang w:val="cs-CZ"/>
        </w:rPr>
      </w:pPr>
      <w:r w:rsidRPr="00CD6C73">
        <w:rPr>
          <w:rStyle w:val="FootnoteReference"/>
          <w:sz w:val="24"/>
          <w:lang w:val="cs-CZ"/>
        </w:rPr>
        <w:footnoteRef/>
      </w:r>
      <w:r w:rsidR="00CD6C73" w:rsidRPr="00CD6C73">
        <w:rPr>
          <w:sz w:val="24"/>
          <w:lang w:val="cs-CZ"/>
        </w:rPr>
        <w:t xml:space="preserve"> </w:t>
      </w:r>
      <w:r w:rsidR="00CD6C73" w:rsidRPr="00CD6C73">
        <w:rPr>
          <w:sz w:val="24"/>
          <w:lang w:val="cs-CZ"/>
        </w:rPr>
        <w:tab/>
      </w:r>
      <w:r w:rsidRPr="00CD6C73">
        <w:rPr>
          <w:sz w:val="24"/>
          <w:lang w:val="cs-CZ"/>
        </w:rPr>
        <w:t>Úř. věst. C, C/2023/103, 4.10.2023.</w:t>
      </w:r>
    </w:p>
  </w:footnote>
  <w:footnote w:id="4">
    <w:p w:rsidR="00F847ED" w:rsidRPr="00CD6C73" w:rsidRDefault="00F847ED" w:rsidP="00CD6C73">
      <w:pPr>
        <w:pStyle w:val="FootnoteText"/>
        <w:ind w:left="567" w:hanging="567"/>
        <w:rPr>
          <w:sz w:val="24"/>
          <w:lang w:val="cs-CZ"/>
        </w:rPr>
      </w:pPr>
      <w:r w:rsidRPr="00CD6C73">
        <w:rPr>
          <w:rStyle w:val="FootnoteReference"/>
          <w:sz w:val="24"/>
          <w:lang w:val="cs-CZ"/>
        </w:rPr>
        <w:footnoteRef/>
      </w:r>
      <w:r w:rsidR="00CD6C73" w:rsidRPr="00CD6C73">
        <w:rPr>
          <w:sz w:val="24"/>
          <w:lang w:val="cs-CZ"/>
        </w:rPr>
        <w:t xml:space="preserve"> </w:t>
      </w:r>
      <w:r w:rsidR="00CD6C73" w:rsidRPr="00CD6C73">
        <w:rPr>
          <w:sz w:val="24"/>
          <w:lang w:val="cs-CZ"/>
        </w:rPr>
        <w:tab/>
      </w:r>
      <w:r w:rsidRPr="00CD6C73">
        <w:rPr>
          <w:sz w:val="24"/>
          <w:lang w:val="cs-CZ"/>
        </w:rPr>
        <w:t>Úř. věst. C, C/2023/112, 12.10.2023.</w:t>
      </w:r>
    </w:p>
  </w:footnote>
  <w:footnote w:id="5">
    <w:p w:rsidR="00F847ED" w:rsidRPr="00CD6C73" w:rsidRDefault="00F847ED" w:rsidP="00CD6C73">
      <w:pPr>
        <w:pStyle w:val="FootnoteText"/>
        <w:ind w:left="567" w:hanging="567"/>
        <w:rPr>
          <w:sz w:val="24"/>
          <w:lang w:val="cs-CZ"/>
        </w:rPr>
      </w:pPr>
      <w:r w:rsidRPr="00CD6C73">
        <w:rPr>
          <w:rStyle w:val="FootnoteReference"/>
          <w:sz w:val="24"/>
          <w:lang w:val="cs-CZ"/>
        </w:rPr>
        <w:footnoteRef/>
      </w:r>
      <w:r w:rsidR="00CD6C73" w:rsidRPr="00CD6C73">
        <w:rPr>
          <w:sz w:val="24"/>
          <w:lang w:val="cs-CZ"/>
        </w:rPr>
        <w:t xml:space="preserve"> </w:t>
      </w:r>
      <w:r w:rsidR="00CD6C73" w:rsidRPr="00CD6C73">
        <w:rPr>
          <w:sz w:val="24"/>
          <w:lang w:val="cs-CZ"/>
        </w:rPr>
        <w:tab/>
      </w:r>
      <w:r w:rsidRPr="00CD6C73">
        <w:rPr>
          <w:sz w:val="24"/>
          <w:lang w:val="cs-CZ"/>
        </w:rPr>
        <w:t>Úř. věst. L 193, 30.7.2018, s. 1.</w:t>
      </w:r>
    </w:p>
  </w:footnote>
  <w:footnote w:id="6">
    <w:p w:rsidR="00F847ED" w:rsidRPr="00CD6C73" w:rsidRDefault="00F847ED" w:rsidP="00CD6C73">
      <w:pPr>
        <w:pStyle w:val="FootnoteText"/>
        <w:ind w:left="567" w:hanging="567"/>
        <w:rPr>
          <w:iCs/>
          <w:sz w:val="24"/>
          <w:szCs w:val="24"/>
          <w:lang w:val="cs-CZ"/>
        </w:rPr>
      </w:pPr>
      <w:r w:rsidRPr="00CD6C73">
        <w:rPr>
          <w:rStyle w:val="FootnoteReference"/>
          <w:sz w:val="24"/>
          <w:lang w:val="cs-CZ"/>
        </w:rPr>
        <w:footnoteRef/>
      </w:r>
      <w:r w:rsidR="00CD6C73" w:rsidRPr="00CD6C73">
        <w:rPr>
          <w:sz w:val="24"/>
          <w:lang w:val="cs-CZ"/>
        </w:rPr>
        <w:t xml:space="preserve"> </w:t>
      </w:r>
      <w:r w:rsidR="00CD6C73" w:rsidRPr="00CD6C73">
        <w:rPr>
          <w:sz w:val="24"/>
          <w:lang w:val="cs-CZ"/>
        </w:rPr>
        <w:tab/>
      </w:r>
      <w:r w:rsidRPr="00CD6C73">
        <w:rPr>
          <w:sz w:val="24"/>
          <w:lang w:val="cs-CZ"/>
        </w:rPr>
        <w:t>Úř. věst. L 201, 3.8.2010, s. 30.</w:t>
      </w:r>
    </w:p>
  </w:footnote>
  <w:footnote w:id="7">
    <w:p w:rsidR="00C40A3A" w:rsidRPr="00104956" w:rsidRDefault="00C40A3A" w:rsidP="00104956">
      <w:pPr>
        <w:pStyle w:val="FootnoteText"/>
        <w:ind w:left="567" w:hanging="567"/>
        <w:rPr>
          <w:sz w:val="24"/>
          <w:szCs w:val="24"/>
          <w:lang w:val="cs-CZ"/>
        </w:rPr>
      </w:pPr>
      <w:r w:rsidRPr="00104956">
        <w:rPr>
          <w:rStyle w:val="FootnoteReference"/>
          <w:sz w:val="24"/>
          <w:szCs w:val="24"/>
        </w:rPr>
        <w:footnoteRef/>
      </w:r>
      <w:r w:rsidRPr="00104956">
        <w:rPr>
          <w:sz w:val="24"/>
          <w:szCs w:val="24"/>
          <w:lang w:val="cs-CZ"/>
        </w:rPr>
        <w:tab/>
        <w:t>Sdělení Komisi „Přezkum aktuálně poskytované fina</w:t>
      </w:r>
      <w:r w:rsidR="00FA7B5C">
        <w:rPr>
          <w:sz w:val="24"/>
          <w:szCs w:val="24"/>
          <w:lang w:val="cs-CZ"/>
        </w:rPr>
        <w:t>nční pomoci Palestině“, C(2023)</w:t>
      </w:r>
      <w:bookmarkStart w:id="9" w:name="_GoBack"/>
      <w:bookmarkEnd w:id="9"/>
      <w:r w:rsidRPr="00104956">
        <w:rPr>
          <w:sz w:val="24"/>
          <w:szCs w:val="24"/>
          <w:lang w:val="cs-CZ"/>
        </w:rPr>
        <w:t>8300 final.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6C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6C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6C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2/2024"/>
    <w:docVar w:name="dvlangue" w:val="CS"/>
    <w:docVar w:name="dvnumam" w:val="0"/>
    <w:docVar w:name="dvpe" w:val="753.482"/>
    <w:docVar w:name="dvrapporteur" w:val="Zpravodajka: "/>
    <w:docVar w:name="dvtitre" w:val="1. Rozhodnutí Evropského parlamentu ze dne 11. dubna 2024 o udělení absolutoria za plnění souhrnného rozpočtu Evropské unie na rozpočtový rok 2022, oddíl X – Evropská služba pro vnější činnost(2023/2134(DEC))"/>
  </w:docVars>
  <w:rsids>
    <w:rsidRoot w:val="0028226F"/>
    <w:rsid w:val="00000FBE"/>
    <w:rsid w:val="00002272"/>
    <w:rsid w:val="00064002"/>
    <w:rsid w:val="000677B9"/>
    <w:rsid w:val="000831BA"/>
    <w:rsid w:val="000A42CC"/>
    <w:rsid w:val="000E7DD9"/>
    <w:rsid w:val="0010095E"/>
    <w:rsid w:val="00104956"/>
    <w:rsid w:val="00125B37"/>
    <w:rsid w:val="00187494"/>
    <w:rsid w:val="001F32AE"/>
    <w:rsid w:val="002767FF"/>
    <w:rsid w:val="0028226F"/>
    <w:rsid w:val="002B18FE"/>
    <w:rsid w:val="002B5493"/>
    <w:rsid w:val="00343214"/>
    <w:rsid w:val="00361C00"/>
    <w:rsid w:val="00361CFD"/>
    <w:rsid w:val="00395FA1"/>
    <w:rsid w:val="003E15D4"/>
    <w:rsid w:val="00411CCE"/>
    <w:rsid w:val="0041666E"/>
    <w:rsid w:val="00421060"/>
    <w:rsid w:val="00431E39"/>
    <w:rsid w:val="0045751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0FE"/>
    <w:rsid w:val="00786EC0"/>
    <w:rsid w:val="007D1690"/>
    <w:rsid w:val="007E22AD"/>
    <w:rsid w:val="00817416"/>
    <w:rsid w:val="00842779"/>
    <w:rsid w:val="00865F67"/>
    <w:rsid w:val="00876FA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246"/>
    <w:rsid w:val="00A778C7"/>
    <w:rsid w:val="00AB441E"/>
    <w:rsid w:val="00AB6293"/>
    <w:rsid w:val="00AC46A9"/>
    <w:rsid w:val="00AE0928"/>
    <w:rsid w:val="00AF3B82"/>
    <w:rsid w:val="00B12E95"/>
    <w:rsid w:val="00B22876"/>
    <w:rsid w:val="00B558F0"/>
    <w:rsid w:val="00BD48FE"/>
    <w:rsid w:val="00BD7BD8"/>
    <w:rsid w:val="00BE6ADC"/>
    <w:rsid w:val="00BF7630"/>
    <w:rsid w:val="00C05BFE"/>
    <w:rsid w:val="00C23CD4"/>
    <w:rsid w:val="00C40A3A"/>
    <w:rsid w:val="00C61C0C"/>
    <w:rsid w:val="00C63A19"/>
    <w:rsid w:val="00C941CB"/>
    <w:rsid w:val="00CC2357"/>
    <w:rsid w:val="00CD6C7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39F"/>
    <w:rsid w:val="00F74202"/>
    <w:rsid w:val="00F847ED"/>
    <w:rsid w:val="00F87713"/>
    <w:rsid w:val="00FA7B5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2CEE3"/>
  <w15:chartTrackingRefBased/>
  <w15:docId w15:val="{B8C6DFEA-AB70-49B7-B11B-A06B6D8C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847E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847ED"/>
    <w:pPr>
      <w:spacing w:before="480" w:after="240"/>
    </w:pPr>
  </w:style>
  <w:style w:type="paragraph" w:customStyle="1" w:styleId="PageHeading">
    <w:name w:val="PageHeading"/>
    <w:basedOn w:val="Normal"/>
    <w:rsid w:val="00F847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847ED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F847E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847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47ED"/>
    <w:rPr>
      <w:sz w:val="24"/>
      <w:lang w:val="cs-CZ"/>
    </w:rPr>
  </w:style>
  <w:style w:type="paragraph" w:customStyle="1" w:styleId="EPFooter">
    <w:name w:val="EPFooter"/>
    <w:basedOn w:val="Normal"/>
    <w:rsid w:val="00F847E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F847ED"/>
    <w:rPr>
      <w:sz w:val="24"/>
      <w:lang w:val="cs-CZ"/>
    </w:rPr>
  </w:style>
  <w:style w:type="paragraph" w:styleId="Footer">
    <w:name w:val="footer"/>
    <w:basedOn w:val="Normal"/>
    <w:link w:val="FooterChar"/>
    <w:rsid w:val="004575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5751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1EA07-32C9-4603-9AE3-42A83E1E5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7807</Words>
  <Characters>44506</Characters>
  <Application>Microsoft Office Word</Application>
  <DocSecurity>0</DocSecurity>
  <Lines>370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2024-05-15T09:44:00Z</dcterms:created>
  <dcterms:modified xsi:type="dcterms:W3CDTF">2024-05-15T09:44:00Z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P9_TA(2024)0236_</vt:lpwstr>
  </property>
  <property fmtid="{D5CDD505-2E9C-101B-9397-08002B2CF9AE}" pid="4" name="&lt;Type&gt;">
    <vt:lpwstr>RR</vt:lpwstr>
  </property>
</Properties>
</file>