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19DA" w:rsidTr="0010095E">
        <w:trPr>
          <w:trHeight w:hRule="exact" w:val="1418"/>
        </w:trPr>
        <w:tc>
          <w:tcPr>
            <w:tcW w:w="6804" w:type="dxa"/>
            <w:shd w:val="clear" w:color="auto" w:fill="auto"/>
            <w:vAlign w:val="center"/>
          </w:tcPr>
          <w:p w:rsidR="00751A4A" w:rsidRPr="00D219DA" w:rsidRDefault="00DA0F87" w:rsidP="0010095E">
            <w:pPr>
              <w:pStyle w:val="EPName"/>
            </w:pPr>
            <w:r w:rsidRPr="00D219DA">
              <w:t>Европейски</w:t>
            </w:r>
            <w:r w:rsidR="00C91686" w:rsidRPr="00D219DA">
              <w:t xml:space="preserve"> парламент</w:t>
            </w:r>
          </w:p>
          <w:p w:rsidR="00751A4A" w:rsidRPr="00D219DA" w:rsidRDefault="00DA0F87" w:rsidP="00756632">
            <w:pPr>
              <w:pStyle w:val="EPTerm"/>
              <w:rPr>
                <w:rStyle w:val="HideTWBExt"/>
                <w:noProof w:val="0"/>
                <w:vanish w:val="0"/>
                <w:color w:val="auto"/>
              </w:rPr>
            </w:pPr>
            <w:r>
              <w:t>2019 – </w:t>
            </w:r>
            <w:r w:rsidR="00817416" w:rsidRPr="00D219DA">
              <w:t>2024</w:t>
            </w:r>
          </w:p>
        </w:tc>
        <w:tc>
          <w:tcPr>
            <w:tcW w:w="2268" w:type="dxa"/>
            <w:shd w:val="clear" w:color="auto" w:fill="auto"/>
          </w:tcPr>
          <w:p w:rsidR="00751A4A" w:rsidRPr="00D219DA" w:rsidRDefault="00187494" w:rsidP="0010095E">
            <w:pPr>
              <w:pStyle w:val="EPLogo"/>
            </w:pPr>
            <w:r w:rsidRPr="00D219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19DA" w:rsidRDefault="00D058B8" w:rsidP="004C5D52">
      <w:pPr>
        <w:pStyle w:val="LineTop"/>
      </w:pPr>
    </w:p>
    <w:p w:rsidR="00680577" w:rsidRPr="00D219DA" w:rsidRDefault="00C91686" w:rsidP="00680577">
      <w:pPr>
        <w:pStyle w:val="EPBodyTA1"/>
      </w:pPr>
      <w:r w:rsidRPr="00D219DA">
        <w:t>ПРИЕТИ ТЕКСТОВЕ</w:t>
      </w:r>
    </w:p>
    <w:p w:rsidR="00D058B8" w:rsidRPr="00D219DA" w:rsidRDefault="00D058B8" w:rsidP="00D058B8">
      <w:pPr>
        <w:pStyle w:val="LineBottom"/>
      </w:pPr>
    </w:p>
    <w:p w:rsidR="00C91686" w:rsidRPr="00EC1D48" w:rsidRDefault="00C91686" w:rsidP="00EC1D48">
      <w:pPr>
        <w:pStyle w:val="ATHeading1"/>
        <w:rPr>
          <w:lang w:val="en-GB"/>
        </w:rPr>
      </w:pPr>
      <w:bookmarkStart w:id="0" w:name="TANumber"/>
      <w:r w:rsidRPr="00D219DA">
        <w:t>P9_TA(2024)</w:t>
      </w:r>
      <w:bookmarkEnd w:id="0"/>
      <w:r w:rsidR="00EC1D48" w:rsidRPr="00D219DA">
        <w:t>0</w:t>
      </w:r>
      <w:r w:rsidR="00EC1D48">
        <w:rPr>
          <w:lang w:val="en-GB"/>
        </w:rPr>
        <w:t>237</w:t>
      </w:r>
      <w:bookmarkStart w:id="1" w:name="_GoBack"/>
      <w:bookmarkEnd w:id="1"/>
    </w:p>
    <w:p w:rsidR="00C91686" w:rsidRPr="00D219DA" w:rsidRDefault="00C91686" w:rsidP="00C91686">
      <w:pPr>
        <w:pStyle w:val="ATHeading2"/>
      </w:pPr>
      <w:bookmarkStart w:id="2" w:name="title"/>
      <w:r w:rsidRPr="00D219DA">
        <w:t>Освобождаване от отговорност във връзка с изпълнението на бюджета за 2022 г.: Европейска прокуратура</w:t>
      </w:r>
      <w:bookmarkEnd w:id="2"/>
    </w:p>
    <w:p w:rsidR="00C91686" w:rsidRPr="00D219DA" w:rsidRDefault="00C91686" w:rsidP="00C91686">
      <w:pPr>
        <w:rPr>
          <w:i/>
          <w:vanish/>
        </w:rPr>
      </w:pPr>
      <w:r w:rsidRPr="00D219DA">
        <w:rPr>
          <w:i/>
        </w:rPr>
        <w:fldChar w:fldCharType="begin"/>
      </w:r>
      <w:r w:rsidRPr="00D219DA">
        <w:rPr>
          <w:i/>
        </w:rPr>
        <w:instrText xml:space="preserve"> TC"(</w:instrText>
      </w:r>
      <w:bookmarkStart w:id="3" w:name="DocNumber"/>
      <w:r w:rsidRPr="00D219DA">
        <w:rPr>
          <w:i/>
        </w:rPr>
        <w:instrText>A9-0117/2024</w:instrText>
      </w:r>
      <w:bookmarkEnd w:id="3"/>
      <w:r w:rsidRPr="00D219DA">
        <w:rPr>
          <w:i/>
        </w:rPr>
        <w:instrText xml:space="preserve"> - Докладчик: Люк </w:instrText>
      </w:r>
      <w:proofErr w:type="spellStart"/>
      <w:r w:rsidRPr="00D219DA">
        <w:rPr>
          <w:i/>
        </w:rPr>
        <w:instrText>Минг</w:instrText>
      </w:r>
      <w:proofErr w:type="spellEnd"/>
      <w:r w:rsidRPr="00D219DA">
        <w:rPr>
          <w:i/>
        </w:rPr>
        <w:instrText xml:space="preserve"> </w:instrText>
      </w:r>
      <w:proofErr w:type="spellStart"/>
      <w:r w:rsidRPr="00D219DA">
        <w:rPr>
          <w:i/>
        </w:rPr>
        <w:instrText>Фланаган</w:instrText>
      </w:r>
      <w:proofErr w:type="spellEnd"/>
      <w:r w:rsidRPr="00D219DA">
        <w:rPr>
          <w:i/>
        </w:rPr>
        <w:instrText xml:space="preserve">)"\l3 \n&gt; \* MERGEFORMAT </w:instrText>
      </w:r>
      <w:r w:rsidRPr="00D219DA">
        <w:rPr>
          <w:i/>
        </w:rPr>
        <w:fldChar w:fldCharType="end"/>
      </w:r>
    </w:p>
    <w:p w:rsidR="00C91686" w:rsidRPr="00D219DA" w:rsidRDefault="00C91686" w:rsidP="00C91686">
      <w:pPr>
        <w:rPr>
          <w:vanish/>
        </w:rPr>
      </w:pPr>
      <w:bookmarkStart w:id="4" w:name="Commission"/>
      <w:r w:rsidRPr="00D219DA">
        <w:rPr>
          <w:vanish/>
        </w:rPr>
        <w:t>Комисия по бюджетен контрол</w:t>
      </w:r>
      <w:bookmarkEnd w:id="4"/>
    </w:p>
    <w:p w:rsidR="00C91686" w:rsidRPr="00D219DA" w:rsidRDefault="00C91686" w:rsidP="00C91686">
      <w:pPr>
        <w:rPr>
          <w:vanish/>
        </w:rPr>
      </w:pPr>
      <w:bookmarkStart w:id="5" w:name="PE"/>
      <w:r w:rsidRPr="00D219DA">
        <w:rPr>
          <w:vanish/>
        </w:rPr>
        <w:t>PE753.489</w:t>
      </w:r>
      <w:bookmarkEnd w:id="5"/>
    </w:p>
    <w:p w:rsidR="00C91686" w:rsidRPr="00D219DA" w:rsidRDefault="00DA0F87" w:rsidP="00DA0F87">
      <w:pPr>
        <w:pStyle w:val="ATHeading3"/>
      </w:pPr>
      <w:bookmarkStart w:id="6" w:name="Sujet"/>
      <w:r>
        <w:t xml:space="preserve">1. </w:t>
      </w:r>
      <w:r w:rsidR="00C91686" w:rsidRPr="00D219DA">
        <w:t xml:space="preserve">Решение на Европейския парламент от </w:t>
      </w:r>
      <w:r w:rsidR="00FA7729">
        <w:t>11 април</w:t>
      </w:r>
      <w:r w:rsidR="00FA7729" w:rsidRPr="00D219DA">
        <w:t xml:space="preserve"> </w:t>
      </w:r>
      <w:r w:rsidR="00C91686" w:rsidRPr="00D219DA">
        <w:t>2024 г. относно освобождаването от отговорност във връзка с изпълнението на бюджета на Европейската прокуратура за финансовата 2022 година</w:t>
      </w:r>
      <w:bookmarkEnd w:id="6"/>
      <w:r w:rsidR="00C91686" w:rsidRPr="00D219DA">
        <w:t xml:space="preserve"> </w:t>
      </w:r>
      <w:bookmarkStart w:id="7" w:name="References"/>
      <w:r w:rsidR="00C91686" w:rsidRPr="00D219DA">
        <w:t>(2023/2139(DEC))</w:t>
      </w:r>
      <w:bookmarkEnd w:id="7"/>
    </w:p>
    <w:p w:rsidR="0093355F" w:rsidRPr="00D219DA" w:rsidRDefault="0093355F" w:rsidP="0093355F">
      <w:pPr>
        <w:pStyle w:val="EPComma"/>
      </w:pPr>
      <w:bookmarkStart w:id="8" w:name="TextBodyBegin"/>
      <w:bookmarkEnd w:id="8"/>
      <w:r w:rsidRPr="00D219DA">
        <w:rPr>
          <w:i/>
        </w:rPr>
        <w:t>Европейският парламент</w:t>
      </w:r>
      <w:r w:rsidRPr="00D219DA">
        <w:t>,</w:t>
      </w:r>
    </w:p>
    <w:p w:rsidR="0093355F" w:rsidRPr="00D219DA" w:rsidRDefault="0093355F" w:rsidP="0093355F">
      <w:pPr>
        <w:pStyle w:val="NormalHanging12a"/>
      </w:pPr>
      <w:r w:rsidRPr="00D219DA">
        <w:t>–</w:t>
      </w:r>
      <w:r w:rsidRPr="00D219DA">
        <w:tab/>
        <w:t>като взе предвид окончателните годишни отчети на Европейската прокуратура за финансовата 2022 година,</w:t>
      </w:r>
    </w:p>
    <w:p w:rsidR="0093355F" w:rsidRPr="00D219DA" w:rsidRDefault="0093355F" w:rsidP="0093355F">
      <w:pPr>
        <w:pStyle w:val="NormalHanging12a"/>
      </w:pPr>
      <w:r w:rsidRPr="00D219DA">
        <w:t>–</w:t>
      </w:r>
      <w:r w:rsidRPr="00D219DA">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D219DA">
        <w:rPr>
          <w:rStyle w:val="FootnoteReference"/>
        </w:rPr>
        <w:footnoteReference w:id="1"/>
      </w:r>
      <w:r w:rsidRPr="00D219DA">
        <w:t>,</w:t>
      </w:r>
    </w:p>
    <w:p w:rsidR="0093355F" w:rsidRPr="00D219DA" w:rsidRDefault="0093355F" w:rsidP="0093355F">
      <w:pPr>
        <w:pStyle w:val="NormalHanging12a"/>
      </w:pPr>
      <w:r w:rsidRPr="00D219DA">
        <w:t>–</w:t>
      </w:r>
      <w:r w:rsidRPr="00D219DA">
        <w:tab/>
        <w:t>като взе предвид декларацията за достоверност</w:t>
      </w:r>
      <w:r w:rsidRPr="00D219DA">
        <w:rPr>
          <w:rStyle w:val="FootnoteReference"/>
        </w:rPr>
        <w:footnoteReference w:id="2"/>
      </w:r>
      <w:r w:rsidRPr="00D219D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93355F" w:rsidRPr="00D219DA" w:rsidRDefault="0093355F" w:rsidP="0093355F">
      <w:pPr>
        <w:pStyle w:val="NormalHanging12a"/>
      </w:pPr>
      <w:r w:rsidRPr="00D219DA">
        <w:t>–</w:t>
      </w:r>
      <w:r w:rsidRPr="00D219DA">
        <w:tab/>
        <w:t>като взе предвид препоръката на Съвета от 22 февруари 2024 г. относно освобождаването от отговорност на Европейската прокуратура във връзка с изпълнението на бюджета за финансовата 2022 година (</w:t>
      </w:r>
      <w:r w:rsidR="00FA7729" w:rsidRPr="00FA7729">
        <w:t>06179</w:t>
      </w:r>
      <w:r w:rsidRPr="00D219DA">
        <w:t>/2024 – C9-</w:t>
      </w:r>
      <w:r w:rsidR="00FA7729" w:rsidRPr="00FA7729">
        <w:t>0077</w:t>
      </w:r>
      <w:r w:rsidRPr="00D219DA">
        <w:t>/2024),</w:t>
      </w:r>
    </w:p>
    <w:p w:rsidR="0093355F" w:rsidRPr="00D219DA" w:rsidRDefault="0093355F" w:rsidP="0093355F">
      <w:pPr>
        <w:pStyle w:val="NormalHanging12a"/>
      </w:pPr>
      <w:r w:rsidRPr="00D219DA">
        <w:t>–</w:t>
      </w:r>
      <w:r w:rsidRPr="00D219DA">
        <w:tab/>
        <w:t>като взе предвид член 319 от Договора за функционирането на Европейския съюз,</w:t>
      </w:r>
    </w:p>
    <w:p w:rsidR="0093355F" w:rsidRPr="00D219DA" w:rsidRDefault="0093355F" w:rsidP="0093355F">
      <w:pPr>
        <w:pStyle w:val="NormalHanging12a"/>
      </w:pPr>
      <w:r w:rsidRPr="00D219DA">
        <w:t>–</w:t>
      </w:r>
      <w:r w:rsidRPr="00D219DA">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w:t>
      </w:r>
      <w:r w:rsidRPr="00D219DA">
        <w:lastRenderedPageBreak/>
        <w:t>отмяна на Регламент (ЕС, Евратом) № 966/2012</w:t>
      </w:r>
      <w:r w:rsidRPr="00D219DA">
        <w:rPr>
          <w:rStyle w:val="FootnoteReference"/>
        </w:rPr>
        <w:footnoteReference w:id="3"/>
      </w:r>
      <w:r w:rsidRPr="00D219DA">
        <w:t>, и по-специално член 70 от него,</w:t>
      </w:r>
    </w:p>
    <w:p w:rsidR="0093355F" w:rsidRPr="00D219DA" w:rsidRDefault="0093355F" w:rsidP="0093355F">
      <w:pPr>
        <w:pStyle w:val="NormalHanging12a"/>
      </w:pPr>
      <w:r w:rsidRPr="00D219DA">
        <w:t>–</w:t>
      </w:r>
      <w:r w:rsidRPr="00D219DA">
        <w:tab/>
        <w:t>като взе предвид Регламент (ЕС) 2017/1939 на Съвета от 12 октомври 2017 г. за установяване на засилено сътрудничество за създаване на Европейска прокуратура</w:t>
      </w:r>
      <w:r w:rsidRPr="00D219DA">
        <w:rPr>
          <w:rStyle w:val="FootnoteReference"/>
        </w:rPr>
        <w:footnoteReference w:id="4"/>
      </w:r>
      <w:r w:rsidRPr="00D219DA">
        <w:t>, и по-специално член 94 от него,</w:t>
      </w:r>
    </w:p>
    <w:p w:rsidR="0093355F" w:rsidRPr="00D219DA" w:rsidRDefault="0093355F" w:rsidP="0093355F">
      <w:pPr>
        <w:pStyle w:val="NormalHanging12a"/>
      </w:pPr>
      <w:r w:rsidRPr="00D219DA">
        <w:t>–</w:t>
      </w:r>
      <w:r w:rsidRPr="00D219DA">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219DA">
        <w:rPr>
          <w:rStyle w:val="FootnoteReference"/>
        </w:rPr>
        <w:footnoteReference w:id="5"/>
      </w:r>
      <w:r w:rsidRPr="00D219DA">
        <w:t>, и по-специално член 105 от него,</w:t>
      </w:r>
    </w:p>
    <w:p w:rsidR="0093355F" w:rsidRPr="00D219DA" w:rsidRDefault="0093355F" w:rsidP="0093355F">
      <w:pPr>
        <w:pStyle w:val="NormalHanging12a"/>
      </w:pPr>
      <w:r w:rsidRPr="00D219DA">
        <w:t>–</w:t>
      </w:r>
      <w:r w:rsidRPr="00D219DA">
        <w:tab/>
        <w:t>като взе предвид член 100 и приложение V към своя Правилник за дейността,</w:t>
      </w:r>
    </w:p>
    <w:p w:rsidR="0093355F" w:rsidRPr="00D219DA" w:rsidRDefault="0093355F" w:rsidP="0093355F">
      <w:pPr>
        <w:pStyle w:val="NormalHanging12a"/>
      </w:pPr>
      <w:r w:rsidRPr="00D219DA">
        <w:t>–</w:t>
      </w:r>
      <w:r w:rsidRPr="00D219DA">
        <w:tab/>
        <w:t>като взе предвид становището на комисията по правни въпроси,</w:t>
      </w:r>
    </w:p>
    <w:p w:rsidR="0093355F" w:rsidRPr="00D219DA" w:rsidRDefault="0093355F" w:rsidP="0093355F">
      <w:pPr>
        <w:pStyle w:val="NormalHanging12a"/>
      </w:pPr>
      <w:r w:rsidRPr="00D219DA">
        <w:t>–</w:t>
      </w:r>
      <w:r w:rsidRPr="00D219DA">
        <w:tab/>
        <w:t>като взе предвид становището на комисията по граждански свободи, правосъдие и вътрешни работи,</w:t>
      </w:r>
    </w:p>
    <w:p w:rsidR="0093355F" w:rsidRPr="00D219DA" w:rsidRDefault="0093355F" w:rsidP="0093355F">
      <w:pPr>
        <w:pStyle w:val="NormalHanging12a"/>
      </w:pPr>
      <w:r w:rsidRPr="00D219DA">
        <w:t>–</w:t>
      </w:r>
      <w:r w:rsidRPr="00D219DA">
        <w:tab/>
        <w:t>като взе предвид доклада на комисията по бюджетен контрол (A9-0117/2024),</w:t>
      </w:r>
    </w:p>
    <w:p w:rsidR="0093355F" w:rsidRPr="00D219DA" w:rsidRDefault="0093355F" w:rsidP="0093355F">
      <w:pPr>
        <w:pStyle w:val="NormalHanging12a"/>
      </w:pPr>
      <w:r w:rsidRPr="00D219DA">
        <w:t>1.</w:t>
      </w:r>
      <w:r w:rsidRPr="00D219DA">
        <w:tab/>
        <w:t>освобождава от отговорност административния директор на Европейската прокуратура във връзка с изпълнението на бюджета на Европейската прокуратура за финансовата 2022 година;</w:t>
      </w:r>
    </w:p>
    <w:p w:rsidR="0093355F" w:rsidRPr="00D219DA" w:rsidRDefault="0093355F" w:rsidP="0093355F">
      <w:pPr>
        <w:pStyle w:val="NormalHanging12a"/>
      </w:pPr>
      <w:r w:rsidRPr="00D219DA">
        <w:t>2.</w:t>
      </w:r>
      <w:r w:rsidRPr="00D219DA">
        <w:tab/>
        <w:t>представя своите забележки в резолюцията по-долу;</w:t>
      </w:r>
    </w:p>
    <w:p w:rsidR="0093355F" w:rsidRPr="00D219DA" w:rsidRDefault="0093355F" w:rsidP="0093355F">
      <w:pPr>
        <w:pStyle w:val="NormalHanging12a"/>
      </w:pPr>
      <w:r w:rsidRPr="00D219DA">
        <w:t>3.</w:t>
      </w:r>
      <w:r w:rsidRPr="00D219DA">
        <w:tab/>
        <w:t xml:space="preserve">възлага на своя председател да предаде настоящото решение, както и резолюцията, която е неразделна част от него, съответно на административния директор на Европейската прокуратура, на Европейския съвет, на Съвета, Комисията и Сметната палата и да осигури публикуването им в </w:t>
      </w:r>
      <w:r w:rsidRPr="00D219DA">
        <w:rPr>
          <w:i/>
        </w:rPr>
        <w:t>Официален вестник на Европейския съюз</w:t>
      </w:r>
      <w:r w:rsidRPr="00D219DA">
        <w:t xml:space="preserve"> (серия L).</w:t>
      </w:r>
    </w:p>
    <w:p w:rsidR="0093355F" w:rsidRPr="00D219DA" w:rsidRDefault="0093355F" w:rsidP="0093355F"/>
    <w:p w:rsidR="0093355F" w:rsidRPr="00D219DA" w:rsidRDefault="0093355F" w:rsidP="0093355F">
      <w:pPr>
        <w:pStyle w:val="PageHeading"/>
        <w:sectPr w:rsidR="0093355F" w:rsidRPr="00D219DA" w:rsidSect="00D219D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3355F" w:rsidRPr="00D219DA" w:rsidRDefault="0093355F" w:rsidP="00DA0F87">
      <w:pPr>
        <w:pStyle w:val="ATHeading3"/>
      </w:pPr>
      <w:bookmarkStart w:id="9" w:name="_Toc161839652"/>
      <w:r w:rsidRPr="00D219DA">
        <w:lastRenderedPageBreak/>
        <w:t xml:space="preserve">2. </w:t>
      </w:r>
      <w:r w:rsidR="00DA0F87" w:rsidRPr="00D219DA">
        <w:t>Решение на Европейския парламент</w:t>
      </w:r>
      <w:bookmarkEnd w:id="9"/>
      <w:r w:rsidR="00FA7729" w:rsidRPr="00D219DA">
        <w:t xml:space="preserve"> от </w:t>
      </w:r>
      <w:r w:rsidR="00FA7729">
        <w:t>11 април</w:t>
      </w:r>
      <w:r w:rsidR="00FA7729" w:rsidRPr="00D219DA">
        <w:t xml:space="preserve"> 2024 г.</w:t>
      </w:r>
      <w:r w:rsidR="00DA0F87">
        <w:t xml:space="preserve"> </w:t>
      </w:r>
      <w:r w:rsidRPr="00D219DA">
        <w:t>относно приключването на сметките на Европейската прокуратура за финансовата 2022 година</w:t>
      </w:r>
      <w:r w:rsidR="00DA0F87">
        <w:t xml:space="preserve"> </w:t>
      </w:r>
      <w:r w:rsidRPr="00D219DA">
        <w:t>(2023/2139(DEC))</w:t>
      </w:r>
    </w:p>
    <w:p w:rsidR="0093355F" w:rsidRPr="00D219DA" w:rsidRDefault="0093355F" w:rsidP="0093355F">
      <w:pPr>
        <w:pStyle w:val="EPComma"/>
      </w:pPr>
      <w:r w:rsidRPr="00D219DA">
        <w:rPr>
          <w:i/>
        </w:rPr>
        <w:t>Европейският парламент</w:t>
      </w:r>
      <w:r w:rsidRPr="00D219DA">
        <w:t>,</w:t>
      </w:r>
    </w:p>
    <w:p w:rsidR="0093355F" w:rsidRPr="00D219DA" w:rsidRDefault="0093355F" w:rsidP="0093355F">
      <w:pPr>
        <w:pStyle w:val="NormalHanging12a"/>
      </w:pPr>
      <w:r w:rsidRPr="00D219DA">
        <w:t>–</w:t>
      </w:r>
      <w:r w:rsidRPr="00D219DA">
        <w:tab/>
        <w:t>като взе предвид окончателните годишни отчети на Европейската прокуратура за финансовата 2022 година,</w:t>
      </w:r>
    </w:p>
    <w:p w:rsidR="0093355F" w:rsidRPr="00D219DA" w:rsidRDefault="0093355F" w:rsidP="0093355F">
      <w:pPr>
        <w:pStyle w:val="NormalHanging12a"/>
      </w:pPr>
      <w:r w:rsidRPr="00D219DA">
        <w:t>–</w:t>
      </w:r>
      <w:r w:rsidRPr="00D219DA">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D219DA">
        <w:rPr>
          <w:rStyle w:val="FootnoteReference"/>
        </w:rPr>
        <w:footnoteReference w:id="6"/>
      </w:r>
      <w:r w:rsidRPr="00D219DA">
        <w:t>,</w:t>
      </w:r>
    </w:p>
    <w:p w:rsidR="0093355F" w:rsidRPr="00D219DA" w:rsidRDefault="0093355F" w:rsidP="0093355F">
      <w:pPr>
        <w:pStyle w:val="NormalHanging12a"/>
      </w:pPr>
      <w:r w:rsidRPr="00D219DA">
        <w:t>–</w:t>
      </w:r>
      <w:r w:rsidRPr="00D219DA">
        <w:tab/>
        <w:t>като взе предвид декларацията за достоверност</w:t>
      </w:r>
      <w:r w:rsidRPr="00D219DA">
        <w:rPr>
          <w:rStyle w:val="FootnoteReference"/>
        </w:rPr>
        <w:footnoteReference w:id="7"/>
      </w:r>
      <w:r w:rsidRPr="00D219D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93355F" w:rsidRPr="00D219DA" w:rsidRDefault="0093355F" w:rsidP="0093355F">
      <w:pPr>
        <w:pStyle w:val="NormalHanging12a"/>
      </w:pPr>
      <w:r w:rsidRPr="00D219DA">
        <w:t>–</w:t>
      </w:r>
      <w:r w:rsidRPr="00D219DA">
        <w:tab/>
        <w:t>като взе предвид препоръката на Съвета от 22 февруари 2024 г. относно освобождаването от отговорност на Европейската прокуратура във връзка с изпълнението на бюджета за финансовата 2022 година (</w:t>
      </w:r>
      <w:r w:rsidR="00FA7729" w:rsidRPr="00FA7729">
        <w:t>06179</w:t>
      </w:r>
      <w:r w:rsidRPr="00D219DA">
        <w:t>/2024 – C9-</w:t>
      </w:r>
      <w:r w:rsidR="00FA7729" w:rsidRPr="00FA7729">
        <w:t>0077</w:t>
      </w:r>
      <w:r w:rsidRPr="00D219DA">
        <w:t>/2024),</w:t>
      </w:r>
    </w:p>
    <w:p w:rsidR="0093355F" w:rsidRPr="00D219DA" w:rsidRDefault="0093355F" w:rsidP="0093355F">
      <w:pPr>
        <w:pStyle w:val="NormalHanging12a"/>
      </w:pPr>
      <w:r w:rsidRPr="00D219DA">
        <w:t>–</w:t>
      </w:r>
      <w:r w:rsidRPr="00D219DA">
        <w:tab/>
        <w:t>като взе предвид член 319 от Договора за функционирането на Европейския съюз,</w:t>
      </w:r>
    </w:p>
    <w:p w:rsidR="0093355F" w:rsidRPr="00D219DA" w:rsidRDefault="0093355F" w:rsidP="0093355F">
      <w:pPr>
        <w:pStyle w:val="NormalHanging12a"/>
      </w:pPr>
      <w:r w:rsidRPr="00D219DA">
        <w:t>–</w:t>
      </w:r>
      <w:r w:rsidRPr="00D219DA">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D219DA">
        <w:rPr>
          <w:rStyle w:val="FootnoteReference"/>
        </w:rPr>
        <w:footnoteReference w:id="8"/>
      </w:r>
      <w:r w:rsidRPr="00D219DA">
        <w:t>, и по-специално член 70 от него,</w:t>
      </w:r>
    </w:p>
    <w:p w:rsidR="0093355F" w:rsidRPr="00D219DA" w:rsidRDefault="0093355F" w:rsidP="0093355F">
      <w:pPr>
        <w:pStyle w:val="NormalHanging12a"/>
      </w:pPr>
      <w:r w:rsidRPr="00D219DA">
        <w:t>–</w:t>
      </w:r>
      <w:r w:rsidRPr="00D219DA">
        <w:tab/>
        <w:t xml:space="preserve">като взе предвид Регламент (ЕС) 2017/1939 на Съвета от 12 октомври 2017 г. за установяване на засилено сътрудничество за създаване на Европейска прокуратура </w:t>
      </w:r>
      <w:r w:rsidRPr="00D219DA">
        <w:rPr>
          <w:rStyle w:val="FootnoteReference"/>
        </w:rPr>
        <w:footnoteReference w:id="9"/>
      </w:r>
      <w:r w:rsidRPr="00D219DA">
        <w:t>, и по-специално член 94 от него,</w:t>
      </w:r>
    </w:p>
    <w:p w:rsidR="0093355F" w:rsidRPr="00D219DA" w:rsidRDefault="0093355F" w:rsidP="0093355F">
      <w:pPr>
        <w:pStyle w:val="NormalHanging12a"/>
      </w:pPr>
      <w:r w:rsidRPr="00D219DA">
        <w:t>–</w:t>
      </w:r>
      <w:r w:rsidRPr="00D219DA">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D219DA">
        <w:rPr>
          <w:rStyle w:val="FootnoteReference"/>
        </w:rPr>
        <w:footnoteReference w:id="10"/>
      </w:r>
      <w:r w:rsidRPr="00D219DA">
        <w:t>, и по-специално член 105 от него,</w:t>
      </w:r>
    </w:p>
    <w:p w:rsidR="0093355F" w:rsidRPr="00D219DA" w:rsidRDefault="0093355F" w:rsidP="0093355F">
      <w:pPr>
        <w:pStyle w:val="NormalHanging12a"/>
      </w:pPr>
      <w:r w:rsidRPr="00D219DA">
        <w:t>–</w:t>
      </w:r>
      <w:r w:rsidRPr="00D219DA">
        <w:tab/>
        <w:t>като взе предвид член 100 и приложение V към своя Правилник за дейността,</w:t>
      </w:r>
    </w:p>
    <w:p w:rsidR="0093355F" w:rsidRPr="00D219DA" w:rsidRDefault="0093355F" w:rsidP="0093355F">
      <w:pPr>
        <w:pStyle w:val="NormalHanging12a"/>
      </w:pPr>
      <w:r w:rsidRPr="00D219DA">
        <w:t>–</w:t>
      </w:r>
      <w:r w:rsidRPr="00D219DA">
        <w:tab/>
        <w:t>като взе предвид становището на комисията по правни въпроси,</w:t>
      </w:r>
    </w:p>
    <w:p w:rsidR="0093355F" w:rsidRPr="00D219DA" w:rsidRDefault="0093355F" w:rsidP="0093355F">
      <w:pPr>
        <w:pStyle w:val="NormalHanging12a"/>
      </w:pPr>
      <w:r w:rsidRPr="00D219DA">
        <w:t>–</w:t>
      </w:r>
      <w:r w:rsidRPr="00D219DA">
        <w:tab/>
        <w:t xml:space="preserve">като взе предвид становището на комисията по граждански свободи, правосъдие и </w:t>
      </w:r>
      <w:r w:rsidRPr="00D219DA">
        <w:lastRenderedPageBreak/>
        <w:t>вътрешни работи,</w:t>
      </w:r>
    </w:p>
    <w:p w:rsidR="0093355F" w:rsidRPr="00D219DA" w:rsidRDefault="0093355F" w:rsidP="0093355F">
      <w:pPr>
        <w:pStyle w:val="NormalHanging12a"/>
      </w:pPr>
      <w:r w:rsidRPr="00D219DA">
        <w:t>–</w:t>
      </w:r>
      <w:r w:rsidRPr="00D219DA">
        <w:tab/>
        <w:t>като взе предвид доклада на комисията по бюджетен контрол (A9-0117/2024),</w:t>
      </w:r>
    </w:p>
    <w:p w:rsidR="0093355F" w:rsidRPr="00D219DA" w:rsidRDefault="0093355F" w:rsidP="0093355F">
      <w:pPr>
        <w:pStyle w:val="NormalHanging12a"/>
      </w:pPr>
      <w:r w:rsidRPr="00D219DA">
        <w:t>1.</w:t>
      </w:r>
      <w:r w:rsidRPr="00D219DA">
        <w:tab/>
        <w:t>одобрява приключването на сметките на Европейската прокуратура за финансовата 2022 година;</w:t>
      </w:r>
    </w:p>
    <w:p w:rsidR="0093355F" w:rsidRPr="00D219DA" w:rsidRDefault="0093355F" w:rsidP="0093355F">
      <w:pPr>
        <w:pStyle w:val="NormalHanging12a"/>
      </w:pPr>
      <w:r w:rsidRPr="00D219DA">
        <w:t>2.</w:t>
      </w:r>
      <w:r w:rsidRPr="00D219DA">
        <w:tab/>
        <w:t xml:space="preserve">възлага на своя председател да предаде настоящото решение съответно на административния директор на Европейската прокуратура, на Европейския съвет, на Съвета, Комисията и Сметната палата и да осигури публикуването му в </w:t>
      </w:r>
      <w:r w:rsidRPr="00D219DA">
        <w:rPr>
          <w:i/>
        </w:rPr>
        <w:t>Официален вестник на Европейския съюз</w:t>
      </w:r>
      <w:r w:rsidRPr="00D219DA">
        <w:t xml:space="preserve"> (серия L).</w:t>
      </w:r>
    </w:p>
    <w:p w:rsidR="0093355F" w:rsidRPr="00D219DA" w:rsidRDefault="0093355F" w:rsidP="0093355F"/>
    <w:p w:rsidR="0093355F" w:rsidRPr="00D219DA" w:rsidRDefault="0093355F" w:rsidP="0093355F">
      <w:pPr>
        <w:pStyle w:val="PageHeading"/>
        <w:sectPr w:rsidR="0093355F" w:rsidRPr="00D219DA" w:rsidSect="00D219DA">
          <w:footnotePr>
            <w:numRestart w:val="eachPage"/>
          </w:footnotePr>
          <w:endnotePr>
            <w:numFmt w:val="decimal"/>
          </w:endnotePr>
          <w:pgSz w:w="11906" w:h="16838" w:code="9"/>
          <w:pgMar w:top="1134" w:right="1418" w:bottom="1418" w:left="1418" w:header="567" w:footer="567" w:gutter="0"/>
          <w:cols w:space="720"/>
          <w:noEndnote/>
          <w:docGrid w:linePitch="326"/>
        </w:sectPr>
      </w:pPr>
    </w:p>
    <w:p w:rsidR="0093355F" w:rsidRPr="00D219DA" w:rsidRDefault="0093355F" w:rsidP="00DA0F87">
      <w:pPr>
        <w:pStyle w:val="ATHeading3"/>
        <w:rPr>
          <w:szCs w:val="24"/>
        </w:rPr>
      </w:pPr>
      <w:bookmarkStart w:id="10" w:name="_Toc161839653"/>
      <w:r w:rsidRPr="00D219DA">
        <w:lastRenderedPageBreak/>
        <w:t xml:space="preserve">3. </w:t>
      </w:r>
      <w:r w:rsidR="00DA0F87" w:rsidRPr="00D219DA">
        <w:t>Резолюция на Европейския парламент</w:t>
      </w:r>
      <w:bookmarkEnd w:id="10"/>
      <w:r w:rsidR="00FA7729" w:rsidRPr="00D219DA">
        <w:t xml:space="preserve"> от </w:t>
      </w:r>
      <w:r w:rsidR="00FA7729">
        <w:t>11 април</w:t>
      </w:r>
      <w:r w:rsidR="00FA7729" w:rsidRPr="00D219DA">
        <w:t xml:space="preserve"> 2024 г.</w:t>
      </w:r>
      <w:r w:rsidR="00DA0F87">
        <w:t xml:space="preserve">, </w:t>
      </w:r>
      <w:r w:rsidRPr="00D219DA">
        <w:t>съдържащ</w:t>
      </w:r>
      <w:r w:rsidR="00FA7729">
        <w:t>а</w:t>
      </w:r>
      <w:r w:rsidRPr="00D219DA">
        <w:t xml:space="preserve"> забележките, които са неразделна част от решението за освобождаване от отговорност във връзка с изпълнението на бюджета на Европейската прокуратура за финансовата 2022 година</w:t>
      </w:r>
      <w:r w:rsidR="00DA0F87">
        <w:t xml:space="preserve"> </w:t>
      </w:r>
      <w:r w:rsidRPr="00D219DA">
        <w:t>(2023/2139(DEC))</w:t>
      </w:r>
    </w:p>
    <w:p w:rsidR="0093355F" w:rsidRPr="00D219DA" w:rsidRDefault="0093355F" w:rsidP="0093355F">
      <w:pPr>
        <w:pStyle w:val="EPComma"/>
        <w:spacing w:before="240"/>
        <w:rPr>
          <w:szCs w:val="24"/>
        </w:rPr>
      </w:pPr>
      <w:r w:rsidRPr="00D219DA">
        <w:rPr>
          <w:i/>
        </w:rPr>
        <w:t>Европейският парламент</w:t>
      </w:r>
      <w:r w:rsidRPr="00D219DA">
        <w:t>,</w:t>
      </w:r>
    </w:p>
    <w:p w:rsidR="0093355F" w:rsidRPr="00D219DA" w:rsidRDefault="0093355F" w:rsidP="0093355F">
      <w:pPr>
        <w:pStyle w:val="NormalHanging12a"/>
        <w:rPr>
          <w:szCs w:val="24"/>
        </w:rPr>
      </w:pPr>
      <w:r w:rsidRPr="00D219DA">
        <w:t>–</w:t>
      </w:r>
      <w:r w:rsidRPr="00D219DA">
        <w:tab/>
        <w:t>като взе предвид своето решение за освобождаване от отговорност във връзка с изпълнението на бюджета на Европейската прокуратура за финансовата 2022 година,</w:t>
      </w:r>
    </w:p>
    <w:p w:rsidR="0093355F" w:rsidRPr="00D219DA" w:rsidRDefault="0093355F" w:rsidP="0093355F">
      <w:pPr>
        <w:pStyle w:val="NormalHanging12a"/>
        <w:rPr>
          <w:szCs w:val="24"/>
        </w:rPr>
      </w:pPr>
      <w:r w:rsidRPr="00D219DA">
        <w:t>–</w:t>
      </w:r>
      <w:r w:rsidRPr="00D219DA">
        <w:tab/>
        <w:t>като взе предвид член 100 и приложение V към своя Правилник за дейността,</w:t>
      </w:r>
    </w:p>
    <w:p w:rsidR="0093355F" w:rsidRPr="00D219DA" w:rsidRDefault="0093355F" w:rsidP="0093355F">
      <w:pPr>
        <w:pStyle w:val="NormalHanging12a"/>
        <w:rPr>
          <w:szCs w:val="24"/>
        </w:rPr>
      </w:pPr>
      <w:r w:rsidRPr="00D219DA">
        <w:t>–</w:t>
      </w:r>
      <w:r w:rsidRPr="00D219DA">
        <w:tab/>
        <w:t>като взе предвид становището на комисията по правни въпроси,</w:t>
      </w:r>
    </w:p>
    <w:p w:rsidR="0093355F" w:rsidRPr="00D219DA" w:rsidRDefault="0093355F" w:rsidP="0093355F">
      <w:pPr>
        <w:pStyle w:val="NormalHanging12a"/>
        <w:rPr>
          <w:szCs w:val="24"/>
        </w:rPr>
      </w:pPr>
      <w:r w:rsidRPr="00D219DA">
        <w:t>–</w:t>
      </w:r>
      <w:r w:rsidRPr="00D219DA">
        <w:tab/>
        <w:t>като взе предвид становището на комисията по граждански свободи, правосъдие и вътрешни работи,</w:t>
      </w:r>
    </w:p>
    <w:p w:rsidR="0093355F" w:rsidRPr="00D219DA" w:rsidRDefault="0093355F" w:rsidP="0093355F">
      <w:pPr>
        <w:pStyle w:val="NormalHanging12a"/>
        <w:rPr>
          <w:rStyle w:val="HideTWBExt"/>
          <w:rFonts w:ascii="Times New Roman" w:hAnsi="Times New Roman"/>
          <w:noProof w:val="0"/>
          <w:vanish w:val="0"/>
          <w:color w:val="auto"/>
          <w:sz w:val="24"/>
          <w:szCs w:val="24"/>
        </w:rPr>
      </w:pPr>
      <w:r w:rsidRPr="00D219DA">
        <w:t>–</w:t>
      </w:r>
      <w:r w:rsidRPr="00D219DA">
        <w:tab/>
        <w:t>като взе предвид доклада на комисията по бюджетен контрол (A9-0117/2024),</w:t>
      </w:r>
    </w:p>
    <w:p w:rsidR="0093355F" w:rsidRPr="00D219DA" w:rsidRDefault="0093355F" w:rsidP="0093355F">
      <w:pPr>
        <w:pStyle w:val="NormalHanging12a"/>
        <w:rPr>
          <w:szCs w:val="24"/>
        </w:rPr>
      </w:pPr>
      <w:r w:rsidRPr="00D219DA">
        <w:t>A.</w:t>
      </w:r>
      <w:r w:rsidRPr="00D219DA">
        <w:tab/>
        <w:t>като има предвид, че Европейската прокуратура е независимата прокуратура на Съюза и отговаря за разследването и наказателното преследване на престъпления срещу финансовите интереси на Съюза и за предаването на съд на извършителите и съучастниците в престъпленията, посочени в 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w:t>
      </w:r>
      <w:r w:rsidRPr="00D219DA">
        <w:rPr>
          <w:rStyle w:val="FootnoteReference"/>
          <w:szCs w:val="24"/>
        </w:rPr>
        <w:footnoteReference w:id="11"/>
      </w:r>
      <w:r w:rsidRPr="00D219DA">
        <w:t xml:space="preserve"> и посочени в Регламент (ЕС) 2017/1939 на Съвета от 12 октомври 2017 г. за установяване на засилено сътрудничество за създаване на Европейска прокуратура;</w:t>
      </w:r>
    </w:p>
    <w:p w:rsidR="0093355F" w:rsidRPr="00D219DA" w:rsidRDefault="0093355F" w:rsidP="0093355F">
      <w:pPr>
        <w:pStyle w:val="NormalHanging12a"/>
        <w:rPr>
          <w:color w:val="000000"/>
          <w:szCs w:val="24"/>
        </w:rPr>
      </w:pPr>
      <w:r w:rsidRPr="00D219DA">
        <w:t xml:space="preserve">Б. </w:t>
      </w:r>
      <w:r w:rsidRPr="00D219DA">
        <w:tab/>
      </w:r>
      <w:r w:rsidRPr="00D219DA">
        <w:rPr>
          <w:color w:val="000000"/>
        </w:rPr>
        <w:t>като има предвид, че компетентността на Европейската прокуратура обхваща няколко вида измами и включва, наред с другото, измами с ДДС с щети над 10 милиона евро, изпиране на пари, корупция и други, по отношение на които Европейската прокуратура упражнява функциите на прокурор в компетентните съдилища на участващите държави членки до окончателното приключване на делото;</w:t>
      </w:r>
    </w:p>
    <w:p w:rsidR="0093355F" w:rsidRPr="00D219DA" w:rsidRDefault="0093355F" w:rsidP="0093355F">
      <w:pPr>
        <w:pStyle w:val="NormalHanging12a"/>
        <w:rPr>
          <w:szCs w:val="24"/>
        </w:rPr>
      </w:pPr>
      <w:r w:rsidRPr="00D219DA">
        <w:rPr>
          <w:color w:val="000000"/>
        </w:rPr>
        <w:t xml:space="preserve">В. </w:t>
      </w:r>
      <w:r w:rsidRPr="00D219DA">
        <w:rPr>
          <w:color w:val="000000"/>
        </w:rPr>
        <w:tab/>
        <w:t>като има предвид, че Европейската прокуратура е един от компонентите на архитектурата на Европейския съюз за борба с измамите и като такъв нейните действия са координирани с останалите компоненти на посочената архитектура и ги допълват, за да се постигне краен резултат, който е по-голям от сбора на нейните части;</w:t>
      </w:r>
    </w:p>
    <w:p w:rsidR="0093355F" w:rsidRPr="00D219DA" w:rsidRDefault="0093355F" w:rsidP="0093355F">
      <w:pPr>
        <w:pStyle w:val="NormalHanging12a"/>
        <w:rPr>
          <w:szCs w:val="24"/>
        </w:rPr>
      </w:pPr>
      <w:r w:rsidRPr="00D219DA">
        <w:t>Г.</w:t>
      </w:r>
      <w:r w:rsidRPr="00D219DA">
        <w:tab/>
        <w:t>като има предвид, че Европейската прокуратура се намесва в случаи, в които само националните органи могат да разследват и преследват тези престъпления, но техните правомощия се простират до границите на тяхната държава, а други организации като Евроюст, OLAF и Европол не разполагат с необходимите правомощия за провеждане на съответните наказателни разследвания и наказателни преследвания;</w:t>
      </w:r>
    </w:p>
    <w:p w:rsidR="0093355F" w:rsidRPr="00D219DA" w:rsidRDefault="0093355F" w:rsidP="0093355F">
      <w:pPr>
        <w:pStyle w:val="NormalHanging12a"/>
        <w:rPr>
          <w:szCs w:val="24"/>
        </w:rPr>
      </w:pPr>
      <w:r w:rsidRPr="00D219DA">
        <w:t xml:space="preserve">Д. </w:t>
      </w:r>
      <w:r w:rsidRPr="00D219DA">
        <w:tab/>
        <w:t xml:space="preserve">като има предвид, че процесуалните актове на Европейската прокуратура </w:t>
      </w:r>
      <w:r w:rsidRPr="00D219DA">
        <w:lastRenderedPageBreak/>
        <w:t xml:space="preserve">подлежат на съдебен контрол от страна на националните съдилища и че Съдът на Европейския съюз („Съдът на ЕС“) — чрез </w:t>
      </w:r>
      <w:proofErr w:type="spellStart"/>
      <w:r w:rsidRPr="00D219DA">
        <w:t>преюдициални</w:t>
      </w:r>
      <w:proofErr w:type="spellEnd"/>
      <w:r w:rsidRPr="00D219DA">
        <w:t xml:space="preserve"> заключения или съдебен контрол на тези актове — разполага със запазени правомощия, за да гарантира последователно прилагане на правото на ЕС;</w:t>
      </w:r>
    </w:p>
    <w:p w:rsidR="0093355F" w:rsidRPr="00D219DA" w:rsidRDefault="0093355F" w:rsidP="0093355F">
      <w:pPr>
        <w:pStyle w:val="NormalHanging12a"/>
        <w:rPr>
          <w:color w:val="000000"/>
          <w:szCs w:val="24"/>
        </w:rPr>
      </w:pPr>
      <w:r w:rsidRPr="00D219DA">
        <w:t xml:space="preserve">Е. </w:t>
      </w:r>
      <w:r w:rsidRPr="00D219DA">
        <w:tab/>
      </w:r>
      <w:r w:rsidRPr="00D219DA">
        <w:rPr>
          <w:color w:val="000000"/>
        </w:rPr>
        <w:t>като има предвид, че Европейската прокуратура се състои от централно равнище, със седалище в Люксембург, състоящо се от европейския главен прокурор, 22 европейски прокурори (по един от всяка участваща държава от ЕС) и административен директор, и от децентрализирано (национално) равнище, състоящо се от европейските делегирани прокурори в 22-те участващи държави — членки на ЕС;</w:t>
      </w:r>
    </w:p>
    <w:p w:rsidR="0093355F" w:rsidRPr="00D219DA" w:rsidRDefault="0093355F" w:rsidP="0093355F">
      <w:pPr>
        <w:spacing w:after="240"/>
        <w:ind w:left="567" w:hanging="567"/>
        <w:rPr>
          <w:color w:val="000000"/>
          <w:szCs w:val="24"/>
        </w:rPr>
      </w:pPr>
      <w:r w:rsidRPr="00D219DA">
        <w:rPr>
          <w:color w:val="000000"/>
        </w:rPr>
        <w:t xml:space="preserve">Ж. </w:t>
      </w:r>
      <w:r w:rsidRPr="00D219DA">
        <w:rPr>
          <w:color w:val="000000"/>
        </w:rPr>
        <w:tab/>
        <w:t>като има предвид, че на централно равнище европейският главен прокурор и 22-те европейски прокурори съставляват Колегията на Европейската прокуратура и упражняват надзор върху функциите по разследване и повдигане и поддържане на обвинения, изпълнявани от европейските делегирани прокурори на национално равнище, които работят при пълна независимост от своите национални органи;</w:t>
      </w:r>
    </w:p>
    <w:p w:rsidR="0093355F" w:rsidRPr="00D219DA" w:rsidRDefault="0093355F" w:rsidP="0093355F">
      <w:pPr>
        <w:spacing w:after="240"/>
        <w:ind w:left="567" w:hanging="567"/>
        <w:rPr>
          <w:color w:val="000000"/>
          <w:szCs w:val="24"/>
        </w:rPr>
      </w:pPr>
      <w:r w:rsidRPr="00D219DA">
        <w:rPr>
          <w:color w:val="000000"/>
        </w:rPr>
        <w:t xml:space="preserve">З. </w:t>
      </w:r>
      <w:r w:rsidRPr="00D219DA">
        <w:rPr>
          <w:color w:val="000000"/>
        </w:rPr>
        <w:tab/>
        <w:t>като има предвид, че съгласно член 93 от Регламент (ЕС) 2017/1939 административният директор на Европейската прокуратура действа като разпоредител с бюджетни кредити на Европейската прокуратура и изпълнява бюджета ѝ на собствена отговорност и в одобрените в бюджета рамки, като всяка година изпраща на бюджетния орган цялата информация относно констатациите от всички процедури за оценка;</w:t>
      </w:r>
    </w:p>
    <w:p w:rsidR="0093355F" w:rsidRPr="00D219DA" w:rsidRDefault="0093355F" w:rsidP="0093355F">
      <w:pPr>
        <w:spacing w:after="240"/>
        <w:ind w:left="567" w:hanging="567"/>
        <w:rPr>
          <w:color w:val="000000"/>
          <w:szCs w:val="24"/>
        </w:rPr>
      </w:pPr>
      <w:r w:rsidRPr="00D219DA">
        <w:rPr>
          <w:color w:val="000000"/>
        </w:rPr>
        <w:t>И.</w:t>
      </w:r>
      <w:r w:rsidRPr="00D219DA">
        <w:rPr>
          <w:color w:val="000000"/>
        </w:rPr>
        <w:tab/>
        <w:t>като има предвид, че в съответствие с член 50, параграф 2 от Финансовите правила на Европейската прокуратура счетоводителят на Комисията действа също така и като счетоводител на Европейската прокуратура и отговаря за изготвянето на годишните отчети, които са консолидирани с тези на Съюза;</w:t>
      </w:r>
    </w:p>
    <w:p w:rsidR="0093355F" w:rsidRPr="00D219DA" w:rsidRDefault="0093355F" w:rsidP="0093355F">
      <w:pPr>
        <w:spacing w:after="240"/>
        <w:ind w:left="567" w:hanging="567"/>
        <w:rPr>
          <w:color w:val="000000"/>
          <w:szCs w:val="24"/>
        </w:rPr>
      </w:pPr>
      <w:r w:rsidRPr="00D219DA">
        <w:rPr>
          <w:color w:val="000000"/>
        </w:rPr>
        <w:t>Й.</w:t>
      </w:r>
      <w:r w:rsidRPr="00D219DA">
        <w:rPr>
          <w:color w:val="000000"/>
        </w:rPr>
        <w:tab/>
        <w:t>като има предвид, че съгласно понастоящем действащата рамка окончателните годишни отчети се проверяват от Палатата и Съветът трябва да препоръча, а Европейският парламент да реши дали да освободи от отговорност административния директор на Европейската прокуратура във връзка с изпълнението на бюджета за дадена финансова година;</w:t>
      </w:r>
    </w:p>
    <w:p w:rsidR="0093355F" w:rsidRPr="00D219DA" w:rsidRDefault="0093355F" w:rsidP="0093355F">
      <w:pPr>
        <w:spacing w:after="240"/>
        <w:ind w:left="567" w:hanging="567"/>
        <w:rPr>
          <w:color w:val="000000"/>
          <w:szCs w:val="24"/>
        </w:rPr>
      </w:pPr>
      <w:r w:rsidRPr="00D219DA">
        <w:rPr>
          <w:color w:val="000000"/>
        </w:rPr>
        <w:t xml:space="preserve">К. </w:t>
      </w:r>
      <w:r w:rsidRPr="00D219DA">
        <w:rPr>
          <w:color w:val="000000"/>
        </w:rPr>
        <w:tab/>
        <w:t>като има предвид, че Европейската прокуратура започна оперативните си дейности на 1 юни 2021 г. и функционира самостоятелно при изпълнението на бюджета си едва от 24 юни 2021 г., както и че този кратък период от време позволява ограничен сравнителен анализ и определяне на тенденциите;</w:t>
      </w:r>
    </w:p>
    <w:p w:rsidR="0093355F" w:rsidRPr="00D219DA" w:rsidRDefault="0093355F" w:rsidP="0093355F">
      <w:pPr>
        <w:spacing w:after="240"/>
        <w:ind w:left="567" w:hanging="567"/>
        <w:rPr>
          <w:szCs w:val="24"/>
        </w:rPr>
      </w:pPr>
      <w:r w:rsidRPr="00D219DA">
        <w:rPr>
          <w:color w:val="000000"/>
        </w:rPr>
        <w:t xml:space="preserve">Л. </w:t>
      </w:r>
      <w:r w:rsidRPr="00D219DA">
        <w:rPr>
          <w:color w:val="000000"/>
        </w:rPr>
        <w:tab/>
        <w:t>като има предвид, че правилата, уреждащи управлението на ресурсите на Европейската прокуратура и свързаните с тях разходи, трябва да бъдат адаптирани към особеностите на наказателното преследване и действията по разследване, а съответните разпоредби на Финансовия регламент се обсъждат в рамките на преработването на този регламент и в по-широк контекст между Европейската прокуратура и Комисията;</w:t>
      </w:r>
    </w:p>
    <w:p w:rsidR="0093355F" w:rsidRPr="00D219DA" w:rsidRDefault="0093355F" w:rsidP="0093355F">
      <w:pPr>
        <w:pStyle w:val="NormalHanging12a"/>
        <w:rPr>
          <w:szCs w:val="24"/>
        </w:rPr>
      </w:pPr>
      <w:r w:rsidRPr="00D219DA">
        <w:t>1</w:t>
      </w:r>
      <w:r w:rsidRPr="00D219DA">
        <w:rPr>
          <w:color w:val="0000FF"/>
        </w:rPr>
        <w:t>.</w:t>
      </w:r>
      <w:r w:rsidRPr="00D219DA">
        <w:rPr>
          <w:color w:val="0000FF"/>
        </w:rPr>
        <w:tab/>
      </w:r>
      <w:r w:rsidRPr="00D219DA">
        <w:t xml:space="preserve">приветства положителното становище на Европейската сметна палата относно надеждността на отчетите на Европейската прокуратура за годината, приключила на 31 декември 2022 г., и относно законосъобразността и редовността на </w:t>
      </w:r>
      <w:r w:rsidRPr="00D219DA">
        <w:lastRenderedPageBreak/>
        <w:t>свързаните с тях приходи и плащания;</w:t>
      </w:r>
    </w:p>
    <w:p w:rsidR="0093355F" w:rsidRPr="00D219DA" w:rsidRDefault="0093355F" w:rsidP="0093355F">
      <w:pPr>
        <w:pStyle w:val="NormalHanging12a"/>
        <w:rPr>
          <w:b/>
          <w:i/>
          <w:szCs w:val="24"/>
        </w:rPr>
      </w:pPr>
      <w:r w:rsidRPr="00D219DA">
        <w:t>2.</w:t>
      </w:r>
      <w:r w:rsidRPr="00D219DA">
        <w:tab/>
        <w:t>припомня силната подкрепа на Парламента за създаването на Европейската прокуратура; признава важната роля на Европейската прокуратура като независим орган на Съюза и подчертава произтичащата от това нейна особена отговорност спрямо другите институции и широката общественост в областите, попадащи в сферата на правната система; високо уважава и оценява работата, която Европейската прокуратура извършва при разследването, наказателното преследване и постигането на правосъдие за престъпления срещу бюджета на Съюза и финансовите интереси на Съюза, като измами, корупция и сериозни трансгранични измами с ДДС; признава важната роля, която Европейската прокуратура играе, като допринася за защитата на финансовите интереси на Съюза, и по-специално на бюджета на Съюза; припомня, че уникалната роля на Европейската прокуратура като служба за наказателно преследване в рамката на Съюза за правоприлагане поражда задължение за Европейската прокуратура да разследва всички въпроси от нейната компетентност, когато бъдат представени на нейното внимание;</w:t>
      </w:r>
    </w:p>
    <w:p w:rsidR="0093355F" w:rsidRPr="00D219DA" w:rsidRDefault="0093355F" w:rsidP="0093355F">
      <w:pPr>
        <w:spacing w:after="240"/>
        <w:ind w:left="567" w:hanging="567"/>
        <w:rPr>
          <w:b/>
          <w:i/>
          <w:color w:val="000000"/>
          <w:szCs w:val="24"/>
        </w:rPr>
      </w:pPr>
      <w:r w:rsidRPr="00D219DA">
        <w:rPr>
          <w:b/>
          <w:i/>
          <w:color w:val="000000"/>
        </w:rPr>
        <w:t>Бюджетно и финансово управление</w:t>
      </w:r>
    </w:p>
    <w:p w:rsidR="0093355F" w:rsidRPr="00D219DA" w:rsidRDefault="0093355F" w:rsidP="0093355F">
      <w:pPr>
        <w:spacing w:after="240"/>
        <w:ind w:left="567" w:hanging="567"/>
        <w:rPr>
          <w:szCs w:val="24"/>
        </w:rPr>
      </w:pPr>
      <w:r w:rsidRPr="00D219DA">
        <w:t>3.</w:t>
      </w:r>
      <w:r w:rsidRPr="00D219DA">
        <w:tab/>
        <w:t>отбелязва, че общият окончателен бюджет, разпределен за Европейската прокуратура за 2022 г., възлиза на 51,2 милиона евро, намален от първоначално предвидената сума в размер на 57,1 милиона евро и чувствително увеличен в сравнение със сумата от 35,4 милиона евро, разпределена през 2021 г.; отбелязва, че върнатата сума в размер на 5,9 милиона евро (което представлява 10% от първоначалния бюджет за 2022 г.) представлява подобрение в сравнение с 2021 г., когато 9,5 милиона евро бяха върнати в бюджета на Съюза (което представлява 21% от първоначалния бюджет за 2021 г.); отбелязва, че тази сума постепенно е била върната през 2022 г., тъй като отчасти е била надценена по отношение на действителните потребности (за езиковите услуги тя е била с 65% по-висока), отчасти е било невъзможно да се използва за възстановяване на разходите за изключително скъпоструващи разследвания, осъществени от участващите държави членки, например член 91, параграф 6 от Регламент (ЕС) 2017/1939 (препятствани от Финансовия регламент до предоставянето на дерогация през 2023 г.), и накрая, поради забавеното започване на подбора и назначаването на нови служители (което трябваше да бъде планирано през 2021 г., но стана възможно едва по-късно, когато беше приет бюджетът за 2022 г.);</w:t>
      </w:r>
    </w:p>
    <w:p w:rsidR="0093355F" w:rsidRPr="00D219DA" w:rsidRDefault="0093355F" w:rsidP="0093355F">
      <w:pPr>
        <w:spacing w:after="240"/>
        <w:ind w:left="567" w:hanging="567"/>
        <w:rPr>
          <w:szCs w:val="24"/>
        </w:rPr>
      </w:pPr>
      <w:r w:rsidRPr="00D219DA">
        <w:t xml:space="preserve">4. </w:t>
      </w:r>
      <w:r w:rsidRPr="00D219DA">
        <w:tab/>
        <w:t xml:space="preserve">отбелязва, че е възможно да се сравнят бюджетните резултати на Европейската прокуратура само за периода след финансовата ѝ автономност, която започна през юни 2021 г.; приветства задоволителното равнище на изпълнение на бюджета в размер на 98,1% от бюджетните кредити за поети задължения (спрямо 97,4% през 2021 г.) и на 76,6% от бюджетните кредити за плащания (в сравнение със 78,2 % през 2021 г.); оценява факта, че общата степен на изпълнение на плащанията е отбелязала напредък през 2022 г., като 76,6% от бюджетните кредити за плащания са били изпълнени в окончателния бюджет, в сравнение със 71% през 2021 г.; отбелязва, че средният срок на плащане се е увеличил на 23,8 дни през 2022 г. в сравнение с 21,0 дни през 2021 г., и изразява разбиране, че тази тенденция е свързана със значителното увеличение на исканията за плащане, обработени през годината (2 316 искания за плащане в сравнение с 657 през 2021 г. представляват увеличение от 252%); насърчава отново Европейската прокуратура да продължи </w:t>
      </w:r>
      <w:r w:rsidRPr="00D219DA">
        <w:lastRenderedPageBreak/>
        <w:t xml:space="preserve">да прилага модула за електронно фактуриране (електронно фактуриране), който започна да се прилага едва през 2023 г., за да се намалят </w:t>
      </w:r>
      <w:r w:rsidRPr="00D219DA">
        <w:rPr>
          <w:shd w:val="clear" w:color="auto" w:fill="FFFFFF"/>
        </w:rPr>
        <w:t>административната тежест, сроковете на плащане и общите разходи за обработка</w:t>
      </w:r>
      <w:r w:rsidRPr="00D219DA">
        <w:t>;</w:t>
      </w:r>
    </w:p>
    <w:p w:rsidR="0093355F" w:rsidRPr="00D219DA" w:rsidRDefault="0093355F" w:rsidP="0093355F">
      <w:pPr>
        <w:spacing w:after="240"/>
        <w:ind w:left="567" w:hanging="567"/>
        <w:rPr>
          <w:bCs/>
          <w:szCs w:val="24"/>
        </w:rPr>
      </w:pPr>
      <w:r w:rsidRPr="00D219DA">
        <w:t>5.</w:t>
      </w:r>
      <w:r w:rsidRPr="00D219DA">
        <w:tab/>
        <w:t>отбелязва, че след постигането на финансова автономност през юни 2021 г. Европейската прокуратура е отдала приоритет на оперативните разходи, свързани с разследването, наказателното преследване и мерките за сигурност, като е ограничила неоперативните разходи до съществени изисквания за съответствие и основни услуги за подкрепа;</w:t>
      </w:r>
    </w:p>
    <w:p w:rsidR="0093355F" w:rsidRPr="00D219DA" w:rsidRDefault="0093355F" w:rsidP="0093355F">
      <w:pPr>
        <w:spacing w:after="240"/>
        <w:ind w:left="567" w:hanging="567"/>
        <w:rPr>
          <w:szCs w:val="24"/>
        </w:rPr>
      </w:pPr>
      <w:r w:rsidRPr="00D219DA">
        <w:t>6.</w:t>
      </w:r>
      <w:r w:rsidRPr="00D219DA">
        <w:tab/>
        <w:t>отбелязва възходящата тенденция в редица бюджетни редове за оперативни разходи; отбелязва, че разходите за възнаграждение на европейските делегирани прокурори достигнаха 8,7 милиона евро и са основните оперативни разходи поради увеличения брой действащи европейски делегирани прокурори през 2022 г.; отбелязва, че разходите за командировки и оперативни срещи представляват 5,2% от оперативните разходи (1,1 милиона евро) в сравнение с 2,9% през 2021 г., като увеличението само за командировките през 2022 г. в сравнение с 2021 г. (след като Европейската прокуратура получи финансова автономност) е 170% вследствие на увеличаването на броя на служителите и на външните дейности през първата пълна година от дейността; отбелязва също така, че са поети задължения за 2,8 милиона евро за преводачески услуги, което представлява 14% от оперативните разходи, в сравнение със 7,6% през 2021 г.; признава необходимостта от допълнителни ресурси за преводи предвид очакваното увеличение на разследваните случаи през следващите години; изисква от Европейската прокуратура да информира Парламента за своите планове за по-нататъшно разширяване на използването на услуги за автоматизиран превод чрез вътрешно разработения „портал за превод“ и чрез увеличеното използване на национални заклети преводачи, на които се заплаща от участващите държави членки;</w:t>
      </w:r>
    </w:p>
    <w:p w:rsidR="0093355F" w:rsidRPr="00D219DA" w:rsidRDefault="0093355F" w:rsidP="0093355F">
      <w:pPr>
        <w:spacing w:after="240"/>
        <w:ind w:left="567" w:hanging="567"/>
        <w:rPr>
          <w:szCs w:val="24"/>
        </w:rPr>
      </w:pPr>
      <w:r w:rsidRPr="00D219DA">
        <w:t>7.</w:t>
      </w:r>
      <w:r w:rsidRPr="00D219DA">
        <w:tab/>
        <w:t>отбелязва, че прогнозата за разходите, свързани с дейностите на Европейската прокуратура, е много сложна поради равнището на разкриване на измами, типологията и естеството на делата, ефективността на Европейската прокуратура при провеждането на разследвания и наказателни преследвания с оглед на задължителния им характер и на процедурите и ограниченията, произтичащи от националните съдебни системи, липсата на фиксирана връзка между броя на разследванията и разходите за тях, и не на последно място, размера на финансовите интереси на Съюза, които трябва да бъдат защитени, включително плановете на Полша и Швеция да се присъединят към Европейската прокуратура; отбелязва също така, че е трудно да се изчисли прогнозата за разходите за натовареността, свързана с Механизма за възстановяване и устойчивост (МВУ) — поради безпрецедентния режим на изпълнение и самия обем на ресурсите;</w:t>
      </w:r>
    </w:p>
    <w:p w:rsidR="0093355F" w:rsidRPr="00D219DA" w:rsidRDefault="0093355F" w:rsidP="0093355F">
      <w:pPr>
        <w:pStyle w:val="NormalHanging12a"/>
        <w:rPr>
          <w:szCs w:val="24"/>
        </w:rPr>
      </w:pPr>
      <w:r w:rsidRPr="00D219DA">
        <w:t>8.</w:t>
      </w:r>
      <w:r w:rsidRPr="00D219DA">
        <w:tab/>
        <w:t xml:space="preserve">припомня призива си да се вземе предвид въздействието на разгръщането на МВУ върху прогнозата, която Европейската прокуратура трябва да съобщи на Комисията в рамките на бюджетната процедура; споделя виждането, че работното натоварване на Европейската прокуратура, което първоначално беше подценено, отбеляза значително нарастване и ще продължи да се увеличава през следващите години, по-специално що се отнася до броя на делата по МВУ (през 2022 г. бяха образувани само 15 дела, но през 2023 г. ще бъдат образувани повече дела, тъй като изпълнението на МВУ достига своята връхна точка), и че по-голям брой дела </w:t>
      </w:r>
      <w:r w:rsidRPr="00D219DA">
        <w:lastRenderedPageBreak/>
        <w:t>в съдебната фаза ще изискват различна насоченост в сравнение с тези във фазата на разследване;</w:t>
      </w:r>
    </w:p>
    <w:p w:rsidR="0093355F" w:rsidRPr="00D219DA" w:rsidRDefault="0093355F" w:rsidP="0093355F">
      <w:pPr>
        <w:pStyle w:val="NormalHanging12a"/>
        <w:rPr>
          <w:b/>
          <w:i/>
          <w:szCs w:val="24"/>
        </w:rPr>
      </w:pPr>
      <w:r w:rsidRPr="00D219DA">
        <w:t>9.</w:t>
      </w:r>
      <w:r w:rsidRPr="00D219DA">
        <w:tab/>
        <w:t xml:space="preserve">признава, че Европейската прокуратура ясно допринася за европейска добавена стойност по отношение на координацията и сътрудничеството с държавите членки при разследването и наказателното преследване на престъпления срещу финансовите интереси на Съюза и че в това отношение Европейската прокуратура постига целите, определени в Регламент (ЕС) 2017/1939 на Съвета от 12 октомври 2017 г.; очаква държавите членки да спазват правните си задължения и да докладват на Европейската прокуратура за всички съответни случаи; отбелязва със загриженост, че в няколко случая държавите членки обявяват за дела от национална компетентност престъпления, засягащи финансовите интереси на Съюза, които са от компетентността на Европейската прокуратура; отбелязва, че по няколко дела в няколко държави бяха повдигнати въпроси относно разпределянето на компетентността между националните органи и европейските делегирани прокурори; е наясно, че съгласно член 25, параграф 6 от Регламент (ЕС) 2017/1939 случаите на несъгласие относно правомощията на Европейската прокуратура се решават от същия национален съдебен орган, който отговаря за определянето на компетентния орган за наказателно преследване на национално равнище; изразява съжаление, че в много участващи държави членки действащите процедури и националните органи, на които е възложено вземането на решения по такива случаи относно спорове за компетентност, не са определени в съответствие с Регламент (ЕС) 2017/1939; подчертава, че в случаи, когато има спорове за компетентност между Европейската прокуратура и национален орган на прокуратурата, националният орган, компетентен да взема решения относно разпределянето на компетентност, би могъл да стигне до заключение, че без да поиска </w:t>
      </w:r>
      <w:proofErr w:type="spellStart"/>
      <w:r w:rsidRPr="00D219DA">
        <w:t>преюдициално</w:t>
      </w:r>
      <w:proofErr w:type="spellEnd"/>
      <w:r w:rsidRPr="00D219DA">
        <w:t xml:space="preserve"> заключение от Съда на ЕС, би могъл да вземе решение, което е обвързващо за Европейската прокуратура, и посочва, че това е в противоречие с духа на Регламент (ЕС) 2017/1939, в който се посочва, че Съдът на ЕС, в съответствие с член 267 от ДФЕС, е компетентен да се произнася с </w:t>
      </w:r>
      <w:proofErr w:type="spellStart"/>
      <w:r w:rsidRPr="00D219DA">
        <w:t>преюдициално</w:t>
      </w:r>
      <w:proofErr w:type="spellEnd"/>
      <w:r w:rsidRPr="00D219DA">
        <w:t xml:space="preserve"> заключение относно тълкуването на разпоредбата относно споровете за компетентност между Европейската прокуратура и националните органи; счита, че в настоящото положение липсва правна яснота; насърчава всички държави членки да си сътрудничат по-тясно с Европейската прокуратура; подчертава, че компетентността на Европейската прокуратура е ясно очертана в член 22, параграфи 1 и 2 и в член 23 и че всички държави членки следва да спазват Регламент (ЕС) 2017/1939; отбелязва, че когато държавите членки имат съмнения относно компетентността на Европейската прокуратура по конкретен случай, съществува възможност за отправяне на </w:t>
      </w:r>
      <w:proofErr w:type="spellStart"/>
      <w:r w:rsidRPr="00D219DA">
        <w:t>преюдициално</w:t>
      </w:r>
      <w:proofErr w:type="spellEnd"/>
      <w:r w:rsidRPr="00D219DA">
        <w:t xml:space="preserve"> запитване до Съда на ЕС съгласно член 267 от ДФЕС и член 42, параграф 2, буква в) от Регламент (ЕС) 2017/1939; настоятелно призовава Комисията, в случай на нарушение на Регламент (ЕС) 2017/1939, да отнесе случая до Съда на ЕС; отбелязва със загриженост, че въпросът за компетентността може да доведе до спиране на разследването; изразява загриженост относно потенциалната загуба на доказателства, когато делата са спрени; призовава Комисията да събере информация </w:t>
      </w:r>
      <w:r w:rsidR="00FA7729">
        <w:t>относно</w:t>
      </w:r>
      <w:r w:rsidRPr="00D219DA">
        <w:t xml:space="preserve"> случаите на спорове за компетентност във връзка с доклада за оценка, който ще бъде представен през 2026 г.;</w:t>
      </w:r>
    </w:p>
    <w:p w:rsidR="0093355F" w:rsidRPr="00D219DA" w:rsidRDefault="0093355F" w:rsidP="0093355F">
      <w:pPr>
        <w:pStyle w:val="NormalHanging12a"/>
        <w:rPr>
          <w:szCs w:val="24"/>
        </w:rPr>
      </w:pPr>
      <w:r w:rsidRPr="00D219DA">
        <w:t>10.</w:t>
      </w:r>
      <w:r w:rsidRPr="00D219DA">
        <w:tab/>
        <w:t xml:space="preserve">отбелязва, че през 2022 г. от 15-те активни случаи, свързани с МВУ, изброени в годишния доклад на Европейската прокуратура, 9 случая са възникнали в Италия, 2 в Португалия, 3 в Румъния и 1 случай в Хърватия; силно насърчава </w:t>
      </w:r>
      <w:r w:rsidRPr="00D219DA">
        <w:lastRenderedPageBreak/>
        <w:t>Европейската прокуратура да разкрива модели на измами в държавите, в които е имало повече от един случай, свързан с МВУ, и да информира OLAF и работната група за възстановяване и устойчивост за тези модели, с цел да се намалят на първо място случаите на измами;</w:t>
      </w:r>
    </w:p>
    <w:p w:rsidR="0093355F" w:rsidRPr="00D219DA" w:rsidRDefault="0093355F" w:rsidP="0093355F">
      <w:pPr>
        <w:pStyle w:val="NormalHanging12a"/>
        <w:rPr>
          <w:szCs w:val="24"/>
        </w:rPr>
      </w:pPr>
      <w:r w:rsidRPr="00D219DA">
        <w:t>11.</w:t>
      </w:r>
      <w:r w:rsidRPr="00D219DA">
        <w:tab/>
        <w:t>отбелязва, че към момента Европейската прокуратура води около 170 активни разследвания в над седем държави, включващи случаи, свързани с МВУ, и че размерът на щетите от тези случаи, предмет на тези активни разследвания, понастоящем се оценява на 530 милиона евро; отбелязва, че според оценките на Европейската прокуратура броят на новите активни разследвания, свързани със средства за възстановяване и устойчивост, ще се увеличи, тъй като все повече държави получават средства от МВУ, и насърчава Европейската прокуратура да планира съответно бюджета и капацитета си;</w:t>
      </w:r>
    </w:p>
    <w:p w:rsidR="0093355F" w:rsidRPr="00D219DA" w:rsidRDefault="0093355F" w:rsidP="0093355F">
      <w:pPr>
        <w:pStyle w:val="NormalHanging12a"/>
        <w:rPr>
          <w:szCs w:val="24"/>
        </w:rPr>
      </w:pPr>
      <w:r w:rsidRPr="00D219DA">
        <w:t>12.</w:t>
      </w:r>
      <w:r w:rsidRPr="00D219DA">
        <w:tab/>
        <w:t>по отношение на размера на ресурсите, отпуснати на Европейската прокуратура, подчертава, че разпределените бюджетни и човешки ресурси следва да бъдат достатъчни, за да позволят ефективното и успешно изпълнение на нейния мандат и нормалното протичане на съответните административни процедури; призовава Комисията да преразгледа бюджетната рамка на Европейската прокуратура в тясно сътрудничество с Европейската прокуратура, за да намери подходящи начини да я подкрепи в нейната работа, като се има предвид, че в контекста на нарастващия брой сложни дела ще са необходими допълнителни ресурси и те не следва да зависят от преразглеждането на Регламент (ЕС) 2017/1939 и/или нейния мандат; отбелязва също така във връзка с това, че се очаква по-голям брой обжалвания, с които се оспорва тълкуването на правната рамка на Европейската прокуратура и нейното интегриране в съдебните системи на държавите членки или пред Съда на ЕС;</w:t>
      </w:r>
    </w:p>
    <w:p w:rsidR="0093355F" w:rsidRPr="00D219DA" w:rsidRDefault="0093355F" w:rsidP="0093355F">
      <w:pPr>
        <w:spacing w:after="240"/>
        <w:ind w:left="567" w:hanging="567"/>
        <w:rPr>
          <w:szCs w:val="24"/>
        </w:rPr>
      </w:pPr>
      <w:r w:rsidRPr="00D219DA">
        <w:t xml:space="preserve">13. </w:t>
      </w:r>
      <w:r w:rsidRPr="00D219DA">
        <w:tab/>
        <w:t>що се отнася до използването на ресурсите, отпуснати на Европейската прокуратура, изразява разбиране, че Европейската прокуратура се ангажира с непрекъснато актуализиране и преразглеждане на вътрешните си финансови правила, уреждащи финансовите аспекти на нейната дейност; приветства за тази цел текущия диалог с Комисията и е наясно, че в съответствие с направените от Комисията предложения неотдавнашно решение на Колегията на Европейската прокуратура промени финансовите ѝ правила, като се добави възможността за сключване на споразумения с компетентните органи на държавите членки и за сключване на договори, без да се прибягва до процедура за възлагане на обществена поръчка, когато възлагането на обществени поръчки не е възможно;</w:t>
      </w:r>
    </w:p>
    <w:p w:rsidR="0093355F" w:rsidRPr="00D219DA" w:rsidRDefault="0093355F" w:rsidP="0093355F">
      <w:pPr>
        <w:spacing w:after="240"/>
        <w:ind w:left="567" w:hanging="567"/>
        <w:rPr>
          <w:szCs w:val="24"/>
        </w:rPr>
      </w:pPr>
      <w:r w:rsidRPr="00D219DA">
        <w:t xml:space="preserve">14. </w:t>
      </w:r>
      <w:r w:rsidRPr="00D219DA">
        <w:tab/>
        <w:t xml:space="preserve">изразява разбиране, че през 2022 г. беше поставено началото на пилотно рамково споразумение за възстановяване на разходите по искания, подадени съгласно член 91, параграф 6 от Регламент </w:t>
      </w:r>
      <w:r w:rsidRPr="00D219DA">
        <w:rPr>
          <w:color w:val="000000"/>
        </w:rPr>
        <w:t>(ЕС) 2017/1939</w:t>
      </w:r>
      <w:r w:rsidRPr="00D219DA">
        <w:t>, за да се обхванат изключително скъпоструващи мерки по разследване, провеждани на национално равнище от името на Европейската прокуратура;</w:t>
      </w:r>
    </w:p>
    <w:p w:rsidR="0093355F" w:rsidRPr="00D219DA" w:rsidRDefault="0093355F" w:rsidP="0093355F">
      <w:pPr>
        <w:spacing w:after="240"/>
        <w:ind w:left="567" w:hanging="567"/>
        <w:rPr>
          <w:szCs w:val="24"/>
        </w:rPr>
      </w:pPr>
      <w:r w:rsidRPr="00D219DA">
        <w:t>15.</w:t>
      </w:r>
      <w:r w:rsidRPr="00D219DA">
        <w:tab/>
        <w:t xml:space="preserve">изтъква необходимостта да се създадат условия за правилното прилагане на член 91, параграф 6 от Регламент (ЕС) 2017/1939 и подчертава, че специфичните характеристики на разходите за наказателно преследване и разследване (включително изключителните случаи на оперативни разходи на Европейската прокуратура, уредени от член 91, параграф 6) трябва да бъдат взети предвид; изразява съжаление, че предложението, представено в рамките на тристранните </w:t>
      </w:r>
      <w:r w:rsidRPr="00D219DA">
        <w:lastRenderedPageBreak/>
        <w:t>преговори за преработването, беше отхвърлено; счита, че Комисията, в диалог с Европейската прокуратура, следва да проучи алтернативни пътища, за да се създадат условия за ефективно и ефикасно прилагане на разпоредбата;</w:t>
      </w:r>
    </w:p>
    <w:p w:rsidR="0093355F" w:rsidRPr="00D219DA" w:rsidRDefault="0093355F" w:rsidP="0093355F">
      <w:pPr>
        <w:spacing w:after="240"/>
        <w:ind w:left="567" w:hanging="567"/>
        <w:rPr>
          <w:szCs w:val="24"/>
        </w:rPr>
      </w:pPr>
      <w:r w:rsidRPr="00D219DA">
        <w:t xml:space="preserve">16. </w:t>
      </w:r>
      <w:r w:rsidRPr="00D219DA">
        <w:tab/>
        <w:t>подчертава, че след началото на оперативната дейност на Европейската прокуратура законодателната финансова обосновка за 2017 г. вече не е подходяща за целта поради значително подцененото работно натоварване и не е предложена актуализация на тази обосновка; във връзка с това счита, че липсата на средносрочен бюджетен преглед за Европейската прокуратура възпрепятства Европейската прокуратура да разбере ясно наличните ресурси за бъдещите дейности по вече съществуващите дела и да предвиди подготвителни дейности по изпълнението на бюджета преди края на процеса на приемане на бюджета;</w:t>
      </w:r>
    </w:p>
    <w:p w:rsidR="0093355F" w:rsidRPr="00D219DA" w:rsidRDefault="0093355F" w:rsidP="0093355F">
      <w:pPr>
        <w:spacing w:after="240"/>
        <w:ind w:left="567" w:hanging="567"/>
        <w:rPr>
          <w:szCs w:val="24"/>
        </w:rPr>
      </w:pPr>
      <w:r w:rsidRPr="00D219DA">
        <w:t xml:space="preserve">17. </w:t>
      </w:r>
      <w:r w:rsidRPr="00D219DA">
        <w:tab/>
        <w:t>отново заявява, че липсата на средносрочна рамка за ресурсите на Европейската прокуратура, както по отношение на бюджета, така и по отношение на персонала, в момент, когато е необходимо бързо разрастване на операциите и създаване на административните основи, ограничава възможностите, които следва да се предоставят за постигането на максимална гъвкавост при развитието на организационна инфраструктура за толкова иновативен проект, какъвто е Европейската прокуратура;</w:t>
      </w:r>
    </w:p>
    <w:p w:rsidR="0093355F" w:rsidRPr="00D219DA" w:rsidRDefault="0093355F" w:rsidP="0093355F">
      <w:pPr>
        <w:pStyle w:val="NormalHanging12a"/>
        <w:rPr>
          <w:szCs w:val="24"/>
        </w:rPr>
      </w:pPr>
      <w:r w:rsidRPr="00D219DA">
        <w:t>18.</w:t>
      </w:r>
      <w:r w:rsidRPr="00D219DA">
        <w:tab/>
        <w:t>съзнава, че Европейската прокуратура се стреми към сътрудничество и координация с държавите членки относно начина, по който измамите, засягащи МВУ, следва да се докладват на Европейската прокуратура и да се разглеждат на равнище разследване и на фазата на наказателно преследване, както и относно начина, по който Европейската прокуратура би могла да се намеси ефективно в това отношение; счита, че участието на Европейската прокуратура в разследването и наказателното преследване на случаи на измами, засягащи средства от МВУ, е от съществено значение за защитата на финансовите интереси на Съюза; припомня, че Европейската прокуратура е независим орган на Съюза, и отново призовава Комисията да предостави подходящи насоки на Европейската прокуратура относно начина, по който да подкрепя и улеснява приемането на коригиращите мерки, които следват провежданото от Европейската прокуратура независимо разследване и наказателно преследване на измами, засягащи МВУ, и да информира бюджетния орган относно наличните варианти;</w:t>
      </w:r>
    </w:p>
    <w:p w:rsidR="0093355F" w:rsidRPr="00D219DA" w:rsidRDefault="0093355F" w:rsidP="0093355F">
      <w:pPr>
        <w:spacing w:after="240"/>
        <w:ind w:left="567" w:hanging="567"/>
        <w:rPr>
          <w:b/>
          <w:i/>
          <w:color w:val="000000" w:themeColor="text1"/>
          <w:szCs w:val="24"/>
        </w:rPr>
      </w:pPr>
      <w:r w:rsidRPr="00D219DA">
        <w:rPr>
          <w:b/>
          <w:i/>
          <w:color w:val="000000" w:themeColor="text1"/>
        </w:rPr>
        <w:t>Вътрешно управление, резултати от дейността и вътрешен контрол</w:t>
      </w:r>
    </w:p>
    <w:p w:rsidR="0093355F" w:rsidRPr="00D219DA" w:rsidRDefault="0093355F" w:rsidP="0093355F">
      <w:pPr>
        <w:pStyle w:val="NormalHanging12a"/>
        <w:rPr>
          <w:szCs w:val="24"/>
        </w:rPr>
      </w:pPr>
      <w:r w:rsidRPr="00D219DA">
        <w:t>19.</w:t>
      </w:r>
      <w:r w:rsidRPr="00D219DA">
        <w:tab/>
        <w:t xml:space="preserve">отбелязва увеличаването на докладите за престъпления, представени на Европейската прокуратура (3 318 през 2022 г. в сравнение с 2 832 през 2021 г.), и в резултат на това увеличението на броя на започнатите разследвания (865 през 2022 г. с щети с прогнозен размер от 9,9 милиарда евро в сравнение с 576 през 2021 г., с щети с прогнозен размер от 5,4 милиарда евро); отбелязва, че броят на приключените дела (251 през 2022 г. в сравнение с 57 през 2021 г.) и броят на повдигнатите обвинения (87 през 2022 г. спрямо 5 през 2021 г.), заедно с решенията за обезпечаване, получени от Европейската прокуратура, са на стойност 359,1 милиона евро само през 2022 г. (спрямо 516 милиона евро, които са поискани); отбелязва, че през 2022 г. в Палатата са приключени 20 случая, и счита, че е важно Европейската прокуратура да докладва систематично относно последващите действия по тези случаи по отношение на приетите финансови мерки (конфискация и/или възстановяване), за да се осигури по-ясно разбиране на </w:t>
      </w:r>
      <w:r w:rsidRPr="00D219DA">
        <w:lastRenderedPageBreak/>
        <w:t>въздействието на действията на Европейската прокуратура; призовава Комисията да проучи най-подходящите начини за подпомагане на Европейската прокуратура в дейностите по наблюдение и последващи действия по такъв начин, че ресурсите на Европейската прокуратура да не се отклоняват от нейните задачи по разследване и наказателно преследване; насърчава Европейската прокуратура, когато е възможно и целесъобразно, да се ангажира с по-добро сътрудничество с други компоненти на архитектурата за борба с измамите, като Евроюст и Европол, или като използва — чрез OLAF — координационните служби за борба с измамите (AFCOS), създадени в държавите членки;</w:t>
      </w:r>
    </w:p>
    <w:p w:rsidR="0093355F" w:rsidRPr="00D219DA" w:rsidRDefault="0093355F" w:rsidP="0093355F">
      <w:pPr>
        <w:pStyle w:val="Default"/>
        <w:spacing w:after="240"/>
        <w:ind w:left="567" w:hanging="567"/>
        <w:rPr>
          <w:rFonts w:ascii="Times New Roman" w:hAnsi="Times New Roman" w:cs="Times New Roman"/>
          <w:color w:val="auto"/>
        </w:rPr>
      </w:pPr>
      <w:r w:rsidRPr="00D219DA">
        <w:rPr>
          <w:rFonts w:ascii="Times New Roman" w:hAnsi="Times New Roman"/>
          <w:color w:val="auto"/>
        </w:rPr>
        <w:t xml:space="preserve">20. </w:t>
      </w:r>
      <w:r w:rsidRPr="00D219DA">
        <w:rPr>
          <w:rFonts w:ascii="Times New Roman" w:hAnsi="Times New Roman"/>
          <w:color w:val="auto"/>
        </w:rPr>
        <w:tab/>
        <w:t>призовава Европейската прокуратура да въведе система за наблюдение на повишаването на ефективността и икономиите на време и разходи, и оценява приемането на система за управление на качеството с цел оптимизиране на ключовите процеси и постигане на повишаване на организационната ефективност, качеството на услугите и разходната ефективност; изразява разбиране, че някои процедури са преработени, за да се намалят ненужната административна тежест и дублиранията;</w:t>
      </w:r>
    </w:p>
    <w:p w:rsidR="0093355F" w:rsidRPr="00D219DA" w:rsidRDefault="0093355F" w:rsidP="0093355F">
      <w:pPr>
        <w:pStyle w:val="Default"/>
        <w:spacing w:after="240"/>
        <w:ind w:left="567" w:hanging="567"/>
        <w:rPr>
          <w:rFonts w:ascii="Times New Roman" w:hAnsi="Times New Roman" w:cs="Times New Roman"/>
          <w:bCs/>
          <w:color w:val="000000" w:themeColor="text1"/>
        </w:rPr>
      </w:pPr>
      <w:r w:rsidRPr="00D219DA">
        <w:rPr>
          <w:rFonts w:ascii="Times New Roman" w:hAnsi="Times New Roman"/>
          <w:color w:val="auto"/>
        </w:rPr>
        <w:t xml:space="preserve">21. </w:t>
      </w:r>
      <w:r w:rsidRPr="00D219DA">
        <w:rPr>
          <w:rFonts w:ascii="Times New Roman" w:hAnsi="Times New Roman"/>
          <w:color w:val="auto"/>
        </w:rPr>
        <w:tab/>
        <w:t xml:space="preserve">изразява разбиране, че Европейската прокуратура използва основан на риска подход в своите дейности, с акцент върху идентифицирането на високорискови области; </w:t>
      </w:r>
      <w:r w:rsidRPr="00D219DA">
        <w:rPr>
          <w:rFonts w:ascii="Times New Roman" w:hAnsi="Times New Roman"/>
        </w:rPr>
        <w:t>приветства приемането на административната политика за вътрешен контрол на Европейската прокуратура в областта на околната среда и приканва ръководството на Европейската прокуратура да наблюдава ефективното прилагане на 17-те принципа за вътрешен контрол, за да провери дали те непрекъснато се адаптират към темповете на нарастване на организационната зрялост на Европейската прокуратура;</w:t>
      </w:r>
      <w:r w:rsidRPr="00D219DA">
        <w:rPr>
          <w:rFonts w:ascii="Times New Roman" w:hAnsi="Times New Roman"/>
          <w:color w:val="000000" w:themeColor="text1"/>
        </w:rPr>
        <w:t xml:space="preserve"> във връзка с това оценява извършената неотдавна оценка, която доведе до пътна карта за изпълнение, съсредоточена върху установените недостатъци; изтъква, че основните остатъчни области с висок риск са определени като произтичащи от липсата на ресурси (когато Европейската прокуратура е принудена да избира между дейности, които са еднакво важни за изпълнението на нейния мандат, или когато не е предоставена достатъчна увереност относно спазването на всички административни стандарти);</w:t>
      </w:r>
    </w:p>
    <w:p w:rsidR="0093355F" w:rsidRPr="00D219DA" w:rsidRDefault="0093355F" w:rsidP="0093355F">
      <w:pPr>
        <w:spacing w:after="240"/>
        <w:ind w:left="567" w:hanging="567"/>
        <w:rPr>
          <w:color w:val="000000" w:themeColor="text1"/>
          <w:szCs w:val="24"/>
        </w:rPr>
      </w:pPr>
      <w:r w:rsidRPr="00D219DA">
        <w:rPr>
          <w:color w:val="000000" w:themeColor="text1"/>
        </w:rPr>
        <w:t xml:space="preserve">22. </w:t>
      </w:r>
      <w:r w:rsidRPr="00D219DA">
        <w:rPr>
          <w:color w:val="000000" w:themeColor="text1"/>
        </w:rPr>
        <w:tab/>
        <w:t>приветства приемането на ключови показатели за ефективност (КПЕ) както за оперативните, така и за административните дейности, свързани с годишната и многогодишната работна програма; отбелязва, че основните КПЕ за оперативните дейности не включват конкретно позоваване на сумите, възстановени на бюджета на Съюза, чиято защита в крайна сметка е основанието за съществуването на архитектурата за борба с измамите, чийто важен компонент е Европейската прокуратура; изисква от Европейската прокуратура да приеме показатели, свързани с изпълнението на тази основна задача;</w:t>
      </w:r>
    </w:p>
    <w:p w:rsidR="0093355F" w:rsidRPr="00D219DA" w:rsidRDefault="0093355F" w:rsidP="0093355F">
      <w:pPr>
        <w:pStyle w:val="Default"/>
        <w:widowControl w:val="0"/>
        <w:autoSpaceDE/>
        <w:autoSpaceDN/>
        <w:adjustRightInd/>
        <w:spacing w:after="240"/>
        <w:ind w:left="567" w:hanging="567"/>
        <w:rPr>
          <w:rFonts w:ascii="Times New Roman" w:hAnsi="Times New Roman" w:cs="Times New Roman"/>
          <w:bCs/>
          <w:color w:val="000000" w:themeColor="text1"/>
        </w:rPr>
      </w:pPr>
      <w:r w:rsidRPr="00D219DA">
        <w:rPr>
          <w:rFonts w:ascii="Times New Roman" w:hAnsi="Times New Roman"/>
          <w:color w:val="000000" w:themeColor="text1"/>
        </w:rPr>
        <w:t xml:space="preserve">23. </w:t>
      </w:r>
      <w:r w:rsidRPr="00D219DA">
        <w:rPr>
          <w:rFonts w:ascii="Times New Roman" w:hAnsi="Times New Roman"/>
          <w:color w:val="000000" w:themeColor="text1"/>
        </w:rPr>
        <w:tab/>
        <w:t>оценява приемането от Колегията на Европейската прокуратура през 2022 г. на хартата за вътрешен одит на Структурата за вътрешен одит и на основан на риска план за одит, в които се определят приоритетите за вътрешен одит за периода 2022—2024 г.; насърчава Службата за вътрешен одит (IAS) и Структурата за вътрешен одит (IAC) да координират своите действия с цел консултиране и подпомагане на Европейската прокуратура при установяването на нейните основни процеси и постигането на нейните цели;</w:t>
      </w:r>
    </w:p>
    <w:p w:rsidR="0093355F" w:rsidRPr="00D219DA" w:rsidRDefault="0093355F" w:rsidP="0093355F">
      <w:pPr>
        <w:pStyle w:val="NormalHanging12a"/>
        <w:rPr>
          <w:szCs w:val="24"/>
        </w:rPr>
      </w:pPr>
      <w:r w:rsidRPr="00D219DA">
        <w:t>24.</w:t>
      </w:r>
      <w:r w:rsidRPr="00D219DA">
        <w:tab/>
        <w:t xml:space="preserve">призовава за по-добра система за наблюдение на резултатите и проследяване на </w:t>
      </w:r>
      <w:r w:rsidRPr="00D219DA">
        <w:lastRenderedPageBreak/>
        <w:t>финансовото въздействие на работата на Европейската прокуратура; отбелязва необходимостта от повече обобщени данни относно случаите, за да се идентифицират по-добре моделите на измами; насърчава за непрекъсната координация с Европол в тази област;</w:t>
      </w:r>
    </w:p>
    <w:p w:rsidR="0093355F" w:rsidRPr="00D219DA" w:rsidRDefault="0093355F" w:rsidP="0093355F">
      <w:pPr>
        <w:spacing w:after="240"/>
        <w:ind w:left="567" w:hanging="567"/>
        <w:rPr>
          <w:color w:val="000000" w:themeColor="text1"/>
          <w:szCs w:val="24"/>
        </w:rPr>
      </w:pPr>
      <w:r w:rsidRPr="00D219DA">
        <w:rPr>
          <w:color w:val="000000" w:themeColor="text1"/>
        </w:rPr>
        <w:t xml:space="preserve">25. </w:t>
      </w:r>
      <w:r w:rsidRPr="00D219DA">
        <w:rPr>
          <w:color w:val="000000" w:themeColor="text1"/>
        </w:rPr>
        <w:tab/>
        <w:t>отбелязва, че Европейската прокуратура се стреми да постигне пълно съответствие със стандартите на Съюза за управление на публичната администрация, и припомня, че приемането на всеобхватен план за непрекъснатост на дейността е сред тези основни изисквания;</w:t>
      </w:r>
    </w:p>
    <w:p w:rsidR="0093355F" w:rsidRPr="00D219DA" w:rsidRDefault="0093355F" w:rsidP="0093355F">
      <w:pPr>
        <w:pStyle w:val="NormalHanging12a"/>
        <w:rPr>
          <w:b/>
          <w:i/>
          <w:color w:val="000000" w:themeColor="text1"/>
          <w:szCs w:val="24"/>
        </w:rPr>
      </w:pPr>
      <w:r w:rsidRPr="00D219DA">
        <w:rPr>
          <w:b/>
          <w:i/>
          <w:color w:val="000000" w:themeColor="text1"/>
        </w:rPr>
        <w:t>Човешки ресурси, равенство и благосъстояние на служителите</w:t>
      </w:r>
    </w:p>
    <w:p w:rsidR="0093355F" w:rsidRPr="00D219DA" w:rsidRDefault="0093355F" w:rsidP="0093355F">
      <w:pPr>
        <w:pStyle w:val="NormalHanging12a"/>
        <w:rPr>
          <w:color w:val="000000" w:themeColor="text1"/>
          <w:szCs w:val="24"/>
        </w:rPr>
      </w:pPr>
      <w:r w:rsidRPr="00D219DA">
        <w:rPr>
          <w:color w:val="000000" w:themeColor="text1"/>
        </w:rPr>
        <w:t xml:space="preserve">26. </w:t>
      </w:r>
      <w:r w:rsidRPr="00D219DA">
        <w:rPr>
          <w:color w:val="000000" w:themeColor="text1"/>
        </w:rPr>
        <w:tab/>
        <w:t>отбелязва възходящата тенденция по отношение на броя на служителите, който се е увеличил от 58 през 2020 г. на 122 през 2021 г. и на 217 до края на 2022 г.; е наясно, че за 2022 г. Европейската прокуратура е поискала 171 срочно наети служители, 48 договорно наети служители и 29 командировани национални експерти (КНЕ), което представлява общо 248 длъжности (в сравнение с положението през 2021 г. — 95 срочно наети служители, 35 договорно наети служители и 0 КНЕ за общо 130 длъжности); отбелязва, че бюджетният орган е предоставил 100% от поисканите длъжности;</w:t>
      </w:r>
    </w:p>
    <w:p w:rsidR="0093355F" w:rsidRPr="00D219DA" w:rsidRDefault="0093355F" w:rsidP="0093355F">
      <w:pPr>
        <w:spacing w:after="240"/>
        <w:ind w:left="567" w:hanging="567"/>
        <w:rPr>
          <w:bCs/>
          <w:color w:val="000000" w:themeColor="text1"/>
          <w:szCs w:val="24"/>
        </w:rPr>
      </w:pPr>
      <w:r w:rsidRPr="00D219DA">
        <w:rPr>
          <w:color w:val="000000" w:themeColor="text1"/>
        </w:rPr>
        <w:t xml:space="preserve">27. </w:t>
      </w:r>
      <w:r w:rsidRPr="00D219DA">
        <w:rPr>
          <w:color w:val="000000" w:themeColor="text1"/>
        </w:rPr>
        <w:tab/>
        <w:t>изтъква, че през 2022 г. усилията на Европейската прокуратура за набиране на достатъчен брой квалифицирани служители с бързи процедури доведоха до назначаването на 85 щатни служители в централната служба и 22 европейски делегирани прокурори в националните служби; отбелязва, че в края на 2022 г. са били заети 217 от 248-те предвидени в бюджета длъжности, като с това процентът на запълване на длъжностите, заемани от срочно наети служители, договорно наети служители и командировани национални експерти, е намалял до 87,5% (в сравнение с 94% през 2021 г.), докато за европейските делегирани прокурори процентът на запълване на длъжностите е нараснал на 82,1% (със 115 от общо 140 заети длъжности за европейски делегирани прокурори, предвидени в бюджета) в сравнение с 68% през 2021 г. (с едва 95 от общо 140 заети длъжности за европейски делегирани прокурори, предвидени в бюджета), с което общият процент на запълване на длъжностите достига 85,56% (в сравнение с 81% през 2021 г.);</w:t>
      </w:r>
    </w:p>
    <w:p w:rsidR="0093355F" w:rsidRPr="00D219DA" w:rsidRDefault="0093355F" w:rsidP="0093355F">
      <w:pPr>
        <w:pStyle w:val="NormalHanging12a"/>
        <w:rPr>
          <w:b/>
          <w:i/>
          <w:szCs w:val="24"/>
        </w:rPr>
      </w:pPr>
      <w:r w:rsidRPr="00D219DA">
        <w:t>28.</w:t>
      </w:r>
      <w:r w:rsidRPr="00D219DA">
        <w:tab/>
        <w:t>подчертава, че по време на посещението в Европейската прокуратура по време на мисията за бюджетен контрол в Люксембург през 2023 г. Европейската прокуратура е изразила острата необходимост от повече правни експерти, които да работят по големия брой разследвания; отбелязва, че през 2022 г. е имало над 1117 активни разследвания (статистически данни за Европейската прокуратура за 2022 г.); признава, че Комисията вече е проявила активност в тази област, но отправя искане за допълнителен капацитет, особено като се имат предвид натрупаните дела и допълнителните случаи, свързани с МВУ, както и мащабните измами с ДДС; изтъква, че е възможно Комисията да е подценила потребностите и капацитета; признава, че ГД „Бюджет“ и Комисията са изпълнили досегашните искания на Европейската прокуратура;</w:t>
      </w:r>
    </w:p>
    <w:p w:rsidR="0093355F" w:rsidRPr="00D219DA" w:rsidRDefault="0093355F" w:rsidP="0093355F">
      <w:pPr>
        <w:spacing w:after="240"/>
        <w:ind w:left="567" w:hanging="567"/>
        <w:rPr>
          <w:bCs/>
          <w:color w:val="000000" w:themeColor="text1"/>
          <w:szCs w:val="24"/>
        </w:rPr>
      </w:pPr>
      <w:r w:rsidRPr="00D219DA">
        <w:rPr>
          <w:color w:val="000000" w:themeColor="text1"/>
        </w:rPr>
        <w:t xml:space="preserve">29. </w:t>
      </w:r>
      <w:r w:rsidRPr="00D219DA">
        <w:rPr>
          <w:color w:val="000000" w:themeColor="text1"/>
        </w:rPr>
        <w:tab/>
        <w:t xml:space="preserve">изразява разбиране, че административните и централните помощни функции се очаква да нараснат в съответствие с нарастващите оперативни дейности и че допълнителното набиране на служители ще бъде също от решаващо значение в </w:t>
      </w:r>
      <w:r w:rsidRPr="00D219DA">
        <w:rPr>
          <w:color w:val="000000" w:themeColor="text1"/>
        </w:rPr>
        <w:lastRenderedPageBreak/>
        <w:t>областта на цифровите услуги и услугите за сигурност; оценява факта, че допълнителните оперативни потребности са включени в единния програмен документ на Европейската прокуратура за периода 2024—2026 г. и в искането за бюджет за 2024 г.;</w:t>
      </w:r>
    </w:p>
    <w:p w:rsidR="0093355F" w:rsidRPr="00D219DA" w:rsidRDefault="0093355F" w:rsidP="0093355F">
      <w:pPr>
        <w:spacing w:after="240"/>
        <w:ind w:left="567" w:hanging="567"/>
        <w:rPr>
          <w:bCs/>
          <w:color w:val="000000" w:themeColor="text1"/>
          <w:szCs w:val="24"/>
        </w:rPr>
      </w:pPr>
      <w:r w:rsidRPr="00D219DA">
        <w:rPr>
          <w:color w:val="000000" w:themeColor="text1"/>
        </w:rPr>
        <w:t xml:space="preserve">30. </w:t>
      </w:r>
      <w:r w:rsidRPr="00D219DA">
        <w:rPr>
          <w:color w:val="000000" w:themeColor="text1"/>
        </w:rPr>
        <w:tab/>
        <w:t>е наясно, че люксембургският пазар на труда е много конкурентен и че условията, предлагани от администрацията на Съюза, не са привлекателни за местния пазар (подлежащ на различни индексации на заплатите през годината), нито отчитат по подходящ начин високите разходи за живот (особено в областта на жилищната); изразява разбиране, че тази трудна ситуация е дори още по-остра за стажантите и договорно наетите служители, поради което длъжностите за договорно наети служители са в процес на постепенно премахване в полза на длъжности за срочно наети служители, тъй като те се ползват от по-благоприятен договор; отбелязва, че привличането и задържането на служители стана още по-трудно през 2022 г. поради процента на инфлация и увеличените разходи за живот и че размерите на обезщетенията нямат същото положително въздействие, както е извън администрацията на Съюза, където националните индексации на заплатите запазиха защитата на покупателната способност на гражданите;</w:t>
      </w:r>
    </w:p>
    <w:p w:rsidR="0093355F" w:rsidRPr="00D219DA" w:rsidRDefault="0093355F" w:rsidP="0093355F">
      <w:pPr>
        <w:pStyle w:val="NormalHanging12a"/>
        <w:rPr>
          <w:szCs w:val="24"/>
        </w:rPr>
      </w:pPr>
      <w:r w:rsidRPr="00D219DA">
        <w:t>31.</w:t>
      </w:r>
      <w:r w:rsidRPr="00D219DA">
        <w:tab/>
        <w:t>отбелязва, че Европейската прокуратура е станала по-малко привлекателна, отколкото четирите други институции на Съюза, работещи от Люксембург, тъй като тя не може да предложи пътека за придобиване на статут на длъжностно лице на Съюза; подчертава необходимостта Европейската прокуратура да предлага привлекателни заплати на договорно наетите и срочно наетите служители, които да са конкурентни на условията, които се предлагат в частния сектор, включително за правни услуги и услуги в областта на информационните технологии, за да се привлекат най-добрите и най-изявените таланти с международен опит; подчертава, че може да се наложи настоящите заплати и бюджет да бъдат коригирани, за да отразят това;</w:t>
      </w:r>
    </w:p>
    <w:p w:rsidR="0093355F" w:rsidRPr="00D219DA" w:rsidRDefault="0093355F" w:rsidP="0093355F">
      <w:pPr>
        <w:pStyle w:val="NormalHanging12a"/>
        <w:rPr>
          <w:szCs w:val="24"/>
        </w:rPr>
      </w:pPr>
      <w:r w:rsidRPr="00D219DA">
        <w:t>32.</w:t>
      </w:r>
      <w:r w:rsidRPr="00D219DA">
        <w:tab/>
        <w:t>отбелязва, че в края на 2022 г. като цяло се търси адекватно географско равновесие и баланс между половете сред 217-те служители (122 мъже и 95 жени); приветства непрекъснатото наблюдение на разбивката по националности в Европейската прокуратура във връзка с наемането на служители, за да се осигури равновесие, особено предвид на неравномерното разпределение на кандидатите; отбелязва обаче, че разпределението по пол между висшите и средните ръководни длъжности (четири към едно) все още не е оптимално, и отново заявява, че този аспект следва да бъде подобрен в рамките на цялостната стратегия за многообразие, включително подходящо насърчаване на хората с увреждания да кандидатстват; отново отправя своето искане към Европейската прокуратура да приеме без забавяне своята харта за многообразието и приобщаването, като се има предвид увеличаването на броя на служителите през последната година;</w:t>
      </w:r>
    </w:p>
    <w:p w:rsidR="0093355F" w:rsidRPr="00D219DA" w:rsidRDefault="0093355F" w:rsidP="0093355F">
      <w:pPr>
        <w:spacing w:after="240"/>
        <w:ind w:left="567" w:hanging="567"/>
        <w:rPr>
          <w:bCs/>
          <w:color w:val="000000" w:themeColor="text1"/>
          <w:szCs w:val="24"/>
        </w:rPr>
      </w:pPr>
      <w:r w:rsidRPr="00D219DA">
        <w:rPr>
          <w:color w:val="000000" w:themeColor="text1"/>
        </w:rPr>
        <w:t xml:space="preserve">33. </w:t>
      </w:r>
      <w:r w:rsidRPr="00D219DA">
        <w:rPr>
          <w:color w:val="000000" w:themeColor="text1"/>
        </w:rPr>
        <w:tab/>
        <w:t>отбелязва, че до края на 2022 г. на 275 от общо 332 служители (82,83% спрямо 186 служители, което е 86% през 2021 г.) е било възложено изпълнението на дейности по разследване (срочно наети служители, договорно наети служители, командировани национални експерти и европейски делегирани прокурори), докато 57 служители са били заети с функции по административна подкрепа и контрол (17,17%), а 9 длъжности за функции по осъществяване на разследване са останали незаети;</w:t>
      </w:r>
    </w:p>
    <w:p w:rsidR="0093355F" w:rsidRPr="00D219DA" w:rsidRDefault="0093355F" w:rsidP="0093355F">
      <w:pPr>
        <w:pStyle w:val="NormalHanging12a"/>
        <w:rPr>
          <w:b/>
          <w:i/>
          <w:szCs w:val="24"/>
        </w:rPr>
      </w:pPr>
      <w:r w:rsidRPr="00D219DA">
        <w:lastRenderedPageBreak/>
        <w:t>34.</w:t>
      </w:r>
      <w:r w:rsidRPr="00D219DA">
        <w:tab/>
        <w:t>отбелязва, че назначаването на европейски делегирани прокурори е споделена отговорност на Европейската прокуратура и държавите членки; подчертава, че процедурата по назначаване трябва винаги да бъде в съответствие с член 17 от Регламент (ЕС) 2017/1939 и с принципа на национална процесуална автономност;</w:t>
      </w:r>
    </w:p>
    <w:p w:rsidR="0093355F" w:rsidRPr="00D219DA" w:rsidRDefault="0093355F" w:rsidP="0093355F">
      <w:pPr>
        <w:spacing w:after="240"/>
        <w:ind w:left="567" w:hanging="567"/>
        <w:rPr>
          <w:color w:val="000000" w:themeColor="text1"/>
          <w:szCs w:val="24"/>
        </w:rPr>
      </w:pPr>
      <w:r w:rsidRPr="00D219DA">
        <w:rPr>
          <w:color w:val="000000" w:themeColor="text1"/>
        </w:rPr>
        <w:t xml:space="preserve">35. </w:t>
      </w:r>
      <w:r w:rsidRPr="00D219DA">
        <w:rPr>
          <w:color w:val="000000" w:themeColor="text1"/>
        </w:rPr>
        <w:tab/>
        <w:t>изразява задоволство от увеличения брой европейски делегирани прокурори, назначени в няколко държави членки; е наясно, че участието на квалифицирани кандидати би могло да бъде засилено и процесът на назначаване би могъл да бъде по-избирателен, като се възприемат ясна перспектива за професионално развитие и по-благоприятна административна дисциплина в областта на социалната сигурност и здравното осигуряване; счита, че създаването на специален статут за европейските делегирани прокурори, както се предполага от естеството на тяхната съдебна функция, би направило тези длъжности по-привлекателни; призовава Европейската прокуратура и Комисията да проучат всички възможни решения, за да засилят диалога си за постигането на този резултат, като вземат предвид ползите, които това би създало по отношение на компетентностите и оперативната ефективност; отново изтъква своето виждане, че това положение обосновава допълнителни аргументи в подкрепа на преразглеждане на Регламент (ЕС) 2017/1939 и на статута на Европейската прокуратура;</w:t>
      </w:r>
    </w:p>
    <w:p w:rsidR="0093355F" w:rsidRPr="00D219DA" w:rsidRDefault="0093355F" w:rsidP="0093355F">
      <w:pPr>
        <w:spacing w:after="240"/>
        <w:ind w:left="567" w:hanging="567"/>
        <w:rPr>
          <w:color w:val="000000" w:themeColor="text1"/>
          <w:szCs w:val="24"/>
        </w:rPr>
      </w:pPr>
      <w:r w:rsidRPr="00D219DA">
        <w:rPr>
          <w:color w:val="000000" w:themeColor="text1"/>
        </w:rPr>
        <w:t xml:space="preserve">36. </w:t>
      </w:r>
      <w:r w:rsidRPr="00D219DA">
        <w:rPr>
          <w:color w:val="000000" w:themeColor="text1"/>
        </w:rPr>
        <w:tab/>
        <w:t>отбелязва, че за Европейската прокуратура все още работят външни доставчици на услуги, работещи на място (39 служители през 2022 г.); е наясно, че през 2022 г. Европейската прокуратура отново трябваше да прибегне до използването на временно наети служители за обработката на финансови операции, което беше в нарушение на нейните собствени финансови правила; изразява разбиране, че това решение, което беше оповестено по прозрачен начин, беше наложено от необходимостта от разполагане на наличния щатен личен състав за изпълнението на функции по разследване и наказателно преследване; отбелязва обаче, че Европейската прокуратура е спряла да разчита на временно наети служители за обработката на финансови операции след увеличението на нейния капацитет за набиране на служители;</w:t>
      </w:r>
    </w:p>
    <w:p w:rsidR="0093355F" w:rsidRPr="00D219DA" w:rsidRDefault="0093355F" w:rsidP="0093355F">
      <w:pPr>
        <w:spacing w:after="240"/>
        <w:ind w:left="567" w:hanging="567"/>
        <w:rPr>
          <w:color w:val="000000" w:themeColor="text1"/>
          <w:szCs w:val="24"/>
        </w:rPr>
      </w:pPr>
      <w:r w:rsidRPr="00D219DA">
        <w:rPr>
          <w:color w:val="000000" w:themeColor="text1"/>
        </w:rPr>
        <w:t xml:space="preserve">37. </w:t>
      </w:r>
      <w:r w:rsidRPr="00D219DA">
        <w:rPr>
          <w:color w:val="000000" w:themeColor="text1"/>
        </w:rPr>
        <w:tab/>
        <w:t xml:space="preserve">отбелязва увеличените разходи за курсове за обучение през 2022 г. и изразява разбиране, че това е довело до по-интензивно използване на платформата EU </w:t>
      </w:r>
      <w:proofErr w:type="spellStart"/>
      <w:r w:rsidRPr="00D219DA">
        <w:rPr>
          <w:color w:val="000000" w:themeColor="text1"/>
        </w:rPr>
        <w:t>Learn</w:t>
      </w:r>
      <w:proofErr w:type="spellEnd"/>
      <w:r w:rsidRPr="00D219DA">
        <w:rPr>
          <w:color w:val="000000" w:themeColor="text1"/>
        </w:rPr>
        <w:t>, разходите за която почти са се удвоили;</w:t>
      </w:r>
    </w:p>
    <w:p w:rsidR="0093355F" w:rsidRPr="00D219DA" w:rsidRDefault="0093355F" w:rsidP="0093355F">
      <w:pPr>
        <w:spacing w:after="240"/>
        <w:ind w:left="567" w:hanging="567"/>
        <w:rPr>
          <w:bCs/>
          <w:color w:val="000000" w:themeColor="text1"/>
          <w:szCs w:val="24"/>
        </w:rPr>
      </w:pPr>
      <w:bookmarkStart w:id="11" w:name="_heading=h.3znysh7"/>
      <w:bookmarkEnd w:id="11"/>
      <w:r w:rsidRPr="00D219DA">
        <w:rPr>
          <w:color w:val="000000" w:themeColor="text1"/>
        </w:rPr>
        <w:t xml:space="preserve">38. </w:t>
      </w:r>
      <w:r w:rsidRPr="00D219DA">
        <w:rPr>
          <w:color w:val="000000" w:themeColor="text1"/>
        </w:rPr>
        <w:tab/>
        <w:t>подчертава, че два правни акта понастоящем определят гъвкавите схеми на работа и режима на дистанционна работа — Решението на Колегията на Европейската прокуратура относно работното време, прието през октомври 2021 г., което е приложимо само за прокурорите и административния директор, и Решението на Колегията на Европейската прокуратура, прието през декември 2022 г., което е приложимо за останалите служители; подчертава, че и двете решения са в сила и се прилагат едновременно за съответните адресати;</w:t>
      </w:r>
    </w:p>
    <w:p w:rsidR="0093355F" w:rsidRPr="00D219DA" w:rsidRDefault="0093355F" w:rsidP="0093355F">
      <w:pPr>
        <w:spacing w:after="240"/>
        <w:ind w:left="567" w:hanging="567"/>
        <w:rPr>
          <w:color w:val="000000" w:themeColor="text1"/>
          <w:szCs w:val="24"/>
        </w:rPr>
      </w:pPr>
      <w:r w:rsidRPr="00D219DA">
        <w:rPr>
          <w:color w:val="000000" w:themeColor="text1"/>
        </w:rPr>
        <w:t xml:space="preserve">39. </w:t>
      </w:r>
      <w:r w:rsidRPr="00D219DA">
        <w:rPr>
          <w:color w:val="000000" w:themeColor="text1"/>
        </w:rPr>
        <w:tab/>
        <w:t xml:space="preserve">изразява разбиране, че първото решение е по-ограничително и с него работното време и свързаните с него варианти за равнищата на управление се адаптират към исканията на Европейската прокуратура, за да се гарантира последователност и непрекъснатост на процесите на вземане на решения, докато второто е насочено към оптимизиране на равновесието между личния и професионалния живот; отбелязва, че подобно разграничение е възприето и за режима на дистанционна работа, при който ръководството има право да извършва дистанционна работа за </w:t>
      </w:r>
      <w:r w:rsidRPr="00D219DA">
        <w:rPr>
          <w:color w:val="000000" w:themeColor="text1"/>
        </w:rPr>
        <w:lastRenderedPageBreak/>
        <w:t>максимален срок от 60 дни на календарна година, докато другите служители могат да изберат да работят дистанционно между 20% и 60% от седмичното работно време; отбелязва, че и двете групи служители могат да работят дистанционно от чужбина до максимум 10 работни дни; насърчава Европейската прокуратура да се консултира със своите служители, като започне проучване, за да провери степента на удовлетвореност, и да се консултира с Комитета по персонала относно всички по-нататъшни решения, които трябва да бъдат взети по този въпрос;</w:t>
      </w:r>
    </w:p>
    <w:p w:rsidR="0093355F" w:rsidRPr="00D219DA" w:rsidRDefault="0093355F" w:rsidP="0093355F">
      <w:pPr>
        <w:pStyle w:val="NormalHanging12a"/>
        <w:rPr>
          <w:color w:val="000000" w:themeColor="text1"/>
          <w:szCs w:val="24"/>
        </w:rPr>
      </w:pPr>
      <w:r w:rsidRPr="00D219DA">
        <w:rPr>
          <w:color w:val="000000" w:themeColor="text1"/>
        </w:rPr>
        <w:t xml:space="preserve">40. </w:t>
      </w:r>
      <w:r w:rsidRPr="00D219DA">
        <w:rPr>
          <w:color w:val="000000" w:themeColor="text1"/>
        </w:rPr>
        <w:tab/>
        <w:t>отбелязва, че не са докладвани случаи на професионално изчерпване или тормоз и че броят на продължителните отпуски по болест е много ограничен; приветства приемането на структурирана процедура за докладване на случаи на тормоз от страна на европейския главен прокурор и от европейските прокурори, както и тяхното разкриване пред всички служители;</w:t>
      </w:r>
    </w:p>
    <w:p w:rsidR="0093355F" w:rsidRPr="00D219DA" w:rsidRDefault="0093355F" w:rsidP="0093355F">
      <w:pPr>
        <w:pStyle w:val="NormalHanging12a"/>
        <w:rPr>
          <w:szCs w:val="24"/>
        </w:rPr>
      </w:pPr>
      <w:r w:rsidRPr="00D219DA">
        <w:t>41.</w:t>
      </w:r>
      <w:r w:rsidRPr="00D219DA">
        <w:tab/>
        <w:t>приветства факта, че благосъстоянието на служителите ще бъде основно измерение на по-широкото внедряване на рамката за човешки ресурси, както и че Европейската прокуратура ще отделя все повече ресурси за това; силно насърчава Европейската прокуратура да хармонизира настоящите и бъдещите си политики в областта на приобщаването, тормоза и равенството и периодично да провежда проучвания сред своите служители чрез насърчаване, когато е възможно, на партньорски проверки с участници от другите компоненти на архитектурата за борба с измамите (Евроюст, OLAF и др.) и като цяло да насърчава многообразието, за да направи работното място по-привлекателно за кандидатите със специфични потребности;</w:t>
      </w:r>
    </w:p>
    <w:p w:rsidR="0093355F" w:rsidRPr="00D219DA" w:rsidRDefault="0093355F" w:rsidP="0093355F">
      <w:pPr>
        <w:pStyle w:val="NormalHanging12a"/>
        <w:rPr>
          <w:szCs w:val="24"/>
        </w:rPr>
      </w:pPr>
      <w:r w:rsidRPr="00D219DA">
        <w:t>42.</w:t>
      </w:r>
      <w:r w:rsidRPr="00D219DA">
        <w:tab/>
        <w:t>отбелязва, че през 2022 г. не са били назначени стажанти, а подготвителната работа за определяне на условията за бъдещите компоненти на управлението на човешките ресурси е включвала стажове; подкрепя предложението и изпълнението на пилотна програма за стажове в началото на 2023 г., резултатите от която понастоящем се разглеждат с оглед на изпълнението на стажантска програма, считано от 2024 г.; подчертава, че предизвикателствата, наложени от високите разходи за издръжка на живота в Люксембург, представляват значителна пречка за потенциалните стажанти; заявява, че стажовете следва да бъдат платени, за да бъдат приведени в съответствие с резолюцията на Европейския парламент от 14 юни 2023 г. относно качествените стажове в Съюза (2020/2005(INL)), в която се препоръчва всички стажанти в Европа да получават заплащане;</w:t>
      </w:r>
    </w:p>
    <w:p w:rsidR="0093355F" w:rsidRPr="00D219DA" w:rsidRDefault="0093355F" w:rsidP="0093355F">
      <w:pPr>
        <w:spacing w:after="240"/>
        <w:ind w:left="567" w:hanging="567"/>
        <w:rPr>
          <w:b/>
          <w:i/>
          <w:color w:val="000000"/>
          <w:szCs w:val="24"/>
        </w:rPr>
      </w:pPr>
      <w:r w:rsidRPr="00D219DA">
        <w:rPr>
          <w:b/>
          <w:i/>
          <w:color w:val="000000"/>
        </w:rPr>
        <w:t>Етична рамка и прозрачност</w:t>
      </w:r>
    </w:p>
    <w:p w:rsidR="0093355F" w:rsidRPr="00D219DA" w:rsidRDefault="0093355F" w:rsidP="0093355F">
      <w:pPr>
        <w:spacing w:after="240"/>
        <w:ind w:left="567" w:hanging="567"/>
        <w:rPr>
          <w:color w:val="000000" w:themeColor="text1"/>
          <w:szCs w:val="24"/>
        </w:rPr>
      </w:pPr>
      <w:r w:rsidRPr="00D219DA">
        <w:rPr>
          <w:color w:val="000000" w:themeColor="text1"/>
        </w:rPr>
        <w:t xml:space="preserve">43. </w:t>
      </w:r>
      <w:r w:rsidRPr="00D219DA">
        <w:rPr>
          <w:color w:val="000000" w:themeColor="text1"/>
        </w:rPr>
        <w:tab/>
        <w:t>отбелязва, че Кодексът за поведение на Европейската прокуратура очертава очакваните стандарти за поведение на служителите на всички равнища и че през 2022 г. процесите на етично вземане на решения бяха засилени чрез прилагане на специфични насоки за справяне с етичните дилеми и вземане на решения за правила на етиката относно външните дейности и приемане на подаръци и гостоприемство;</w:t>
      </w:r>
    </w:p>
    <w:p w:rsidR="0093355F" w:rsidRPr="00D219DA" w:rsidRDefault="0093355F" w:rsidP="0093355F">
      <w:pPr>
        <w:pStyle w:val="Default"/>
        <w:spacing w:after="240"/>
        <w:ind w:left="567" w:hanging="567"/>
        <w:rPr>
          <w:rFonts w:ascii="Times New Roman" w:hAnsi="Times New Roman" w:cs="Times New Roman"/>
          <w:bCs/>
          <w:color w:val="000000" w:themeColor="text1"/>
        </w:rPr>
      </w:pPr>
      <w:r w:rsidRPr="00D219DA">
        <w:rPr>
          <w:rFonts w:ascii="Times New Roman" w:hAnsi="Times New Roman"/>
          <w:color w:val="000000" w:themeColor="text1"/>
        </w:rPr>
        <w:t xml:space="preserve">44. </w:t>
      </w:r>
      <w:r w:rsidRPr="00D219DA">
        <w:rPr>
          <w:rFonts w:ascii="Times New Roman" w:hAnsi="Times New Roman"/>
          <w:color w:val="000000" w:themeColor="text1"/>
        </w:rPr>
        <w:tab/>
        <w:t xml:space="preserve">отбелязва, че се организират редовни обучения (2 пъти месечно) за служителите на Европейската прокуратура относно етичната рамка на Европейската прокуратура, Кодекса за добро административно поведение и стратегията за борба срещу измамите и че през 2022 г. е стартиран специален интранет раздел на </w:t>
      </w:r>
      <w:r w:rsidRPr="00D219DA">
        <w:rPr>
          <w:rFonts w:ascii="Times New Roman" w:hAnsi="Times New Roman"/>
          <w:color w:val="000000" w:themeColor="text1"/>
        </w:rPr>
        <w:lastRenderedPageBreak/>
        <w:t>Европейската прокуратура относно етичната рамка; отбелязва във връзка с това, че настоящото участие на служителите в курсове за повишаване на осведомеността изглежда ограничено (общо 69 служители са участвали в курсове за обучение през 2022 г.); изисква от Европейската прокуратура да проучи осъществими възможности за увеличаване на участието; изразява съжаление, че все още не е започнато проучване с цел оценка на осведомеността на служителите по отношение на етиката, и насърчава Европейската прокуратура да засили диалога си със служителите чрез проучвания и насърчаване на присъствието на персонала на периодични общи събирания;</w:t>
      </w:r>
    </w:p>
    <w:p w:rsidR="0093355F" w:rsidRPr="00D219DA" w:rsidRDefault="0093355F" w:rsidP="0093355F">
      <w:pPr>
        <w:pStyle w:val="NormalHanging12a"/>
        <w:rPr>
          <w:szCs w:val="24"/>
        </w:rPr>
      </w:pPr>
      <w:r w:rsidRPr="00D219DA">
        <w:t>45.</w:t>
      </w:r>
      <w:r w:rsidRPr="00D219DA">
        <w:tab/>
        <w:t>отбелязва, че през 2022 г. не са установени действителни случаи на конфликти на интереси; приветства политиката относно конфликтите на интереси, която понастоящем е в процес на разработване; отбелязва, че са установени специални правила относно конфликтите на интереси за членовете на Колегията на Европейската прокуратура, европейските делегирани прокурори и служителите в оперативния отдел; отбелязва, че кодекс на професионалните стандарти за служителите на Европейската прокуратура, отговарящи за изпълнението на бюджета, и хартата на задачите и отговорностите на оправомощените разпоредители с бюджетни кредити предвиждат правилата, приложими в ситуации на възможни конфликти на интереси; отбелязва обаче, че въпреки че Европейската прокуратура спазва общата разпоредба съгласно член 16 от Правилника за длъжностните лица, тя не е приела целенасочена политика относно кадровата въртележка между държавния и частния сектор; насърчава Европейската прокуратура да приеме такава политика;</w:t>
      </w:r>
    </w:p>
    <w:p w:rsidR="0093355F" w:rsidRPr="00D219DA" w:rsidRDefault="0093355F" w:rsidP="0093355F">
      <w:pPr>
        <w:pStyle w:val="Default"/>
        <w:spacing w:after="240"/>
        <w:ind w:left="567" w:hanging="567"/>
        <w:rPr>
          <w:rFonts w:ascii="Times New Roman" w:hAnsi="Times New Roman" w:cs="Times New Roman"/>
          <w:color w:val="000000" w:themeColor="text1"/>
        </w:rPr>
      </w:pPr>
      <w:r w:rsidRPr="00D219DA">
        <w:rPr>
          <w:rFonts w:ascii="Times New Roman" w:hAnsi="Times New Roman"/>
          <w:color w:val="000000" w:themeColor="text1"/>
        </w:rPr>
        <w:t xml:space="preserve">46. </w:t>
      </w:r>
      <w:r w:rsidRPr="00D219DA">
        <w:rPr>
          <w:rFonts w:ascii="Times New Roman" w:hAnsi="Times New Roman"/>
          <w:color w:val="000000" w:themeColor="text1"/>
        </w:rPr>
        <w:tab/>
        <w:t>отбелязва, че през 2022 г. служителят за вътрешен контрол на Европейската прокуратура е извършил преглед на плана за действие на Европейската прокуратура за стратегията за борба срещу измамите за периода 2021—2022 г., след който на 1 март 2023 г. беше приета актуализирана версия (Стратегия за борба срещу измамите за периода 2023—2025 г.), насочена към недостатъците и нововъзникващите рискове, установени през първата година от изпълнението;</w:t>
      </w:r>
    </w:p>
    <w:p w:rsidR="0093355F" w:rsidRPr="00D219DA" w:rsidRDefault="0093355F" w:rsidP="0093355F">
      <w:pPr>
        <w:pStyle w:val="NormalHanging12a"/>
        <w:rPr>
          <w:szCs w:val="24"/>
        </w:rPr>
      </w:pPr>
      <w:r w:rsidRPr="00D219DA">
        <w:t>47.</w:t>
      </w:r>
      <w:r w:rsidRPr="00D219DA">
        <w:tab/>
        <w:t>подчертава, че специалната процедура за подаване на сигнали за нередности и за противодействие на ответни действия все още не е формализирана, но е в процес на разработване през 2023 г. и че понастоящем Финансовите правила на Европейската прокуратура предоставят указания относно мерките, които трябва да бъдат следвани от длъжностно лице или друг служител, включително национални експерти, командировани в Европейската прокуратура; подчертава, че политиката за подаване на сигнали за нередности и за противодействие на ответни действия с цел отмъщение следва да бъде формализирана възможно най-скоро, за да се гарантират безопасни и защитени работни места; настоятелно призовава да бъде планиран и структуриран внимателно механизъм, за да се отделят лицата, подаващи истински сигнали за нередности, от тези, които отправят фалшиви обвинения, заявява, че следва да се въведат средства за защита на лицата, които са лъжливо обвинени или оклеветени, и насърчава разработването на стандарти в това отношение по подобие на другите институции на Съюза;</w:t>
      </w:r>
    </w:p>
    <w:p w:rsidR="0093355F" w:rsidRPr="00D219DA" w:rsidRDefault="0093355F" w:rsidP="0093355F">
      <w:pPr>
        <w:pStyle w:val="NormalHanging12a"/>
        <w:rPr>
          <w:szCs w:val="24"/>
        </w:rPr>
      </w:pPr>
      <w:r w:rsidRPr="00D219DA">
        <w:rPr>
          <w:b/>
          <w:i/>
        </w:rPr>
        <w:t>Цифровизация, киберсигурност и защита на данните</w:t>
      </w:r>
    </w:p>
    <w:p w:rsidR="0093355F" w:rsidRPr="00D219DA" w:rsidRDefault="0093355F" w:rsidP="0093355F">
      <w:pPr>
        <w:pStyle w:val="Default"/>
        <w:spacing w:after="240"/>
        <w:ind w:left="567" w:hanging="567"/>
        <w:rPr>
          <w:rFonts w:ascii="Times New Roman" w:hAnsi="Times New Roman" w:cs="Times New Roman"/>
          <w:color w:val="000000" w:themeColor="text1"/>
        </w:rPr>
      </w:pPr>
      <w:r w:rsidRPr="00D219DA">
        <w:rPr>
          <w:rFonts w:ascii="Times New Roman" w:hAnsi="Times New Roman"/>
          <w:color w:val="000000" w:themeColor="text1"/>
        </w:rPr>
        <w:lastRenderedPageBreak/>
        <w:t xml:space="preserve">48. </w:t>
      </w:r>
      <w:r w:rsidRPr="00D219DA">
        <w:rPr>
          <w:rFonts w:ascii="Times New Roman" w:hAnsi="Times New Roman"/>
          <w:color w:val="000000" w:themeColor="text1"/>
        </w:rPr>
        <w:tab/>
        <w:t>изразява разбиране, че Комисията, чрез своята Генерална дирекция „Информатика“ (понастоящем преименувана на „ГД „Цифрови услуги“), няма да може да предоставя на Европейската прокуратура услуги за цифрова работна среда след средата на 2024 г. поради промяна в информационните системи на Комисията и нейната политика в областта на информационните технологии, ограничаваща предоставянето на услуги за цифрова работна среда само до службите на Комисията; отбелязва, че първоначалният подход на Европейската прокуратура е да се даде приоритет на ресурсите за определянето и работата на основни цифрови услуги, свързани с нейните оперативни дейности, като например нейната деловодна система, като същевременно признава, че цифровите услуги на Европейската прокуратура, които поне отчасти се различават от тези на Комисията, биха се нуждаели в средносрочен план от индивидуален подход; отбелязва, че планираното прекъсване на услугата от страна на Комисията би могло да създаде допълнителен проблем за организацията на Европейската прокуратура в решаващия етап от консолидирането на нейното създаване; призовава Комисията да улесни прехода на Европейската прокуратура към задоволително равнище на цифрова автономност в нейните основни услуги;</w:t>
      </w:r>
    </w:p>
    <w:p w:rsidR="0093355F" w:rsidRPr="00D219DA" w:rsidRDefault="0093355F" w:rsidP="0093355F">
      <w:pPr>
        <w:pStyle w:val="NormalHanging12a"/>
        <w:rPr>
          <w:szCs w:val="24"/>
        </w:rPr>
      </w:pPr>
      <w:r w:rsidRPr="00D219DA">
        <w:t>49.</w:t>
      </w:r>
      <w:r w:rsidRPr="00D219DA">
        <w:tab/>
        <w:t>настоятелно призовава предоставяните от Комисията ИТ услуги да не бъдат прекъсвани, докато Европейската прокуратура не разполага с надеждна информационна система, за да се избегне загуба на данни, по-специално относно досиетата по делата; подчертава, че е необходима ясна комуникация и оперативна координация по този въпрос на най-високо равнище между Комисията и Европейската прокуратура; подчертава, че плавният и непрекъснат преход между системите е от основно значение за непрекъснатостта на работния процес, надеждността на данните и функциониращите оперативни структури;</w:t>
      </w:r>
    </w:p>
    <w:p w:rsidR="0093355F" w:rsidRPr="00D219DA" w:rsidRDefault="0093355F" w:rsidP="0093355F">
      <w:pPr>
        <w:pStyle w:val="NormalHanging12a"/>
        <w:rPr>
          <w:szCs w:val="24"/>
        </w:rPr>
      </w:pPr>
      <w:r w:rsidRPr="00D219DA">
        <w:t>50.</w:t>
      </w:r>
      <w:r w:rsidRPr="00D219DA">
        <w:tab/>
        <w:t xml:space="preserve">отбелязва, че Европейската прокуратура среща пречки, свързани с обработката на </w:t>
      </w:r>
      <w:proofErr w:type="spellStart"/>
      <w:r w:rsidRPr="00D219DA">
        <w:t>нецифровизирани</w:t>
      </w:r>
      <w:proofErr w:type="spellEnd"/>
      <w:r w:rsidRPr="00D219DA">
        <w:t xml:space="preserve"> документи, събрани от национални органи и частни лица в контекста на разследванията; призовава държавите членки да цифровизират своите документи и процедури, за да може Европейската прокуратура да бъде по-ефективна от гледна точка на разходите;</w:t>
      </w:r>
    </w:p>
    <w:p w:rsidR="0093355F" w:rsidRPr="00D219DA" w:rsidRDefault="0093355F" w:rsidP="0093355F">
      <w:pPr>
        <w:pStyle w:val="NormalHanging12a"/>
        <w:rPr>
          <w:color w:val="000000" w:themeColor="text1"/>
          <w:szCs w:val="24"/>
        </w:rPr>
      </w:pPr>
      <w:r w:rsidRPr="00D219DA">
        <w:rPr>
          <w:color w:val="000000" w:themeColor="text1"/>
        </w:rPr>
        <w:t xml:space="preserve">51. </w:t>
      </w:r>
      <w:r w:rsidRPr="00D219DA">
        <w:rPr>
          <w:color w:val="000000" w:themeColor="text1"/>
        </w:rPr>
        <w:tab/>
        <w:t xml:space="preserve">изразява разбиране, че настоящото предизвикателство в цифровизацията е подобряването на автоматизираните търсения и задачи, за да се повишат ефективността и използваемостта на деловодната система на Европейската прокуратура, което е от съществено значение, за да се даде на Европейската прокуратура „птичи поглед“ върху престъпните мрежи и да се установят връзките между делата; отбелязва, че намаляването на възлагането на дейности на външни изпълнители и укрепването на сигурността са от съществено значение за ефективния отговор на увеличените физически и </w:t>
      </w:r>
      <w:proofErr w:type="spellStart"/>
      <w:r w:rsidRPr="00D219DA">
        <w:rPr>
          <w:color w:val="000000" w:themeColor="text1"/>
        </w:rPr>
        <w:t>киберзаплахи</w:t>
      </w:r>
      <w:proofErr w:type="spellEnd"/>
      <w:r w:rsidRPr="00D219DA">
        <w:rPr>
          <w:color w:val="000000" w:themeColor="text1"/>
        </w:rPr>
        <w:t xml:space="preserve"> за централните и децентрализираните служби на Европейската прокуратура;</w:t>
      </w:r>
    </w:p>
    <w:p w:rsidR="0093355F" w:rsidRPr="00D219DA" w:rsidRDefault="0093355F" w:rsidP="0093355F">
      <w:pPr>
        <w:pStyle w:val="NormalHanging12a"/>
        <w:rPr>
          <w:color w:val="000000" w:themeColor="text1"/>
          <w:szCs w:val="24"/>
        </w:rPr>
      </w:pPr>
      <w:r w:rsidRPr="00D219DA">
        <w:rPr>
          <w:color w:val="000000" w:themeColor="text1"/>
        </w:rPr>
        <w:t xml:space="preserve">52. </w:t>
      </w:r>
      <w:r w:rsidRPr="00D219DA">
        <w:rPr>
          <w:color w:val="000000" w:themeColor="text1"/>
        </w:rPr>
        <w:tab/>
        <w:t>отбелязва увеличените бюджетни средства, инвестирани в проекти в областта на информационните технологии през 2022 г. (11,3 милиона евро в сравнение с 6,1 милиона евро през 2021 г. в периода на финансова автономност); оценява по-специално вниманието, отделено на създаването и прилагането на деловодната система на Европейската прокуратура (CMS), която се очаква да осигури капацитет за оперативна съвместимост с 22 държави членки;</w:t>
      </w:r>
      <w:r w:rsidRPr="00D219DA">
        <w:rPr>
          <w:color w:val="0000FF"/>
        </w:rPr>
        <w:t xml:space="preserve"> </w:t>
      </w:r>
      <w:r w:rsidRPr="00D219DA">
        <w:rPr>
          <w:color w:val="000000" w:themeColor="text1"/>
        </w:rPr>
        <w:t xml:space="preserve">изразява разбиране, че ефективността на съществуващите инструменти по отношение на оперативната съвместимост не е оптимална и че само приемането на минимални общи </w:t>
      </w:r>
      <w:r w:rsidRPr="00D219DA">
        <w:rPr>
          <w:color w:val="000000" w:themeColor="text1"/>
        </w:rPr>
        <w:lastRenderedPageBreak/>
        <w:t>споразумения за обмен на данни и инструменти за съдебна оперативна съвместимост ще позволи ефективен обмен на информация и сътрудничество чрез различните платформи, използвани от различните държави членки; насърчава Европейската прокуратура да продължи координацията с държавите членки и сътрудничеството със съответните институции, органи, служби и агенции с цел разработване на общ модел за обмен в сравнение с настоящата ситуация, при която отбелязването на наличието/липсата на съвпадение се основава на двустранни модели;</w:t>
      </w:r>
    </w:p>
    <w:p w:rsidR="0093355F" w:rsidRPr="00D219DA" w:rsidRDefault="0093355F" w:rsidP="0093355F">
      <w:pPr>
        <w:pStyle w:val="NormalHanging12a"/>
        <w:rPr>
          <w:szCs w:val="24"/>
        </w:rPr>
      </w:pPr>
      <w:r w:rsidRPr="00D219DA">
        <w:t>53.</w:t>
      </w:r>
      <w:r w:rsidRPr="00D219DA">
        <w:tab/>
        <w:t>подчертава нарасналата заплаха за структурната цялост на информационните технологии на Европейската прокуратура, произтичаща от агресивността на организираната престъпност, с която Европейската прокуратура се бори, и води до необходимостта от засилване на физическата и цифровата сигурност; одобрява намерението на Европейската прокуратура да развива собствения си капацитет за киберсигурност с цел допълване и сътрудничество със Службата за киберсигурност за институциите, органите, службите и агенциите на Съюза (CERT-EU) и с ГД „Цифрови услуги“; подкрепя Европейската прокуратура в искането ѝ за отпускане на допълнителни ресурси за защита на нейната киберсигурност; насърчава служителите на Европейската прокуратура активно да изразяват необходимостта от допълнителна инфраструктура за киберсигурност или от обучение за киберсигурност както в рамките на самата организация, така и пред Парламента и Комисията чрез подходящите канали;</w:t>
      </w:r>
    </w:p>
    <w:p w:rsidR="0093355F" w:rsidRPr="00D219DA" w:rsidRDefault="0093355F" w:rsidP="0093355F">
      <w:pPr>
        <w:pStyle w:val="NormalHanging12a"/>
        <w:rPr>
          <w:bCs/>
          <w:color w:val="000000" w:themeColor="text1"/>
          <w:szCs w:val="24"/>
        </w:rPr>
      </w:pPr>
      <w:r w:rsidRPr="00D219DA">
        <w:rPr>
          <w:color w:val="000000" w:themeColor="text1"/>
        </w:rPr>
        <w:t xml:space="preserve">54. </w:t>
      </w:r>
      <w:r w:rsidRPr="00D219DA">
        <w:rPr>
          <w:color w:val="000000" w:themeColor="text1"/>
        </w:rPr>
        <w:tab/>
        <w:t>оценява разработването от страна на Европейската прокуратура на нейната собствена екосистема за управление на делата, всички компоненти на която се намират в центъра за данни на Европейската прокуратура и се управляват от служителите на Европейската прокуратура, като се гарантират контролът, запазването и собствеността на Европейската прокуратура върху системите и обработваните данни;</w:t>
      </w:r>
    </w:p>
    <w:p w:rsidR="0093355F" w:rsidRPr="00D219DA" w:rsidRDefault="0093355F" w:rsidP="0093355F">
      <w:pPr>
        <w:pStyle w:val="NormalHanging12a"/>
        <w:rPr>
          <w:szCs w:val="24"/>
        </w:rPr>
      </w:pPr>
      <w:r w:rsidRPr="00D219DA">
        <w:t>55.</w:t>
      </w:r>
      <w:r w:rsidRPr="00D219DA">
        <w:tab/>
        <w:t xml:space="preserve">признава потребността на Европейската прокуратура от модерно оборудване, киберсигурност и информационни системи за справяне с все по-сложните престъпления, които често включват цифрови елементи; отбелязва презентацията на Европейската прокуратура по време на мисията за бюджетен контрол в Люксембург през октомври 2023 г. относно постоянното нарастване на престъпленията, включващи цифрови елементи, като измами с </w:t>
      </w:r>
      <w:proofErr w:type="spellStart"/>
      <w:r w:rsidRPr="00D219DA">
        <w:t>кибервалута</w:t>
      </w:r>
      <w:proofErr w:type="spellEnd"/>
      <w:r w:rsidRPr="00D219DA">
        <w:t>;</w:t>
      </w:r>
    </w:p>
    <w:p w:rsidR="0093355F" w:rsidRPr="00D219DA" w:rsidRDefault="0093355F" w:rsidP="0093355F">
      <w:pPr>
        <w:pStyle w:val="NormalHanging12a"/>
        <w:rPr>
          <w:b/>
          <w:i/>
          <w:szCs w:val="24"/>
        </w:rPr>
      </w:pPr>
      <w:r w:rsidRPr="00D219DA">
        <w:t>56.</w:t>
      </w:r>
      <w:r w:rsidRPr="00D219DA">
        <w:tab/>
        <w:t>призовава ГД „Цифрови услуги“ на Комисията и Европейската прокуратура да въведат лесно разпознаваеми адреси на електронна поща за Европейската прокуратура, които не са подвеждащи, тъй като понастоящем използваното „ext.ec“ в края на адресите може да бъде объркващо за служителите в други институции и за външната комуникация, защото този домейн обикновено се дава само на външни консултанти и подкопава легитимността на служителите на Европейската прокуратура, които използват адреса на електронната поща;</w:t>
      </w:r>
    </w:p>
    <w:p w:rsidR="0093355F" w:rsidRPr="00D219DA" w:rsidRDefault="0093355F" w:rsidP="0093355F">
      <w:pPr>
        <w:pStyle w:val="NormalHanging12a"/>
        <w:rPr>
          <w:szCs w:val="24"/>
        </w:rPr>
      </w:pPr>
      <w:r w:rsidRPr="00D219DA">
        <w:t xml:space="preserve">57. </w:t>
      </w:r>
      <w:r w:rsidRPr="00D219DA">
        <w:tab/>
        <w:t>насърчава службите на Европейската прокуратура и на европейските делегирани прокурори да продължат работата си по координиран начин и да обезпечават ефективния надзор върху дейностите по обработване на данните, които събират, като същевременно осигуряват зачитането на правата на физическите лица по отношение на защитата на данните;</w:t>
      </w:r>
    </w:p>
    <w:p w:rsidR="0093355F" w:rsidRPr="00D219DA" w:rsidRDefault="0093355F" w:rsidP="0093355F">
      <w:pPr>
        <w:spacing w:after="240"/>
        <w:ind w:left="567" w:hanging="567"/>
        <w:rPr>
          <w:b/>
          <w:i/>
          <w:color w:val="000000" w:themeColor="text1"/>
          <w:szCs w:val="24"/>
        </w:rPr>
      </w:pPr>
      <w:r w:rsidRPr="00D219DA">
        <w:rPr>
          <w:b/>
          <w:i/>
          <w:color w:val="000000" w:themeColor="text1"/>
        </w:rPr>
        <w:lastRenderedPageBreak/>
        <w:t>Сгради и сигурност</w:t>
      </w:r>
    </w:p>
    <w:p w:rsidR="0093355F" w:rsidRPr="00D219DA" w:rsidRDefault="0093355F" w:rsidP="0093355F">
      <w:pPr>
        <w:pStyle w:val="NormalHanging12a"/>
        <w:rPr>
          <w:color w:val="000000" w:themeColor="text1"/>
          <w:szCs w:val="24"/>
        </w:rPr>
      </w:pPr>
      <w:r w:rsidRPr="00D219DA">
        <w:rPr>
          <w:color w:val="000000" w:themeColor="text1"/>
        </w:rPr>
        <w:t xml:space="preserve">58. </w:t>
      </w:r>
      <w:r w:rsidRPr="00D219DA">
        <w:rPr>
          <w:color w:val="000000" w:themeColor="text1"/>
        </w:rPr>
        <w:tab/>
        <w:t>приветства подписването на споразумението за наем с люксембургските органи за използването на сградата, в която понастоящем се помещава седалището на Европейската прокуратура (сградата TOB), и формализирането на предоставянето на настоящите офиси на Европейската прокуратура без наем до 31 декември 2029 г.; изразява разбиране, че това споразумение може да бъде удължавано мълчаливо всяка година, освен ако бъде прекратено от която и да е от страните с дванадесетмесечно предизвестие; отбелязва, че Европейската прокуратура заплаща такса за обслужване в размер на 716 724 EUR годишно и еднократни разходи за допълнителна сигурност и други допълнителни съоръжения, поискани от Европейската прокуратура; изтъква, че обновяването започна през 2022 г. за два допълнителни етажа на сградата ТОВ, които да се използват от Европейската прокуратура и да бъдат адаптирани към естеството на работата на Европейската прокуратура, което не е напълно съвместимо с откритите пространства и горещите бюра;</w:t>
      </w:r>
    </w:p>
    <w:p w:rsidR="0093355F" w:rsidRPr="00D219DA" w:rsidRDefault="0093355F" w:rsidP="0093355F">
      <w:pPr>
        <w:pStyle w:val="NormalHanging12a"/>
        <w:rPr>
          <w:szCs w:val="24"/>
        </w:rPr>
      </w:pPr>
      <w:r w:rsidRPr="00D219DA">
        <w:t>59.</w:t>
      </w:r>
      <w:r w:rsidRPr="00D219DA">
        <w:tab/>
        <w:t>подчертава, че по отношение на физическата сигурност Европейската прокуратура е въвела мерки за сигурност, оборудване и процеси за справяне със заплахите за нейните помещения, активи и служители; изтъква, че редица политики, процедури и насоки също подкрепят прилагането на мерки за физическа сигурност; във връзка с това оценява извършването през 2022 г. на оценка на риска за физическата сигурност, за да се установят пропуските и те да бъдат отстранени; знае, че през юни 2023 г. Европейската прокуратура е поискала 21 допълнителни щатни длъжности, за да подобри капацитета си в областта на сигурността; отново заявява, че тази необходимост от сигурност беше допълнително подчертана от служителите на Европейската прокуратура в мисията за бюджетен контрол в Люксембург през октомври 2023 г. и че това искане беше удовлетворено през ноември 2023 г. с коригиращ бюджет, обхващащ 8 длъжности, а останалите 13 длъжности ще бъдат включени в бюджета за 2024 г.; подчертава необходимостта подходяща част от бюджета на Европейската прокуратура да бъде разпределена за мерки за сигурност и за персонал по сигурността, за да се защитят по-добре служителите като цяло, по-специално като се има предвид поверителният характер на разследванията на значими случаи на измами на високо равнище; настоятелно призовава прокурорите и служителите да бъдат достатъчно добре защитени, за да могат да работят пълноценно, без да са заплашвани от физическо или психологическо насилие и без външно влияние или натиск;</w:t>
      </w:r>
    </w:p>
    <w:p w:rsidR="0093355F" w:rsidRPr="00D219DA" w:rsidRDefault="0093355F" w:rsidP="0093355F">
      <w:pPr>
        <w:pStyle w:val="NormalHanging12a"/>
        <w:rPr>
          <w:b/>
          <w:i/>
          <w:color w:val="000000"/>
          <w:szCs w:val="24"/>
        </w:rPr>
      </w:pPr>
      <w:r w:rsidRPr="00D219DA">
        <w:rPr>
          <w:b/>
          <w:i/>
          <w:color w:val="000000"/>
        </w:rPr>
        <w:t>Околна среда и устойчивост</w:t>
      </w:r>
    </w:p>
    <w:p w:rsidR="0093355F" w:rsidRPr="00D219DA" w:rsidRDefault="0093355F" w:rsidP="0093355F">
      <w:pPr>
        <w:pStyle w:val="NormalHanging12a"/>
        <w:ind w:left="709" w:hanging="709"/>
        <w:rPr>
          <w:color w:val="000000" w:themeColor="text1"/>
          <w:szCs w:val="24"/>
        </w:rPr>
      </w:pPr>
      <w:r w:rsidRPr="00D219DA">
        <w:rPr>
          <w:color w:val="000000" w:themeColor="text1"/>
        </w:rPr>
        <w:t xml:space="preserve">60. </w:t>
      </w:r>
      <w:r w:rsidRPr="00D219DA">
        <w:rPr>
          <w:color w:val="000000" w:themeColor="text1"/>
        </w:rPr>
        <w:tab/>
        <w:t>е наясно, че тъй като седалището на Европейската прокуратура се намира в Люксембург, а съответните услуги се предоставят от националните органи, които отговарят и за инвестициите, свързани с устойчивостта и енергийната ефективност, Европейската прокуратура не е предприела никакви конкретни действия в областта на енергията от възобновяеми източници, като например инсталирането на слънчеви панели, и в областта на правилата на Схема на Общността за управление по околна среда и одит (EMAS) и компенсирането на емисиите на CO</w:t>
      </w:r>
      <w:r w:rsidRPr="00D219DA">
        <w:rPr>
          <w:color w:val="000000" w:themeColor="text1"/>
          <w:vertAlign w:val="subscript"/>
        </w:rPr>
        <w:t>2</w:t>
      </w:r>
      <w:r w:rsidRPr="00D219DA">
        <w:rPr>
          <w:color w:val="000000" w:themeColor="text1"/>
        </w:rPr>
        <w:t>;</w:t>
      </w:r>
    </w:p>
    <w:p w:rsidR="0093355F" w:rsidRPr="00D219DA" w:rsidRDefault="0093355F" w:rsidP="0093355F">
      <w:pPr>
        <w:pStyle w:val="NormalHanging12a"/>
        <w:ind w:left="709" w:hanging="709"/>
        <w:rPr>
          <w:color w:val="000000" w:themeColor="text1"/>
          <w:szCs w:val="24"/>
        </w:rPr>
      </w:pPr>
      <w:r w:rsidRPr="00D219DA">
        <w:rPr>
          <w:color w:val="000000" w:themeColor="text1"/>
        </w:rPr>
        <w:t xml:space="preserve">61. </w:t>
      </w:r>
      <w:r w:rsidRPr="00D219DA">
        <w:rPr>
          <w:color w:val="000000" w:themeColor="text1"/>
        </w:rPr>
        <w:tab/>
        <w:t xml:space="preserve">изразява разбиране, че сградата TOB се намира в близост до обществен </w:t>
      </w:r>
      <w:r w:rsidRPr="00D219DA">
        <w:rPr>
          <w:color w:val="000000" w:themeColor="text1"/>
        </w:rPr>
        <w:lastRenderedPageBreak/>
        <w:t>транспорт, и приканва Европейската прокуратура да надгражда върху настоящото положение, за да приеме стратегия за устойчива мобилност на своите служители;</w:t>
      </w:r>
    </w:p>
    <w:p w:rsidR="0093355F" w:rsidRPr="00D219DA" w:rsidRDefault="0093355F" w:rsidP="0093355F">
      <w:pPr>
        <w:spacing w:after="240"/>
        <w:ind w:left="567" w:hanging="567"/>
        <w:rPr>
          <w:b/>
          <w:i/>
          <w:color w:val="000000"/>
          <w:szCs w:val="24"/>
        </w:rPr>
      </w:pPr>
      <w:r w:rsidRPr="00D219DA">
        <w:rPr>
          <w:b/>
          <w:i/>
          <w:color w:val="000000"/>
        </w:rPr>
        <w:t>Междуинституционално сътрудничество</w:t>
      </w:r>
    </w:p>
    <w:p w:rsidR="0093355F" w:rsidRPr="00D219DA" w:rsidRDefault="0093355F" w:rsidP="0093355F">
      <w:pPr>
        <w:pStyle w:val="NormalHanging12a"/>
        <w:ind w:left="709" w:hanging="709"/>
        <w:rPr>
          <w:color w:val="000000" w:themeColor="text1"/>
          <w:szCs w:val="24"/>
        </w:rPr>
      </w:pPr>
      <w:r w:rsidRPr="00D219DA">
        <w:rPr>
          <w:color w:val="000000" w:themeColor="text1"/>
        </w:rPr>
        <w:t xml:space="preserve">62. </w:t>
      </w:r>
      <w:r w:rsidRPr="00D219DA">
        <w:rPr>
          <w:color w:val="000000" w:themeColor="text1"/>
        </w:rPr>
        <w:tab/>
        <w:t>приветства усилията, положени от Европейската прокуратура за участие в интензивно сътрудничество и координация с партньорите и заинтересованите страни, и счита, че ролята на Европейската прокуратура като основен оперативен компонент на архитектурата за борба срещу измамите предполага непрекъснати усилия за комуникация и координация с няколкото партньори, чиито действия са замислени така, че да се допълват взаимно;</w:t>
      </w:r>
    </w:p>
    <w:p w:rsidR="0093355F" w:rsidRPr="00D219DA" w:rsidRDefault="0093355F" w:rsidP="0093355F">
      <w:pPr>
        <w:pStyle w:val="NormalHanging12a"/>
        <w:ind w:left="709" w:hanging="709"/>
        <w:rPr>
          <w:b/>
          <w:i/>
          <w:szCs w:val="24"/>
        </w:rPr>
      </w:pPr>
      <w:r w:rsidRPr="00D219DA">
        <w:t>63.</w:t>
      </w:r>
      <w:r w:rsidRPr="00D219DA">
        <w:tab/>
        <w:t>отбелязва, че Европейската прокуратура посочи, че от 3318-те сигнала за престъпления, получени през 2022 г., 103 са от институции и органи на Съюза (55 от Европейската служба за борба с измамите, 16 от Европейската комисия, 9 от Евроюст, 8 от Европейската сметна палата, 3 от Европейската централна банка и 1 от Европейския парламент); оценява ефективното междуинституционално сътрудничество между Европейската прокуратура и съответните институции в това отношение;</w:t>
      </w:r>
    </w:p>
    <w:p w:rsidR="0093355F" w:rsidRPr="00D219DA" w:rsidRDefault="0093355F" w:rsidP="0093355F">
      <w:pPr>
        <w:pStyle w:val="NormalHanging12a"/>
        <w:ind w:left="709" w:hanging="709"/>
        <w:rPr>
          <w:szCs w:val="24"/>
        </w:rPr>
      </w:pPr>
      <w:r w:rsidRPr="00D219DA">
        <w:t>64.</w:t>
      </w:r>
      <w:r w:rsidRPr="00D219DA">
        <w:tab/>
        <w:t>изтъква значението на оперативната координация и сътрудничеството между Европейската прокуратура и OLAF, като се обръща специално внимание на започването на допълнителни разследвания от OLAF и административни разследвания в подкрепа на Европейската прокуратура; призовава двете служби да продължат своя диалог, за да засилят сътрудничеството си с оглед на ползите, които биха произтекли от него по отношение на правилното използване на наличните ресурси; призовава освен това Европейската прокуратура и OLAF да избягват припокриване и дублиране на дейности, и насърчава искрено, взаимно и допълващо се сътрудничество при упражняването на техните мандати с цел максимално увеличаване на ефективността на техните действия;</w:t>
      </w:r>
    </w:p>
    <w:p w:rsidR="0093355F" w:rsidRPr="00D219DA" w:rsidRDefault="0093355F" w:rsidP="0093355F">
      <w:pPr>
        <w:pStyle w:val="NormalHanging12a"/>
        <w:ind w:left="709" w:hanging="709"/>
        <w:rPr>
          <w:szCs w:val="24"/>
        </w:rPr>
      </w:pPr>
      <w:r w:rsidRPr="00D219DA">
        <w:rPr>
          <w:color w:val="000000" w:themeColor="text1"/>
        </w:rPr>
        <w:t xml:space="preserve">65. </w:t>
      </w:r>
      <w:r w:rsidRPr="00D219DA">
        <w:rPr>
          <w:color w:val="000000" w:themeColor="text1"/>
        </w:rPr>
        <w:tab/>
      </w:r>
      <w:r w:rsidRPr="00D219DA">
        <w:t xml:space="preserve">подчертава, че уведомленията от Европейската прокуратура до Комисията, предвидени в член 103, параграф 2 от Регламент (ЕС) 2017/1939, представляват иновативен инструмент за защита на бюджета на Съюза; </w:t>
      </w:r>
      <w:r w:rsidRPr="00D219DA">
        <w:rPr>
          <w:color w:val="000000" w:themeColor="text1"/>
        </w:rPr>
        <w:t xml:space="preserve">отбелязва, че в това конкретно отношение все още не е предоставена обратна информация от която и да е от страните, което не позволява на законодателите да придобият цялостна представа за основните въпроси; </w:t>
      </w:r>
      <w:r w:rsidRPr="00D219DA">
        <w:t>приветства усилията на Европейската прокуратура и на Комисията за подобряване на вътрешния механизъм, гарантиращ предаването на такива уведомления, и подчертава, че наскоро създадената заедно с Комисията работна група следва да гарантира, че уведомленията от Европейската прокуратура за целите на административното възстановяване, както е предвидено в член 103, параграф 2, буква в), надлежно и ефективно дават възможност на Комисията да увеличи максимално събирането на вземания в приход на бюджета на Съюза, като същевременно се спазват поверителността и правилното провеждане на разследващите действия; настоява, че годишните срещи относно изпълнението на работното споразумение между Комисията и Европейската прокуратура следва да се съсредоточат върху координацията на приемането на защитни и корективни мерки за защита на бюджета на Съюза;</w:t>
      </w:r>
      <w:r w:rsidRPr="00D219DA">
        <w:rPr>
          <w:color w:val="000000" w:themeColor="text1"/>
        </w:rPr>
        <w:t xml:space="preserve"> призовава Европейската прокуратура да съветва делегираните прокурори в държавите членки във връзка с усилията им в </w:t>
      </w:r>
      <w:r w:rsidRPr="00D219DA">
        <w:rPr>
          <w:color w:val="000000" w:themeColor="text1"/>
        </w:rPr>
        <w:lastRenderedPageBreak/>
        <w:t>подкрепа на действията на Комисията за защита на бюджета на Съюза; отново призовава Европейската прокуратура и Комисията да докладват по този конкретен въпрос;</w:t>
      </w:r>
    </w:p>
    <w:p w:rsidR="0093355F" w:rsidRPr="00D219DA" w:rsidRDefault="0093355F" w:rsidP="0093355F">
      <w:pPr>
        <w:pStyle w:val="NormalHanging12a"/>
        <w:ind w:left="709" w:hanging="709"/>
        <w:rPr>
          <w:color w:val="000000" w:themeColor="text1"/>
          <w:szCs w:val="24"/>
        </w:rPr>
      </w:pPr>
      <w:r w:rsidRPr="00D219DA">
        <w:rPr>
          <w:color w:val="000000" w:themeColor="text1"/>
        </w:rPr>
        <w:t xml:space="preserve">66. </w:t>
      </w:r>
      <w:r w:rsidRPr="00D219DA">
        <w:rPr>
          <w:color w:val="000000" w:themeColor="text1"/>
        </w:rPr>
        <w:tab/>
        <w:t>отбелязва, че са подписани работни договорености и работни споразумения между Европейската прокуратура и нейните основни партньори: Европол, Евроюст, OLAF, Комисията, Сметната палата и групата на ЕИБ в областта на предотвратяването, разкриването, анализа и намесата; изразява разбиране, че Европейската прокуратура изгражда вътрешен капацитет в подкрепа на своята работа с анализ на всеки отделен случай; насърчава Европейската прокуратура и нейните партньори да засилят сътрудничеството си, за да се надгражда върху набора от вече изпитани компетентности и опит, да се избегне дублирането и загубата на фокус върху същността на мандата на всеки компонент на архитектурата за борба срещу измамите и да се оптимизира използването на наличните ресурси;</w:t>
      </w:r>
    </w:p>
    <w:p w:rsidR="0093355F" w:rsidRPr="00D219DA" w:rsidRDefault="0093355F" w:rsidP="0093355F">
      <w:pPr>
        <w:pStyle w:val="NormalHanging12a"/>
        <w:ind w:left="709" w:hanging="709"/>
        <w:rPr>
          <w:b/>
          <w:i/>
          <w:szCs w:val="24"/>
        </w:rPr>
      </w:pPr>
      <w:r w:rsidRPr="00D219DA">
        <w:t>67.</w:t>
      </w:r>
      <w:r w:rsidRPr="00D219DA">
        <w:tab/>
        <w:t>предвид големия брой активни случаи, свързани със средства от МВУ, насърчава Европейската прокуратура да уведоми Комисията за увеличаването на броя на активните случаи, свързани с МВУ; насърчава Европейската прокуратура също така да уведомява Комисията, и по-специално работната група по възстановяването и устойчивостта, за възможни пропуски в надзора или контрола или за модели на измами в активните случаи, свързани с МВУ, така че Комисията да може да актуализира инструментите и механизмите за наблюдение на ефективността, както и тези за съобщаване на пропуските с държавите членки, с цел избягване на бъдещи измами; припомня на всички участници, че средствата от МВУ са европейски, а не национални средства, и са под юрисдикцията на Европейската прокуратура;</w:t>
      </w:r>
    </w:p>
    <w:p w:rsidR="0093355F" w:rsidRPr="00D219DA" w:rsidRDefault="0093355F" w:rsidP="0093355F">
      <w:pPr>
        <w:pStyle w:val="NormalHanging12a"/>
        <w:ind w:left="709" w:hanging="709"/>
        <w:rPr>
          <w:bCs/>
          <w:color w:val="000000" w:themeColor="text1"/>
          <w:szCs w:val="24"/>
        </w:rPr>
      </w:pPr>
      <w:r w:rsidRPr="00D219DA">
        <w:rPr>
          <w:color w:val="000000" w:themeColor="text1"/>
        </w:rPr>
        <w:t>68.</w:t>
      </w:r>
      <w:r w:rsidRPr="00D219DA">
        <w:rPr>
          <w:color w:val="000000" w:themeColor="text1"/>
        </w:rPr>
        <w:tab/>
        <w:t>изразява разбиране, че преговорите с Парламента за актуализиране на работните договорености все още продължават; счита, че това положение би могло да предостави възможност за проучване на нови възможности за комуникация и сътрудничество между Европейската прокуратура и компетентните комисии на Парламента;</w:t>
      </w:r>
    </w:p>
    <w:p w:rsidR="0093355F" w:rsidRPr="00D219DA" w:rsidRDefault="0093355F" w:rsidP="0093355F">
      <w:pPr>
        <w:pStyle w:val="NormalHanging12a"/>
        <w:ind w:left="709" w:hanging="709"/>
        <w:rPr>
          <w:szCs w:val="24"/>
        </w:rPr>
      </w:pPr>
      <w:r w:rsidRPr="00D219DA">
        <w:t>69.</w:t>
      </w:r>
      <w:r w:rsidRPr="00D219DA">
        <w:tab/>
        <w:t>изразява съжаление относно проявената от страна на Европейската прокуратура неудовлетворителна преценка при разглеждането на исканията за снемане на имунитет, отправени до Парламента през 2022 г.;</w:t>
      </w:r>
    </w:p>
    <w:p w:rsidR="0093355F" w:rsidRPr="00D219DA" w:rsidRDefault="0093355F" w:rsidP="0093355F">
      <w:pPr>
        <w:pStyle w:val="NormalHanging12a"/>
        <w:ind w:left="709" w:hanging="709"/>
        <w:rPr>
          <w:szCs w:val="24"/>
        </w:rPr>
      </w:pPr>
      <w:r w:rsidRPr="00D219DA">
        <w:t>70.</w:t>
      </w:r>
      <w:r w:rsidRPr="00D219DA">
        <w:tab/>
        <w:t>изтъква, че тя беше създадена неотдавна, но въпреки това я призовава във връзка с официалните отношения, които тя следва да развива заедно с националните институции и институциите на Съюза, да се запознае с различните процедури, които те прилагат, и да ги спазва, като полага усилия това да не засяга неблагоприятно нейните статут и задачи;</w:t>
      </w:r>
    </w:p>
    <w:p w:rsidR="0093355F" w:rsidRPr="00D219DA" w:rsidRDefault="0093355F" w:rsidP="0093355F">
      <w:pPr>
        <w:pStyle w:val="NormalHanging12a"/>
        <w:ind w:left="709" w:hanging="709"/>
        <w:rPr>
          <w:bCs/>
          <w:color w:val="000000" w:themeColor="text1"/>
          <w:szCs w:val="24"/>
        </w:rPr>
      </w:pPr>
      <w:r w:rsidRPr="00D219DA">
        <w:rPr>
          <w:color w:val="000000" w:themeColor="text1"/>
        </w:rPr>
        <w:t>71.</w:t>
      </w:r>
      <w:r w:rsidRPr="00D219DA">
        <w:rPr>
          <w:color w:val="0000FF"/>
        </w:rPr>
        <w:tab/>
      </w:r>
      <w:r w:rsidRPr="00D219DA">
        <w:t>отбелязва, че през 2022 г. Европейската прокуратура е подписала 20 споразумения за нивото на обслужване (СНО) или меморандуми за разбирателство с други институции и органи на Съюза и че това е дало възможност за максимално увеличаване на бюджетните икономии от действащите договорни инструменти, в съответствие с принципите на доброто финансово управление;</w:t>
      </w:r>
    </w:p>
    <w:p w:rsidR="0093355F" w:rsidRPr="00D219DA" w:rsidRDefault="0093355F" w:rsidP="0093355F">
      <w:pPr>
        <w:pStyle w:val="NormalHanging12a"/>
        <w:ind w:left="709" w:hanging="709"/>
        <w:rPr>
          <w:szCs w:val="24"/>
        </w:rPr>
      </w:pPr>
      <w:r w:rsidRPr="00D219DA">
        <w:lastRenderedPageBreak/>
        <w:t>72.</w:t>
      </w:r>
      <w:r w:rsidRPr="00D219DA">
        <w:tab/>
        <w:t xml:space="preserve">подчертава значението на започването на продуктивен диалог с </w:t>
      </w:r>
      <w:proofErr w:type="spellStart"/>
      <w:r w:rsidRPr="00D219DA">
        <w:t>неучастващите</w:t>
      </w:r>
      <w:proofErr w:type="spellEnd"/>
      <w:r w:rsidRPr="00D219DA">
        <w:t xml:space="preserve"> държави членки с оглед на постигането на ефективни работни договорености с тях; отбелязва, че през 2022 г. петте </w:t>
      </w:r>
      <w:proofErr w:type="spellStart"/>
      <w:r w:rsidRPr="00D219DA">
        <w:t>неучастващи</w:t>
      </w:r>
      <w:proofErr w:type="spellEnd"/>
      <w:r w:rsidRPr="00D219DA">
        <w:t xml:space="preserve"> държави членки са участвали в 86 разследвания на Европейската прокуратура (в сравнение с 48 разследвания през 2021 г.);</w:t>
      </w:r>
    </w:p>
    <w:p w:rsidR="0093355F" w:rsidRPr="00D219DA" w:rsidRDefault="0093355F" w:rsidP="0093355F">
      <w:pPr>
        <w:pStyle w:val="NormalHanging12a"/>
        <w:ind w:left="709" w:hanging="709"/>
        <w:rPr>
          <w:szCs w:val="24"/>
        </w:rPr>
      </w:pPr>
      <w:r w:rsidRPr="00D219DA">
        <w:t>73.</w:t>
      </w:r>
      <w:r w:rsidRPr="00D219DA">
        <w:tab/>
        <w:t>отбелязва, че сътрудничеството, основано на съответните актове на Съюза в областта на съдебното сътрудничество по наказателноправни въпроси, протича гладко с Дания, Унгария и Швеция, макар и с различно темпо в сравнение с участващите държави; отбелязва, че работната договореност с Полша е финализирана на техническо равнище, но не е подписана през 2022 г., тъй като измененията на полския Наказателно-процесуален кодекс (с които Европейската прокуратура се признава за компетентен орган по отношение на съответните инструменти на Съюза в областта на съдебното сътрудничество по наказателноправни въпроси) влязоха в сила едва на 27 декември 2022 г.; отбелязва, че това е довело и до докладване от страна на Европейската прокуратура до Комисията, в съответствие с Регламента относно обвързаността с условия, относно системната липса на сътрудничество от страна на Полша през 2021 г. и 2022 г. и нейното пряко отрицателно въздействие върху способността на Европейската прокуратура да защитава бюджета на Съюза чрез наказателни разследвания и наказателни преследвания; поради това горещо приветства започването на процеса на присъединяване към Европейската прокуратура вследствие на заявления, подадени от новото полско правителство през декември 2023 г. и от Швеция, както беше обявено през януари 2024 г., и изразява убеждението си, че присъединяването на Швеция и Полша към Европейската прокуратура ще укрепи цялостната защита на финансовите интереси на Съюза;</w:t>
      </w:r>
    </w:p>
    <w:p w:rsidR="0093355F" w:rsidRPr="00D219DA" w:rsidRDefault="0093355F" w:rsidP="0093355F">
      <w:pPr>
        <w:pStyle w:val="NormalHanging12a"/>
        <w:ind w:left="709" w:hanging="709"/>
        <w:rPr>
          <w:szCs w:val="24"/>
        </w:rPr>
      </w:pPr>
      <w:r w:rsidRPr="00D219DA">
        <w:t>74.</w:t>
      </w:r>
      <w:r w:rsidRPr="00D219DA">
        <w:tab/>
        <w:t>изразява съжаление, че през 2022 г. ирландските органи отказаха да сътрудничат на Европейската прокуратура и да изпълнят няколко искания за правна взаимопомощ, изпратени от европейските делегирани прокурори, като се позоваха на липсата на правно основание; отбелязва също така, че това е довело до докладване от Европейската прокуратура на Комисията за положението в съответствие с Регламента относно обвързаността с условия; приветства обаче неотдавнашното решение на ирландските органи да изменят националното си законодателство, като е осигурена правната рамка за правна взаимопомощ с Европейската прокуратура;</w:t>
      </w:r>
    </w:p>
    <w:p w:rsidR="0093355F" w:rsidRPr="00D219DA" w:rsidRDefault="0093355F" w:rsidP="0093355F">
      <w:pPr>
        <w:pStyle w:val="NormalHanging12a"/>
        <w:ind w:left="709" w:hanging="709"/>
        <w:rPr>
          <w:color w:val="000000" w:themeColor="text1"/>
          <w:szCs w:val="24"/>
        </w:rPr>
      </w:pPr>
      <w:r w:rsidRPr="00D219DA">
        <w:rPr>
          <w:color w:val="000000" w:themeColor="text1"/>
        </w:rPr>
        <w:t>75.</w:t>
      </w:r>
      <w:r w:rsidRPr="00D219DA">
        <w:rPr>
          <w:color w:val="000000" w:themeColor="text1"/>
        </w:rPr>
        <w:tab/>
        <w:t xml:space="preserve">отново заявява, че липсата на сътрудничество с Европейската прокуратура от страна на която и да е от държавите членки, участващи или не в засиленото сътрудничество, крие риск от създаване на ниши на имунитет и привилегия, които най-малкото правят защитата на финансовите интереси на Съюза неравномерна и неефективна; призовава Комисията и съответните държави членки да положат всички възможни усилия за интегриране на настоящия сценарий с малкото, но все още много важни липсващи компоненти, като насърчават разширяването на участието в Европейската прокуратура на другите все още </w:t>
      </w:r>
      <w:proofErr w:type="spellStart"/>
      <w:r w:rsidRPr="00D219DA">
        <w:rPr>
          <w:color w:val="000000" w:themeColor="text1"/>
        </w:rPr>
        <w:t>неучастващи</w:t>
      </w:r>
      <w:proofErr w:type="spellEnd"/>
      <w:r w:rsidRPr="00D219DA">
        <w:rPr>
          <w:color w:val="000000" w:themeColor="text1"/>
        </w:rPr>
        <w:t xml:space="preserve"> държави членки по начин, който укрепва ефективността на защитата на бюджета на Съюза и на националните бюджети;</w:t>
      </w:r>
    </w:p>
    <w:p w:rsidR="0093355F" w:rsidRPr="00D219DA" w:rsidRDefault="0093355F" w:rsidP="0093355F">
      <w:pPr>
        <w:pStyle w:val="NormalHanging12a"/>
        <w:ind w:left="709" w:hanging="709"/>
        <w:rPr>
          <w:color w:val="000000" w:themeColor="text1"/>
          <w:szCs w:val="24"/>
        </w:rPr>
      </w:pPr>
      <w:r w:rsidRPr="00D219DA">
        <w:rPr>
          <w:color w:val="000000" w:themeColor="text1"/>
        </w:rPr>
        <w:t>76.</w:t>
      </w:r>
      <w:r w:rsidRPr="00D219DA">
        <w:rPr>
          <w:color w:val="000000" w:themeColor="text1"/>
        </w:rPr>
        <w:tab/>
        <w:t xml:space="preserve">приветства сключването на няколко работни договорености с органи от трети държави, по-специално Украйна, Албания, Молдова, Черна гора, Грузия и </w:t>
      </w:r>
      <w:r w:rsidRPr="00D219DA">
        <w:rPr>
          <w:color w:val="000000" w:themeColor="text1"/>
        </w:rPr>
        <w:lastRenderedPageBreak/>
        <w:t>Северна Македония;</w:t>
      </w:r>
    </w:p>
    <w:p w:rsidR="0093355F" w:rsidRPr="00D219DA" w:rsidRDefault="0093355F" w:rsidP="0093355F">
      <w:pPr>
        <w:spacing w:after="240"/>
        <w:rPr>
          <w:color w:val="000000" w:themeColor="text1"/>
          <w:szCs w:val="24"/>
        </w:rPr>
      </w:pPr>
      <w:r w:rsidRPr="00D219DA">
        <w:rPr>
          <w:b/>
          <w:i/>
          <w:color w:val="000000" w:themeColor="text1"/>
        </w:rPr>
        <w:t>Комуникация</w:t>
      </w:r>
    </w:p>
    <w:p w:rsidR="0093355F" w:rsidRPr="00D219DA" w:rsidRDefault="0093355F" w:rsidP="0093355F">
      <w:pPr>
        <w:pStyle w:val="Default"/>
        <w:spacing w:after="240"/>
        <w:ind w:left="709" w:hanging="709"/>
        <w:rPr>
          <w:rFonts w:ascii="Times New Roman" w:hAnsi="Times New Roman" w:cs="Times New Roman"/>
          <w:color w:val="auto"/>
        </w:rPr>
      </w:pPr>
      <w:r w:rsidRPr="00D219DA">
        <w:rPr>
          <w:rFonts w:ascii="Times New Roman" w:hAnsi="Times New Roman"/>
          <w:color w:val="000000" w:themeColor="text1"/>
        </w:rPr>
        <w:t>77.</w:t>
      </w:r>
      <w:r w:rsidRPr="00D219DA">
        <w:rPr>
          <w:rFonts w:ascii="Times New Roman" w:hAnsi="Times New Roman"/>
          <w:color w:val="000000" w:themeColor="text1"/>
        </w:rPr>
        <w:tab/>
        <w:t xml:space="preserve">приветства усилията на Европейската прокуратура за подобряване на вътрешната и външната комуникация; </w:t>
      </w:r>
      <w:r w:rsidRPr="00D219DA">
        <w:rPr>
          <w:rFonts w:ascii="Times New Roman" w:hAnsi="Times New Roman"/>
        </w:rPr>
        <w:t>е наясно, че вътрешната комуникация е подобрена, за да се засили сътрудничеството между отделите и да се улесни обменът на информация и най-добри практики;</w:t>
      </w:r>
      <w:r w:rsidRPr="00D219DA">
        <w:rPr>
          <w:rFonts w:ascii="Times New Roman" w:hAnsi="Times New Roman"/>
          <w:color w:val="auto"/>
        </w:rPr>
        <w:t xml:space="preserve"> оценява интензивните действия, извършвани чрез платформите на социалните мрежи, и наблюдава тенденциите, за да се оползотворят възможностите, предлагани от безплатните платформи на социалните мрежи с отворен код, които са самостоятелно </w:t>
      </w:r>
      <w:proofErr w:type="spellStart"/>
      <w:r w:rsidRPr="00D219DA">
        <w:rPr>
          <w:rFonts w:ascii="Times New Roman" w:hAnsi="Times New Roman"/>
          <w:color w:val="auto"/>
        </w:rPr>
        <w:t>хоствани</w:t>
      </w:r>
      <w:proofErr w:type="spellEnd"/>
      <w:r w:rsidRPr="00D219DA">
        <w:rPr>
          <w:rFonts w:ascii="Times New Roman" w:hAnsi="Times New Roman"/>
          <w:color w:val="auto"/>
        </w:rPr>
        <w:t>;</w:t>
      </w:r>
    </w:p>
    <w:p w:rsidR="0093355F" w:rsidRPr="00D219DA" w:rsidRDefault="0093355F" w:rsidP="0093355F">
      <w:pPr>
        <w:pStyle w:val="Default"/>
        <w:spacing w:after="240"/>
        <w:ind w:left="709" w:hanging="709"/>
        <w:rPr>
          <w:rFonts w:ascii="Times New Roman" w:hAnsi="Times New Roman" w:cs="Times New Roman"/>
        </w:rPr>
      </w:pPr>
      <w:r w:rsidRPr="00D219DA">
        <w:rPr>
          <w:rFonts w:ascii="Times New Roman" w:hAnsi="Times New Roman"/>
        </w:rPr>
        <w:t>78.</w:t>
      </w:r>
      <w:r w:rsidRPr="00D219DA">
        <w:rPr>
          <w:rFonts w:ascii="Times New Roman" w:hAnsi="Times New Roman"/>
        </w:rPr>
        <w:tab/>
        <w:t>счита, че усилията на Европейската прокуратура за информиране за нейните дейности и за повишаване на осведомеността сред данъкоплатците относно мащаба на нейните действия са много важни; приветства в това отношение увеличаването на броя на публичните съобщения и усилията за увеличаване на видимостта на функционалността „</w:t>
      </w:r>
      <w:proofErr w:type="spellStart"/>
      <w:r w:rsidRPr="00D219DA">
        <w:rPr>
          <w:rFonts w:ascii="Times New Roman" w:hAnsi="Times New Roman"/>
        </w:rPr>
        <w:t>Report</w:t>
      </w:r>
      <w:proofErr w:type="spellEnd"/>
      <w:r w:rsidRPr="00D219DA">
        <w:rPr>
          <w:rFonts w:ascii="Times New Roman" w:hAnsi="Times New Roman"/>
        </w:rPr>
        <w:t xml:space="preserve"> A </w:t>
      </w:r>
      <w:proofErr w:type="spellStart"/>
      <w:r w:rsidRPr="00D219DA">
        <w:rPr>
          <w:rFonts w:ascii="Times New Roman" w:hAnsi="Times New Roman"/>
        </w:rPr>
        <w:t>Crime</w:t>
      </w:r>
      <w:proofErr w:type="spellEnd"/>
      <w:r w:rsidRPr="00D219DA">
        <w:rPr>
          <w:rFonts w:ascii="Times New Roman" w:hAnsi="Times New Roman"/>
        </w:rPr>
        <w:t>“ („Докладване за престъпление“) на корпоративния уебсайт на Европейската прокуратура; призовава Европейската прокуратура ясно да съобщава резултатите и констатациите, като постига оптимален баланс между прозрачността и обществения интерес, от една страна, и поверителността и правилното провеждане на разследванията, от друга страна; призовава Европейската прокуратура да осигури неутрална комуникация по отношение на своите дейности и да гарантира, че всички проблеми, наблюдавани по-рано, са адекватно разгледани;</w:t>
      </w:r>
    </w:p>
    <w:p w:rsidR="0093355F" w:rsidRPr="00D219DA" w:rsidRDefault="0093355F" w:rsidP="0093355F">
      <w:pPr>
        <w:pStyle w:val="NormalHanging12a"/>
        <w:ind w:left="709" w:hanging="709"/>
        <w:rPr>
          <w:b/>
          <w:i/>
          <w:color w:val="000000" w:themeColor="text1"/>
          <w:szCs w:val="24"/>
        </w:rPr>
      </w:pPr>
      <w:r w:rsidRPr="00D219DA">
        <w:rPr>
          <w:b/>
          <w:i/>
          <w:color w:val="000000" w:themeColor="text1"/>
        </w:rPr>
        <w:t>Последици от агресивната война на Русия срещу Украйна</w:t>
      </w:r>
    </w:p>
    <w:p w:rsidR="0093355F" w:rsidRPr="00D219DA" w:rsidRDefault="0093355F" w:rsidP="0093355F">
      <w:pPr>
        <w:pStyle w:val="NormalHanging12a"/>
        <w:ind w:left="709" w:hanging="709"/>
        <w:rPr>
          <w:color w:val="000000" w:themeColor="text1"/>
          <w:szCs w:val="24"/>
        </w:rPr>
      </w:pPr>
      <w:r w:rsidRPr="00D219DA">
        <w:rPr>
          <w:color w:val="000000" w:themeColor="text1"/>
        </w:rPr>
        <w:t>79.</w:t>
      </w:r>
      <w:r w:rsidRPr="00D219DA">
        <w:rPr>
          <w:color w:val="000000" w:themeColor="text1"/>
        </w:rPr>
        <w:tab/>
        <w:t>изразява разбиране, че през 2022 г. увеличеният темп на инфлация, последица от агресията на Русия срещу Украйна, е оказал въздействие върху изпълнението на общия бюджет на Европейската прокуратура (което е довело до индексация от 6,9% на възнагражденията на служителите и до общо увеличение на цените при придобиването на стоки и услуги);</w:t>
      </w:r>
    </w:p>
    <w:p w:rsidR="0093355F" w:rsidRPr="00D219DA" w:rsidRDefault="0093355F" w:rsidP="0093355F">
      <w:pPr>
        <w:pStyle w:val="NormalHanging12a"/>
        <w:ind w:left="709" w:hanging="709"/>
        <w:rPr>
          <w:szCs w:val="24"/>
        </w:rPr>
      </w:pPr>
      <w:r w:rsidRPr="00D219DA">
        <w:t>80.</w:t>
      </w:r>
      <w:r w:rsidRPr="00D219DA">
        <w:tab/>
        <w:t>подчертава значението на действията на Европейската прокуратура, предназначени за поддържане на интензивна комуникация и обмен с украинските органи, както и с другите партньори на Съюза, участващи в разходите и дейностите по разкриване на измами в Украйна, с цел защита на финансовите интереси на Съюза;</w:t>
      </w:r>
    </w:p>
    <w:p w:rsidR="0093355F" w:rsidRPr="00D219DA" w:rsidRDefault="0093355F" w:rsidP="0093355F">
      <w:pPr>
        <w:pStyle w:val="NormalHanging12a"/>
        <w:ind w:left="709" w:hanging="709"/>
        <w:rPr>
          <w:color w:val="000000" w:themeColor="text1"/>
          <w:szCs w:val="24"/>
        </w:rPr>
      </w:pPr>
      <w:r w:rsidRPr="00D219DA">
        <w:rPr>
          <w:color w:val="000000" w:themeColor="text1"/>
        </w:rPr>
        <w:t>81.</w:t>
      </w:r>
      <w:r w:rsidRPr="00D219DA">
        <w:rPr>
          <w:color w:val="000000" w:themeColor="text1"/>
        </w:rPr>
        <w:tab/>
      </w:r>
      <w:r w:rsidRPr="00D219DA">
        <w:t>оценява усилията на Европейската прокуратура да поясни, че престъпленията, засягащи средства на Съюза, отпуснати на трети държави, попадат под нейната юрисдикция, дори ако са извършени изцяло или частично извън общата територия на 22-те участващи държави членки, когато престъплението е извършено от гражданин на участваща държава членка или от длъжностно лице на Съюза, или когато даден елемент от състава на престъплението е осъществен в Белгия или в Люксембург, считани за седалища на институциите, органите, службите или агенциите на Съюза, участващи в разходите на бюджета на Съюза, и дори ако другите елементи от състава на престъплението са осъществени в Украйна или в друга трета държава;</w:t>
      </w:r>
    </w:p>
    <w:p w:rsidR="0093355F" w:rsidRPr="00D219DA" w:rsidRDefault="0093355F" w:rsidP="0093355F">
      <w:pPr>
        <w:pStyle w:val="NormalHanging12a"/>
        <w:ind w:left="709" w:hanging="709"/>
        <w:rPr>
          <w:color w:val="000000" w:themeColor="text1"/>
          <w:szCs w:val="24"/>
        </w:rPr>
      </w:pPr>
      <w:r w:rsidRPr="00D219DA">
        <w:rPr>
          <w:color w:val="000000" w:themeColor="text1"/>
        </w:rPr>
        <w:lastRenderedPageBreak/>
        <w:t>82.</w:t>
      </w:r>
      <w:r w:rsidRPr="00D219DA">
        <w:rPr>
          <w:color w:val="000000" w:themeColor="text1"/>
        </w:rPr>
        <w:tab/>
        <w:t>отбелязва, че Европейската прокуратура е подписала две работни договорености с украинската Главна прокуратура и Националното бюро за борба с корупцията за улесняване на сътрудничеството при разследванията въз основа на Конвенцията на Съвета на Европа от 1959 г. за взаимопомощ по наказателноправни въпроси; отбелязва, че в нейните помещения са организирани курсове за обучение, за да могат украинските прокурори и следователи да споделят своя експертен опит в областта на финансовите и сложните разследвания, както и че след подписването на работните договорености са се провеждали редовни срещи на стратегическо и оперативно равнище;</w:t>
      </w:r>
    </w:p>
    <w:p w:rsidR="0093355F" w:rsidRPr="00D219DA" w:rsidRDefault="0093355F" w:rsidP="0093355F">
      <w:pPr>
        <w:pStyle w:val="NormalHanging12a"/>
        <w:ind w:left="709" w:hanging="709"/>
        <w:rPr>
          <w:color w:val="000000" w:themeColor="text1"/>
          <w:szCs w:val="24"/>
        </w:rPr>
      </w:pPr>
      <w:r w:rsidRPr="00D219DA">
        <w:rPr>
          <w:color w:val="000000" w:themeColor="text1"/>
        </w:rPr>
        <w:t>83.</w:t>
      </w:r>
      <w:r w:rsidRPr="00D219DA">
        <w:rPr>
          <w:color w:val="000000" w:themeColor="text1"/>
        </w:rPr>
        <w:tab/>
        <w:t>приветства готовността на централната служба на Европейската прокуратура да задейства работна група с украинските органи за координиране на разследванията; счита, че в контекста на бъдещите механизми на Инструмента за Украйна съществуващата рамка и партньорството, установени с украинските органи, ще подкрепят разследването и наказателното преследване и ще улеснят бързото и надеждно сътрудничество; призовава съответните органи да приемат ново споразумение за взаимопомощ по наказателноправни въпроси между Съюза и Украйна с цел по-нататъшно укрепване на сътрудничеството в специфичния контекст на Инструмента, по-специално по отношение на изземването, конфискацията и отнемането на активи;</w:t>
      </w:r>
    </w:p>
    <w:p w:rsidR="0093355F" w:rsidRPr="00D219DA" w:rsidRDefault="0093355F" w:rsidP="0093355F">
      <w:pPr>
        <w:pStyle w:val="NormalHanging12a"/>
        <w:ind w:left="709" w:hanging="709"/>
        <w:rPr>
          <w:szCs w:val="24"/>
        </w:rPr>
      </w:pPr>
      <w:r w:rsidRPr="00D219DA">
        <w:t>84.</w:t>
      </w:r>
      <w:r w:rsidRPr="00D219DA">
        <w:tab/>
        <w:t>въпреки това отбелязва високия процент на корупция и измами в Украйна, както преди настоящата война, така и понастоящем; предупреждава, че следва да се вземат допълнителни предпазни мерки при сътрудничеството по разследванията, за да се защитят служителите и свидетелите; отбелязва, например, че финансирана от Съюза инициатива на ЕС за борба срещу корупцията, която беше основана през 2017 г., беше счетена от Сметната палата през 2021 г. за неефективна в борбата срещу корупцията; признава усилията на украинския парламент, Върховната рада, за сътрудничество с Европейския съюз, и отбелязва, че са необходими допълнителни усилия за борба срещу корупцията, за да се постигнат успешно целите за прозрачност</w:t>
      </w:r>
      <w:r w:rsidR="00FA7729">
        <w:t>.</w:t>
      </w:r>
    </w:p>
    <w:sectPr w:rsidR="0093355F" w:rsidRPr="00D219DA" w:rsidSect="00D219D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686" w:rsidRPr="00D219DA" w:rsidRDefault="00C91686">
      <w:r w:rsidRPr="00D219DA">
        <w:separator/>
      </w:r>
    </w:p>
  </w:endnote>
  <w:endnote w:type="continuationSeparator" w:id="0">
    <w:p w:rsidR="00C91686" w:rsidRPr="00D219DA" w:rsidRDefault="00C91686">
      <w:r w:rsidRPr="00D219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55F" w:rsidRPr="00D219DA" w:rsidRDefault="0093355F" w:rsidP="00EF7D16">
    <w:pPr>
      <w:pStyle w:val="EPFooter"/>
    </w:pPr>
    <w:r w:rsidRPr="00D219DA">
      <w:t>PE</w:t>
    </w:r>
    <w:r w:rsidRPr="00D219DA">
      <w:rPr>
        <w:rStyle w:val="HideTWBExt"/>
      </w:rPr>
      <w:t>&lt;</w:t>
    </w:r>
    <w:proofErr w:type="spellStart"/>
    <w:r w:rsidRPr="00D219DA">
      <w:rPr>
        <w:rStyle w:val="HideTWBExt"/>
      </w:rPr>
      <w:t>NoPE</w:t>
    </w:r>
    <w:proofErr w:type="spellEnd"/>
    <w:r w:rsidRPr="00D219DA">
      <w:rPr>
        <w:rStyle w:val="HideTWBExt"/>
      </w:rPr>
      <w:t>&gt;</w:t>
    </w:r>
    <w:r w:rsidRPr="00D219DA">
      <w:t>753.489</w:t>
    </w:r>
    <w:r w:rsidRPr="00D219DA">
      <w:rPr>
        <w:rStyle w:val="HideTWBExt"/>
      </w:rPr>
      <w:t>&lt;/</w:t>
    </w:r>
    <w:proofErr w:type="spellStart"/>
    <w:r w:rsidRPr="00D219DA">
      <w:rPr>
        <w:rStyle w:val="HideTWBExt"/>
      </w:rPr>
      <w:t>NoPE</w:t>
    </w:r>
    <w:proofErr w:type="spellEnd"/>
    <w:r w:rsidRPr="00D219DA">
      <w:rPr>
        <w:rStyle w:val="HideTWBExt"/>
      </w:rPr>
      <w:t>&gt;&lt;Version&gt;</w:t>
    </w:r>
    <w:r w:rsidRPr="00D219DA">
      <w:t>v02-00</w:t>
    </w:r>
    <w:r w:rsidRPr="00D219DA">
      <w:rPr>
        <w:rStyle w:val="HideTWBExt"/>
      </w:rPr>
      <w:t>&lt;/</w:t>
    </w:r>
    <w:proofErr w:type="spellStart"/>
    <w:r w:rsidRPr="00D219DA">
      <w:rPr>
        <w:rStyle w:val="HideTWBExt"/>
      </w:rPr>
      <w:t>Version</w:t>
    </w:r>
    <w:proofErr w:type="spellEnd"/>
    <w:r w:rsidRPr="00D219DA">
      <w:rPr>
        <w:rStyle w:val="HideTWBExt"/>
      </w:rPr>
      <w:t>&gt;</w:t>
    </w:r>
    <w:r w:rsidRPr="00D219DA">
      <w:tab/>
    </w:r>
    <w:r w:rsidRPr="00D219DA">
      <w:fldChar w:fldCharType="begin"/>
    </w:r>
    <w:r w:rsidRPr="00D219DA">
      <w:instrText xml:space="preserve"> PAGE  \* MERGEFORMAT </w:instrText>
    </w:r>
    <w:r w:rsidRPr="00D219DA">
      <w:fldChar w:fldCharType="separate"/>
    </w:r>
    <w:r w:rsidR="00D219DA" w:rsidRPr="00D219DA">
      <w:rPr>
        <w:noProof/>
      </w:rPr>
      <w:t>2</w:t>
    </w:r>
    <w:r w:rsidRPr="00D219DA">
      <w:fldChar w:fldCharType="end"/>
    </w:r>
    <w:r w:rsidRPr="00D219DA">
      <w:t>/</w:t>
    </w:r>
    <w:r w:rsidR="00EC1D48">
      <w:fldChar w:fldCharType="begin"/>
    </w:r>
    <w:r w:rsidR="00EC1D48">
      <w:instrText xml:space="preserve"> NUMPAGES  \* MERGEFORMAT </w:instrText>
    </w:r>
    <w:r w:rsidR="00EC1D48">
      <w:fldChar w:fldCharType="separate"/>
    </w:r>
    <w:r w:rsidR="00D219DA" w:rsidRPr="00D219DA">
      <w:rPr>
        <w:noProof/>
      </w:rPr>
      <w:t>4</w:t>
    </w:r>
    <w:r w:rsidR="00EC1D48">
      <w:rPr>
        <w:noProof/>
      </w:rPr>
      <w:fldChar w:fldCharType="end"/>
    </w:r>
    <w:r w:rsidRPr="00D219DA">
      <w:tab/>
    </w:r>
    <w:r w:rsidRPr="00D219DA">
      <w:rPr>
        <w:rStyle w:val="HideTWBExt"/>
      </w:rPr>
      <w:t>&lt;PathFdR&gt;</w:t>
    </w:r>
    <w:r w:rsidRPr="00D219DA">
      <w:t>RR\1298985BG.docx</w:t>
    </w:r>
    <w:r w:rsidRPr="00D219DA">
      <w:rPr>
        <w:rStyle w:val="HideTWBExt"/>
      </w:rPr>
      <w:t>&lt;/</w:t>
    </w:r>
    <w:proofErr w:type="spellStart"/>
    <w:r w:rsidRPr="00D219DA">
      <w:rPr>
        <w:rStyle w:val="HideTWBExt"/>
      </w:rPr>
      <w:t>PathFdR</w:t>
    </w:r>
    <w:proofErr w:type="spellEnd"/>
    <w:r w:rsidRPr="00D219DA">
      <w:rPr>
        <w:rStyle w:val="HideTWBExt"/>
      </w:rPr>
      <w:t>&gt;</w:t>
    </w:r>
  </w:p>
  <w:p w:rsidR="0093355F" w:rsidRPr="00D219DA" w:rsidRDefault="0093355F" w:rsidP="00EF7D16">
    <w:pPr>
      <w:pStyle w:val="EPFooter2"/>
    </w:pPr>
    <w:r w:rsidRPr="00D219D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55F" w:rsidRPr="00D219DA" w:rsidRDefault="0093355F" w:rsidP="00EF7D16">
    <w:pPr>
      <w:pStyle w:val="EPFooter"/>
    </w:pPr>
    <w:r w:rsidRPr="00D219DA">
      <w:rPr>
        <w:rStyle w:val="HideTWBExt"/>
      </w:rPr>
      <w:t>&lt;PathFdR&gt;</w:t>
    </w:r>
    <w:r w:rsidRPr="00D219DA">
      <w:t>RR\1298985BG.docx</w:t>
    </w:r>
    <w:r w:rsidRPr="00D219DA">
      <w:rPr>
        <w:rStyle w:val="HideTWBExt"/>
      </w:rPr>
      <w:t>&lt;/</w:t>
    </w:r>
    <w:proofErr w:type="spellStart"/>
    <w:r w:rsidRPr="00D219DA">
      <w:rPr>
        <w:rStyle w:val="HideTWBExt"/>
      </w:rPr>
      <w:t>PathFdR</w:t>
    </w:r>
    <w:proofErr w:type="spellEnd"/>
    <w:r w:rsidRPr="00D219DA">
      <w:rPr>
        <w:rStyle w:val="HideTWBExt"/>
      </w:rPr>
      <w:t>&gt;</w:t>
    </w:r>
    <w:r w:rsidRPr="00D219DA">
      <w:tab/>
    </w:r>
    <w:r w:rsidRPr="00D219DA">
      <w:tab/>
      <w:t>PE</w:t>
    </w:r>
    <w:r w:rsidRPr="00D219DA">
      <w:rPr>
        <w:rStyle w:val="HideTWBExt"/>
      </w:rPr>
      <w:t>&lt;</w:t>
    </w:r>
    <w:proofErr w:type="spellStart"/>
    <w:r w:rsidRPr="00D219DA">
      <w:rPr>
        <w:rStyle w:val="HideTWBExt"/>
      </w:rPr>
      <w:t>NoPE</w:t>
    </w:r>
    <w:proofErr w:type="spellEnd"/>
    <w:r w:rsidRPr="00D219DA">
      <w:rPr>
        <w:rStyle w:val="HideTWBExt"/>
      </w:rPr>
      <w:t>&gt;</w:t>
    </w:r>
    <w:r w:rsidRPr="00D219DA">
      <w:t>753.489</w:t>
    </w:r>
    <w:r w:rsidRPr="00D219DA">
      <w:rPr>
        <w:rStyle w:val="HideTWBExt"/>
      </w:rPr>
      <w:t>&lt;/</w:t>
    </w:r>
    <w:proofErr w:type="spellStart"/>
    <w:r w:rsidRPr="00D219DA">
      <w:rPr>
        <w:rStyle w:val="HideTWBExt"/>
      </w:rPr>
      <w:t>NoPE</w:t>
    </w:r>
    <w:proofErr w:type="spellEnd"/>
    <w:r w:rsidRPr="00D219DA">
      <w:rPr>
        <w:rStyle w:val="HideTWBExt"/>
      </w:rPr>
      <w:t>&gt;&lt;Version&gt;</w:t>
    </w:r>
    <w:r w:rsidRPr="00D219DA">
      <w:t>v02-00</w:t>
    </w:r>
    <w:r w:rsidRPr="00D219DA">
      <w:rPr>
        <w:rStyle w:val="HideTWBExt"/>
      </w:rPr>
      <w:t>&lt;/</w:t>
    </w:r>
    <w:proofErr w:type="spellStart"/>
    <w:r w:rsidRPr="00D219DA">
      <w:rPr>
        <w:rStyle w:val="HideTWBExt"/>
      </w:rPr>
      <w:t>Version</w:t>
    </w:r>
    <w:proofErr w:type="spellEnd"/>
    <w:r w:rsidRPr="00D219DA">
      <w:rPr>
        <w:rStyle w:val="HideTWBExt"/>
      </w:rPr>
      <w:t>&gt;</w:t>
    </w:r>
  </w:p>
  <w:p w:rsidR="0093355F" w:rsidRPr="00D219DA" w:rsidRDefault="0093355F" w:rsidP="00EF7D16">
    <w:pPr>
      <w:pStyle w:val="EPFooter2"/>
    </w:pPr>
    <w:r w:rsidRPr="00D219DA">
      <w:t>BG</w:t>
    </w:r>
    <w:r w:rsidRPr="00D219DA">
      <w:tab/>
    </w:r>
    <w:r w:rsidRPr="00D219DA">
      <w:rPr>
        <w:b w:val="0"/>
        <w:i/>
        <w:color w:val="C0C0C0"/>
        <w:sz w:val="22"/>
      </w:rPr>
      <w:t>Единство в многообразието</w:t>
    </w:r>
    <w:r w:rsidRPr="00D219D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9D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9D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9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686" w:rsidRPr="00D219DA" w:rsidRDefault="00C91686">
      <w:r w:rsidRPr="00D219DA">
        <w:separator/>
      </w:r>
    </w:p>
  </w:footnote>
  <w:footnote w:type="continuationSeparator" w:id="0">
    <w:p w:rsidR="00C91686" w:rsidRPr="00D219DA" w:rsidRDefault="00C91686">
      <w:r w:rsidRPr="00D219DA">
        <w:continuationSeparator/>
      </w:r>
    </w:p>
  </w:footnote>
  <w:footnote w:id="1">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ОВ C, C/2023/594, 27.10.2023 г.</w:t>
      </w:r>
    </w:p>
  </w:footnote>
  <w:footnote w:id="2">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ОВ C, C/2023/112, 12.10.2023 г.</w:t>
      </w:r>
    </w:p>
  </w:footnote>
  <w:footnote w:id="3">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ОВ L 193, 30.7.2018 г., стр. 1.</w:t>
      </w:r>
    </w:p>
  </w:footnote>
  <w:footnote w:id="4">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OВ L 283, 31.10.2017 г., стр. 1.</w:t>
      </w:r>
    </w:p>
  </w:footnote>
  <w:footnote w:id="5">
    <w:p w:rsidR="0093355F" w:rsidRPr="00D219DA" w:rsidRDefault="0093355F" w:rsidP="00D219DA">
      <w:pPr>
        <w:pStyle w:val="FootnoteText"/>
        <w:ind w:left="567" w:hanging="567"/>
        <w:rPr>
          <w:sz w:val="24"/>
          <w:szCs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OВ L 122, 10.5.2019 г., стр. 1.</w:t>
      </w:r>
    </w:p>
  </w:footnote>
  <w:footnote w:id="6">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ОВ C, C/2023/594, 27.10.2023 г.</w:t>
      </w:r>
    </w:p>
  </w:footnote>
  <w:footnote w:id="7">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ОВ C, C/2023/112, 12.10.2023 г.</w:t>
      </w:r>
    </w:p>
  </w:footnote>
  <w:footnote w:id="8">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ОВ L 193, 30.7.2018 г., стр. 1.</w:t>
      </w:r>
    </w:p>
  </w:footnote>
  <w:footnote w:id="9">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OВ L 283, 31.10.2017 г., стр. 1.</w:t>
      </w:r>
    </w:p>
  </w:footnote>
  <w:footnote w:id="10">
    <w:p w:rsidR="0093355F" w:rsidRPr="00D219DA" w:rsidRDefault="0093355F" w:rsidP="00D219DA">
      <w:pPr>
        <w:pStyle w:val="FootnoteText"/>
        <w:ind w:left="567" w:hanging="567"/>
        <w:rPr>
          <w:sz w:val="24"/>
          <w:szCs w:val="24"/>
          <w:lang w:val="bg-BG"/>
        </w:rPr>
      </w:pPr>
      <w:r w:rsidRPr="00D219DA">
        <w:rPr>
          <w:rStyle w:val="FootnoteReference"/>
          <w:sz w:val="24"/>
          <w:lang w:val="bg-BG"/>
        </w:rPr>
        <w:footnoteRef/>
      </w:r>
      <w:r w:rsidR="00D219DA" w:rsidRPr="00D219DA">
        <w:rPr>
          <w:sz w:val="24"/>
          <w:lang w:val="bg-BG"/>
        </w:rPr>
        <w:t xml:space="preserve"> </w:t>
      </w:r>
      <w:r w:rsidR="00D219DA" w:rsidRPr="00D219DA">
        <w:rPr>
          <w:sz w:val="24"/>
          <w:lang w:val="bg-BG"/>
        </w:rPr>
        <w:tab/>
      </w:r>
      <w:r w:rsidRPr="00D219DA">
        <w:rPr>
          <w:sz w:val="24"/>
          <w:lang w:val="bg-BG"/>
        </w:rPr>
        <w:t>OВ L 122, 10.5.2019 г., стр. 1.</w:t>
      </w:r>
    </w:p>
  </w:footnote>
  <w:footnote w:id="11">
    <w:p w:rsidR="0093355F" w:rsidRPr="00D219DA" w:rsidRDefault="0093355F" w:rsidP="00D219DA">
      <w:pPr>
        <w:pStyle w:val="FootnoteText"/>
        <w:ind w:left="567" w:hanging="567"/>
        <w:rPr>
          <w:sz w:val="24"/>
          <w:lang w:val="bg-BG"/>
        </w:rPr>
      </w:pPr>
      <w:r w:rsidRPr="00D219DA">
        <w:rPr>
          <w:rStyle w:val="FootnoteReference"/>
          <w:sz w:val="24"/>
          <w:lang w:val="bg-BG"/>
        </w:rPr>
        <w:footnoteRef/>
      </w:r>
      <w:r w:rsidR="00D219DA" w:rsidRPr="00D219DA">
        <w:rPr>
          <w:sz w:val="24"/>
          <w:shd w:val="clear" w:color="auto" w:fill="FFFFFF"/>
          <w:lang w:val="bg-BG"/>
        </w:rPr>
        <w:t xml:space="preserve"> </w:t>
      </w:r>
      <w:r w:rsidR="00D219DA" w:rsidRPr="00D219DA">
        <w:rPr>
          <w:sz w:val="24"/>
          <w:shd w:val="clear" w:color="auto" w:fill="FFFFFF"/>
          <w:lang w:val="bg-BG"/>
        </w:rPr>
        <w:tab/>
      </w:r>
      <w:r w:rsidRPr="00D219DA">
        <w:rPr>
          <w:sz w:val="24"/>
          <w:shd w:val="clear" w:color="auto" w:fill="FFFFFF"/>
          <w:lang w:val="bg-BG"/>
        </w:rPr>
        <w:t>OВ L 198, 28.7.2017 г., стр.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9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9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19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BG"/>
    <w:docVar w:name="dvnumam" w:val="0"/>
    <w:docVar w:name="dvpe" w:val="753.489"/>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прокуратура за финансовата 2022 година(2023/2139(DEC))"/>
  </w:docVars>
  <w:rsids>
    <w:rsidRoot w:val="00C9168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55F"/>
    <w:rsid w:val="009509D8"/>
    <w:rsid w:val="00950B64"/>
    <w:rsid w:val="00981893"/>
    <w:rsid w:val="00A1687D"/>
    <w:rsid w:val="00A43E52"/>
    <w:rsid w:val="00A4678D"/>
    <w:rsid w:val="00A70F8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686"/>
    <w:rsid w:val="00C941CB"/>
    <w:rsid w:val="00CC2357"/>
    <w:rsid w:val="00CF071A"/>
    <w:rsid w:val="00D058B8"/>
    <w:rsid w:val="00D219DA"/>
    <w:rsid w:val="00D56C11"/>
    <w:rsid w:val="00D834A0"/>
    <w:rsid w:val="00D872DF"/>
    <w:rsid w:val="00D91E21"/>
    <w:rsid w:val="00DA0F87"/>
    <w:rsid w:val="00DA7FCD"/>
    <w:rsid w:val="00E365E1"/>
    <w:rsid w:val="00E820A4"/>
    <w:rsid w:val="00EB006A"/>
    <w:rsid w:val="00EB4772"/>
    <w:rsid w:val="00EC1D48"/>
    <w:rsid w:val="00ED169E"/>
    <w:rsid w:val="00ED4235"/>
    <w:rsid w:val="00F04346"/>
    <w:rsid w:val="00F075DC"/>
    <w:rsid w:val="00F149E9"/>
    <w:rsid w:val="00F5134D"/>
    <w:rsid w:val="00F74202"/>
    <w:rsid w:val="00F87713"/>
    <w:rsid w:val="00FA772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7DFA3"/>
  <w15:chartTrackingRefBased/>
  <w15:docId w15:val="{8B1618DB-5EF1-453A-8323-A0F546FC6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3355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55F"/>
    <w:pPr>
      <w:spacing w:before="480" w:after="240"/>
    </w:pPr>
  </w:style>
  <w:style w:type="paragraph" w:customStyle="1" w:styleId="PageHeading">
    <w:name w:val="PageHeading"/>
    <w:basedOn w:val="Normal"/>
    <w:rsid w:val="0093355F"/>
    <w:pPr>
      <w:keepNext/>
      <w:spacing w:after="480"/>
      <w:jc w:val="center"/>
    </w:pPr>
    <w:rPr>
      <w:rFonts w:ascii="Arial" w:hAnsi="Arial" w:cs="Arial"/>
      <w:b/>
    </w:rPr>
  </w:style>
  <w:style w:type="paragraph" w:customStyle="1" w:styleId="NormalBold">
    <w:name w:val="NormalBold"/>
    <w:basedOn w:val="Normal"/>
    <w:rsid w:val="0093355F"/>
    <w:rPr>
      <w:b/>
    </w:rPr>
  </w:style>
  <w:style w:type="paragraph" w:customStyle="1" w:styleId="NormalHanging12a">
    <w:name w:val="NormalHanging12a"/>
    <w:basedOn w:val="Normal"/>
    <w:link w:val="NormalHanging12aChar"/>
    <w:rsid w:val="0093355F"/>
    <w:pPr>
      <w:spacing w:after="240"/>
      <w:ind w:left="567" w:hanging="567"/>
    </w:pPr>
  </w:style>
  <w:style w:type="paragraph" w:styleId="Header">
    <w:name w:val="header"/>
    <w:basedOn w:val="Normal"/>
    <w:link w:val="HeaderChar"/>
    <w:rsid w:val="0093355F"/>
    <w:pPr>
      <w:tabs>
        <w:tab w:val="center" w:pos="4513"/>
        <w:tab w:val="right" w:pos="9026"/>
      </w:tabs>
    </w:pPr>
  </w:style>
  <w:style w:type="character" w:customStyle="1" w:styleId="HeaderChar">
    <w:name w:val="Header Char"/>
    <w:basedOn w:val="DefaultParagraphFont"/>
    <w:link w:val="Header"/>
    <w:rsid w:val="0093355F"/>
    <w:rPr>
      <w:sz w:val="24"/>
      <w:lang w:val="bg-BG"/>
    </w:rPr>
  </w:style>
  <w:style w:type="paragraph" w:customStyle="1" w:styleId="EPFooter">
    <w:name w:val="EPFooter"/>
    <w:basedOn w:val="Normal"/>
    <w:rsid w:val="0093355F"/>
    <w:pPr>
      <w:tabs>
        <w:tab w:val="center" w:pos="4535"/>
        <w:tab w:val="right" w:pos="9071"/>
      </w:tabs>
      <w:spacing w:before="240" w:after="240"/>
    </w:pPr>
    <w:rPr>
      <w:color w:val="010000"/>
      <w:sz w:val="22"/>
    </w:rPr>
  </w:style>
  <w:style w:type="paragraph" w:customStyle="1" w:styleId="Default">
    <w:name w:val="Default"/>
    <w:rsid w:val="0093355F"/>
    <w:pPr>
      <w:autoSpaceDE w:val="0"/>
      <w:autoSpaceDN w:val="0"/>
      <w:adjustRightInd w:val="0"/>
    </w:pPr>
    <w:rPr>
      <w:rFonts w:ascii="Calibri" w:hAnsi="Calibri" w:cs="Calibri"/>
      <w:color w:val="000000"/>
      <w:sz w:val="24"/>
      <w:szCs w:val="24"/>
      <w:lang w:val="bg-BG"/>
    </w:rPr>
  </w:style>
  <w:style w:type="character" w:customStyle="1" w:styleId="NormalHanging12aChar">
    <w:name w:val="NormalHanging12a Char"/>
    <w:basedOn w:val="DefaultParagraphFont"/>
    <w:link w:val="NormalHanging12a"/>
    <w:rsid w:val="0093355F"/>
    <w:rPr>
      <w:sz w:val="24"/>
      <w:lang w:val="bg-BG"/>
    </w:rPr>
  </w:style>
  <w:style w:type="paragraph" w:styleId="BalloonText">
    <w:name w:val="Balloon Text"/>
    <w:basedOn w:val="Normal"/>
    <w:link w:val="BalloonTextChar"/>
    <w:rsid w:val="00EC1D48"/>
    <w:rPr>
      <w:rFonts w:ascii="Segoe UI" w:hAnsi="Segoe UI" w:cs="Segoe UI"/>
      <w:sz w:val="18"/>
      <w:szCs w:val="18"/>
    </w:rPr>
  </w:style>
  <w:style w:type="character" w:customStyle="1" w:styleId="BalloonTextChar">
    <w:name w:val="Balloon Text Char"/>
    <w:basedOn w:val="DefaultParagraphFont"/>
    <w:link w:val="BalloonText"/>
    <w:rsid w:val="00EC1D4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E9538-5476-4ABA-8915-8B1006CD2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10190</Words>
  <Characters>61566</Characters>
  <Application>Microsoft Office Word</Application>
  <DocSecurity>0</DocSecurity>
  <Lines>513</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2024-04-11T10:53:00Z</dcterms:created>
  <dcterms:modified xsi:type="dcterms:W3CDTF">2024-04-11T10:53:00Z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A9-0117/2024</vt:lpwstr>
  </property>
  <property fmtid="{D5CDD505-2E9C-101B-9397-08002B2CF9AE}" pid="4" name="&lt;Type&gt;">
    <vt:lpwstr>RR</vt:lpwstr>
  </property>
</Properties>
</file>