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48BF" w:rsidTr="0010095E">
        <w:trPr>
          <w:trHeight w:hRule="exact" w:val="1418"/>
        </w:trPr>
        <w:tc>
          <w:tcPr>
            <w:tcW w:w="6804" w:type="dxa"/>
            <w:shd w:val="clear" w:color="auto" w:fill="auto"/>
            <w:vAlign w:val="center"/>
          </w:tcPr>
          <w:p w:rsidR="00751A4A" w:rsidRPr="00B948BF" w:rsidRDefault="00A165B9" w:rsidP="0010095E">
            <w:pPr>
              <w:pStyle w:val="EPName"/>
            </w:pPr>
            <w:r w:rsidRPr="00B948BF">
              <w:t>Europski parlament</w:t>
            </w:r>
          </w:p>
          <w:p w:rsidR="00751A4A" w:rsidRPr="00B948BF" w:rsidRDefault="00817416" w:rsidP="00756632">
            <w:pPr>
              <w:pStyle w:val="EPTerm"/>
              <w:rPr>
                <w:rStyle w:val="HideTWBExt"/>
                <w:noProof w:val="0"/>
                <w:vanish w:val="0"/>
                <w:color w:val="auto"/>
              </w:rPr>
            </w:pPr>
            <w:r w:rsidRPr="00B948BF">
              <w:t>2019-2024</w:t>
            </w:r>
          </w:p>
        </w:tc>
        <w:tc>
          <w:tcPr>
            <w:tcW w:w="2268" w:type="dxa"/>
            <w:shd w:val="clear" w:color="auto" w:fill="auto"/>
          </w:tcPr>
          <w:p w:rsidR="00751A4A" w:rsidRPr="00B948BF" w:rsidRDefault="00187494" w:rsidP="0010095E">
            <w:pPr>
              <w:pStyle w:val="EPLogo"/>
            </w:pPr>
            <w:r w:rsidRPr="00B948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48BF" w:rsidRDefault="00D058B8" w:rsidP="004C5D52">
      <w:pPr>
        <w:pStyle w:val="LineTop"/>
      </w:pPr>
    </w:p>
    <w:p w:rsidR="00680577" w:rsidRPr="00B948BF" w:rsidRDefault="00A165B9" w:rsidP="00680577">
      <w:pPr>
        <w:pStyle w:val="EPBodyTA1"/>
      </w:pPr>
      <w:r w:rsidRPr="00B948BF">
        <w:t>USVOJENI TEKSTOVI</w:t>
      </w:r>
    </w:p>
    <w:p w:rsidR="00D058B8" w:rsidRPr="00B948BF" w:rsidRDefault="00D058B8" w:rsidP="00D058B8">
      <w:pPr>
        <w:pStyle w:val="LineBottom"/>
      </w:pPr>
    </w:p>
    <w:p w:rsidR="00A165B9" w:rsidRPr="00B948BF" w:rsidRDefault="00A165B9" w:rsidP="00A165B9">
      <w:pPr>
        <w:pStyle w:val="ATHeading1"/>
      </w:pPr>
      <w:bookmarkStart w:id="0" w:name="TANumber"/>
      <w:r w:rsidRPr="00B948BF">
        <w:t>P9_TA(2024)</w:t>
      </w:r>
      <w:bookmarkEnd w:id="0"/>
      <w:r w:rsidR="0054750D" w:rsidRPr="00B948BF">
        <w:t>0237</w:t>
      </w:r>
    </w:p>
    <w:p w:rsidR="00A165B9" w:rsidRPr="00B948BF" w:rsidRDefault="00A165B9" w:rsidP="00A165B9">
      <w:pPr>
        <w:pStyle w:val="ATHeading2"/>
      </w:pPr>
      <w:bookmarkStart w:id="1" w:name="title"/>
      <w:r w:rsidRPr="00B948BF">
        <w:t>Razrješnica za 2022.: Opći proračun EU-a – Ured europskog javnog tužitelja („EPPO”)</w:t>
      </w:r>
      <w:bookmarkEnd w:id="1"/>
    </w:p>
    <w:p w:rsidR="00A165B9" w:rsidRPr="00B948BF" w:rsidRDefault="00A165B9" w:rsidP="00A165B9">
      <w:pPr>
        <w:rPr>
          <w:i/>
          <w:vanish/>
        </w:rPr>
      </w:pPr>
      <w:r w:rsidRPr="00B948BF">
        <w:rPr>
          <w:i/>
        </w:rPr>
        <w:fldChar w:fldCharType="begin"/>
      </w:r>
      <w:r w:rsidRPr="00B948BF">
        <w:rPr>
          <w:i/>
        </w:rPr>
        <w:instrText xml:space="preserve"> TC"(</w:instrText>
      </w:r>
      <w:bookmarkStart w:id="2" w:name="DocNumber"/>
      <w:r w:rsidRPr="00B948BF">
        <w:rPr>
          <w:i/>
        </w:rPr>
        <w:instrText>A9-0117/2024</w:instrText>
      </w:r>
      <w:bookmarkEnd w:id="2"/>
      <w:r w:rsidRPr="00B948BF">
        <w:rPr>
          <w:i/>
        </w:rPr>
        <w:instrText xml:space="preserve"> - Izvjestitelj: Luke Ming Flanagan)"\l3 \n&gt; \* MERGEFORMAT </w:instrText>
      </w:r>
      <w:r w:rsidRPr="00B948BF">
        <w:rPr>
          <w:i/>
        </w:rPr>
        <w:fldChar w:fldCharType="end"/>
      </w:r>
    </w:p>
    <w:p w:rsidR="00A165B9" w:rsidRPr="00B948BF" w:rsidRDefault="00A165B9" w:rsidP="00A165B9">
      <w:pPr>
        <w:rPr>
          <w:vanish/>
        </w:rPr>
      </w:pPr>
      <w:bookmarkStart w:id="3" w:name="Commission"/>
      <w:r w:rsidRPr="00B948BF">
        <w:rPr>
          <w:vanish/>
        </w:rPr>
        <w:t>Odbor za proračunski nadzor</w:t>
      </w:r>
      <w:bookmarkEnd w:id="3"/>
    </w:p>
    <w:p w:rsidR="00A165B9" w:rsidRPr="00B948BF" w:rsidRDefault="00A165B9" w:rsidP="00A165B9">
      <w:pPr>
        <w:rPr>
          <w:vanish/>
        </w:rPr>
      </w:pPr>
      <w:bookmarkStart w:id="4" w:name="PE"/>
      <w:r w:rsidRPr="00B948BF">
        <w:rPr>
          <w:vanish/>
        </w:rPr>
        <w:t>PE753.489</w:t>
      </w:r>
      <w:bookmarkEnd w:id="4"/>
    </w:p>
    <w:p w:rsidR="00A165B9" w:rsidRPr="00B948BF" w:rsidRDefault="00B41197" w:rsidP="00A165B9">
      <w:pPr>
        <w:pStyle w:val="ATHeading3"/>
      </w:pPr>
      <w:bookmarkStart w:id="5" w:name="Sujet"/>
      <w:r w:rsidRPr="00B948BF">
        <w:t xml:space="preserve">1. </w:t>
      </w:r>
      <w:r w:rsidR="00A165B9" w:rsidRPr="00B948BF">
        <w:t>Odl</w:t>
      </w:r>
      <w:r w:rsidRPr="00B948BF">
        <w:t>uka Europskog parlamenta od 11. travnja</w:t>
      </w:r>
      <w:r w:rsidR="00A165B9" w:rsidRPr="00B948BF">
        <w:t xml:space="preserve"> 2024. o razrješnici za izvršenje proračuna Ureda europskog javnog tužitelja za financijsku godinu 2022.</w:t>
      </w:r>
      <w:bookmarkEnd w:id="5"/>
      <w:r w:rsidR="00A165B9" w:rsidRPr="00B948BF">
        <w:t xml:space="preserve"> </w:t>
      </w:r>
      <w:bookmarkStart w:id="6" w:name="References"/>
      <w:r w:rsidR="00A165B9" w:rsidRPr="00B948BF">
        <w:t>(2023/2139(DEC))</w:t>
      </w:r>
      <w:bookmarkEnd w:id="6"/>
    </w:p>
    <w:p w:rsidR="00A165B9" w:rsidRPr="00B948BF" w:rsidRDefault="00A165B9" w:rsidP="00A165B9"/>
    <w:p w:rsidR="00862215" w:rsidRPr="00B948BF" w:rsidRDefault="00862215" w:rsidP="00862215">
      <w:pPr>
        <w:pStyle w:val="EPComma"/>
      </w:pPr>
      <w:bookmarkStart w:id="7" w:name="TextBodyBegin"/>
      <w:bookmarkEnd w:id="7"/>
      <w:r w:rsidRPr="00B948BF">
        <w:rPr>
          <w:i/>
        </w:rPr>
        <w:t>Europski parlament</w:t>
      </w:r>
      <w:r w:rsidRPr="00B948BF">
        <w:t>,</w:t>
      </w:r>
    </w:p>
    <w:p w:rsidR="00862215" w:rsidRPr="00B948BF" w:rsidRDefault="00862215" w:rsidP="00862215">
      <w:pPr>
        <w:pStyle w:val="NormalHanging12a"/>
      </w:pPr>
      <w:r w:rsidRPr="00B948BF">
        <w:t>–</w:t>
      </w:r>
      <w:r w:rsidRPr="00B948BF">
        <w:tab/>
        <w:t>uzimajući u obzir završnu godišnju računovodstvenu dokumentaciju Ureda europskog javnog tužitelja za financijsku godinu 2022.,</w:t>
      </w:r>
    </w:p>
    <w:p w:rsidR="00862215" w:rsidRPr="00B948BF" w:rsidRDefault="00862215" w:rsidP="00862215">
      <w:pPr>
        <w:pStyle w:val="NormalHanging12a"/>
      </w:pPr>
      <w:r w:rsidRPr="00B948BF">
        <w:t>–</w:t>
      </w:r>
      <w:r w:rsidRPr="00B948BF">
        <w:tab/>
        <w:t>uzimajući u obzir godišnje izvješće Revizorskog suda o agencijama EU-a za financijsku godinu 2022., kojemu su priloženi odgovori agencija</w:t>
      </w:r>
      <w:r w:rsidRPr="00B948BF">
        <w:rPr>
          <w:rStyle w:val="FootnoteReference"/>
        </w:rPr>
        <w:footnoteReference w:id="1"/>
      </w:r>
      <w:r w:rsidRPr="00B948BF">
        <w:t>,</w:t>
      </w:r>
    </w:p>
    <w:p w:rsidR="00862215" w:rsidRPr="00B948BF" w:rsidRDefault="00862215" w:rsidP="00862215">
      <w:pPr>
        <w:pStyle w:val="NormalHanging12a"/>
      </w:pPr>
      <w:r w:rsidRPr="00B948BF">
        <w:t>–</w:t>
      </w:r>
      <w:r w:rsidRPr="00B948BF">
        <w:tab/>
        <w:t>uzimajući u obzir izjavu o jamstvu</w:t>
      </w:r>
      <w:r w:rsidRPr="00B948BF">
        <w:rPr>
          <w:rStyle w:val="FootnoteReference"/>
        </w:rPr>
        <w:footnoteReference w:id="2"/>
      </w:r>
      <w:r w:rsidRPr="00B948BF">
        <w:t xml:space="preserve"> u pogledu pouzdanosti računovodstvene dokumentacije te zakonitosti i pravilnosti temeljnih transakcija, koju je podnio Revizorski sud za financijsku godinu 2022., u skladu s člankom 287. Ugovora o funkcioniranju Europske unije,</w:t>
      </w:r>
    </w:p>
    <w:p w:rsidR="00862215" w:rsidRPr="00B948BF" w:rsidRDefault="00862215" w:rsidP="00862215">
      <w:pPr>
        <w:pStyle w:val="NormalHanging12a"/>
      </w:pPr>
      <w:r w:rsidRPr="00B948BF">
        <w:t>–</w:t>
      </w:r>
      <w:r w:rsidRPr="00B948BF">
        <w:tab/>
        <w:t>uzimajući u obzir preporuku Vijeća od 22. veljače 2024. o razrješnici koju treba dobiti Ured europskog javnog tužitelja za izvršenje proračuna za financijsku godinu 2022. (</w:t>
      </w:r>
      <w:r w:rsidR="00B41197" w:rsidRPr="004749F7">
        <w:t>06179</w:t>
      </w:r>
      <w:r w:rsidR="00B41197" w:rsidRPr="00B948BF">
        <w:t>/2024 – C9</w:t>
      </w:r>
      <w:r w:rsidR="00B41197" w:rsidRPr="00B948BF">
        <w:noBreakHyphen/>
        <w:t>0077</w:t>
      </w:r>
      <w:r w:rsidRPr="00B948BF">
        <w:t>/2024),</w:t>
      </w:r>
    </w:p>
    <w:p w:rsidR="00862215" w:rsidRPr="00B948BF" w:rsidRDefault="00862215" w:rsidP="00862215">
      <w:pPr>
        <w:pStyle w:val="NormalHanging12a"/>
      </w:pPr>
      <w:r w:rsidRPr="00B948BF">
        <w:t>–</w:t>
      </w:r>
      <w:r w:rsidRPr="00B948BF">
        <w:tab/>
        <w:t>uzimajući u obzir članak 319. Ugovora o funkcioniranju Europske unije,</w:t>
      </w:r>
    </w:p>
    <w:p w:rsidR="00862215" w:rsidRPr="00B948BF" w:rsidRDefault="00862215" w:rsidP="00862215">
      <w:pPr>
        <w:pStyle w:val="NormalHanging12a"/>
      </w:pPr>
      <w:r w:rsidRPr="00B948BF">
        <w:t>–</w:t>
      </w:r>
      <w:r w:rsidRPr="00B948BF">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B948BF">
        <w:rPr>
          <w:rStyle w:val="FootnoteReference"/>
        </w:rPr>
        <w:footnoteReference w:id="3"/>
      </w:r>
      <w:r w:rsidRPr="00B948BF">
        <w:t>, a posebno njezin članak 70.,</w:t>
      </w:r>
    </w:p>
    <w:p w:rsidR="00862215" w:rsidRPr="00B948BF" w:rsidRDefault="00862215" w:rsidP="00862215">
      <w:pPr>
        <w:pStyle w:val="NormalHanging12a"/>
      </w:pPr>
      <w:r w:rsidRPr="00B948BF">
        <w:t>–</w:t>
      </w:r>
      <w:r w:rsidRPr="00B948BF">
        <w:tab/>
        <w:t>uzimajući u obzir Uredbu Vijeća (EU) 2017/1939 od 12. listopada 2017. o provedbi pojačane suradnje u vezi s osnivanjem Ureda europskog javnog tužitelja</w:t>
      </w:r>
      <w:r w:rsidRPr="00B948BF">
        <w:rPr>
          <w:rStyle w:val="FootnoteReference"/>
        </w:rPr>
        <w:footnoteReference w:id="4"/>
      </w:r>
      <w:r w:rsidRPr="00B948BF">
        <w:t xml:space="preserve">, a posebno </w:t>
      </w:r>
      <w:r w:rsidRPr="00B948BF">
        <w:lastRenderedPageBreak/>
        <w:t>njezin članak 94.,</w:t>
      </w:r>
    </w:p>
    <w:p w:rsidR="00862215" w:rsidRPr="00B948BF" w:rsidRDefault="00862215" w:rsidP="00862215">
      <w:pPr>
        <w:pStyle w:val="NormalHanging12a"/>
      </w:pPr>
      <w:r w:rsidRPr="00B948BF">
        <w:t>–</w:t>
      </w:r>
      <w:r w:rsidRPr="00B948BF">
        <w:tab/>
        <w:t xml:space="preserve">uzimajući u obzir Delegiranu uredbu Komisije (EU) 2019/715 od 18. prosinca 2018. o okvirnoj financijskoj uredbi za tijela osnovana na temelju Ugovora o funkcioniranju Europske unije i Ugovora o </w:t>
      </w:r>
      <w:proofErr w:type="spellStart"/>
      <w:r w:rsidRPr="00B948BF">
        <w:t>Euratomu</w:t>
      </w:r>
      <w:proofErr w:type="spellEnd"/>
      <w:r w:rsidRPr="00B948BF">
        <w:t xml:space="preserve"> na koja se upućuje u članku 70. Uredbe (EU, Euratom) 2018/1046 Europskog parlamenta i Vijeća</w:t>
      </w:r>
      <w:r w:rsidRPr="00B948BF">
        <w:rPr>
          <w:rStyle w:val="FootnoteReference"/>
        </w:rPr>
        <w:footnoteReference w:id="5"/>
      </w:r>
      <w:r w:rsidRPr="00B948BF">
        <w:t>, a posebno njezin članak 105,</w:t>
      </w:r>
    </w:p>
    <w:p w:rsidR="00862215" w:rsidRPr="00B948BF" w:rsidRDefault="00862215" w:rsidP="00862215">
      <w:pPr>
        <w:pStyle w:val="NormalHanging12a"/>
      </w:pPr>
      <w:r w:rsidRPr="00B948BF">
        <w:t>–</w:t>
      </w:r>
      <w:r w:rsidRPr="00B948BF">
        <w:tab/>
        <w:t>uzimajući u obzir članak 100. Poslovnika i Prilog V. Poslovniku,</w:t>
      </w:r>
    </w:p>
    <w:p w:rsidR="00862215" w:rsidRPr="00B948BF" w:rsidRDefault="00862215" w:rsidP="00862215">
      <w:pPr>
        <w:pStyle w:val="NormalHanging12a"/>
      </w:pPr>
      <w:r w:rsidRPr="00B948BF">
        <w:t>–</w:t>
      </w:r>
      <w:r w:rsidRPr="00B948BF">
        <w:tab/>
        <w:t>uzimajući u obzir mišljenje Odbora za pravna pitanja,</w:t>
      </w:r>
    </w:p>
    <w:p w:rsidR="00862215" w:rsidRPr="00B948BF" w:rsidRDefault="00862215" w:rsidP="00862215">
      <w:pPr>
        <w:pStyle w:val="NormalHanging12a"/>
      </w:pPr>
      <w:r w:rsidRPr="00B948BF">
        <w:t>–</w:t>
      </w:r>
      <w:r w:rsidRPr="00B948BF">
        <w:tab/>
        <w:t>uzimajući u obzir mišljenje Odbora za građanske slobode, pravosuđe i unutarnje poslove,</w:t>
      </w:r>
    </w:p>
    <w:p w:rsidR="00862215" w:rsidRPr="00B948BF" w:rsidRDefault="00862215" w:rsidP="00862215">
      <w:pPr>
        <w:pStyle w:val="NormalHanging12a"/>
      </w:pPr>
      <w:r w:rsidRPr="00B948BF">
        <w:t>–</w:t>
      </w:r>
      <w:r w:rsidRPr="00B948BF">
        <w:tab/>
        <w:t>uzimajući u obzir izvješće Odbora za proračunski nadzor (A9</w:t>
      </w:r>
      <w:r w:rsidRPr="00B948BF">
        <w:noBreakHyphen/>
        <w:t>0117/2024),</w:t>
      </w:r>
    </w:p>
    <w:p w:rsidR="00862215" w:rsidRPr="00B948BF" w:rsidRDefault="00862215" w:rsidP="00862215">
      <w:pPr>
        <w:pStyle w:val="NormalHanging12a"/>
      </w:pPr>
      <w:r w:rsidRPr="00B948BF">
        <w:t>1.</w:t>
      </w:r>
      <w:r w:rsidRPr="00B948BF">
        <w:tab/>
        <w:t>daje razrješnicu upravnom direktoru Ureda europskog javnog tužitelja za izvršenje proračuna Ureda europskog javnog tužitelja za financijsku godinu 2022.;</w:t>
      </w:r>
    </w:p>
    <w:p w:rsidR="00862215" w:rsidRPr="00B948BF" w:rsidRDefault="00862215" w:rsidP="00862215">
      <w:pPr>
        <w:pStyle w:val="NormalHanging12a"/>
      </w:pPr>
      <w:r w:rsidRPr="00B948BF">
        <w:t>2.</w:t>
      </w:r>
      <w:r w:rsidRPr="00B948BF">
        <w:tab/>
        <w:t>iznosi svoje primjedbe u Rezoluciji u nastavku;</w:t>
      </w:r>
    </w:p>
    <w:p w:rsidR="00862215" w:rsidRPr="00B948BF" w:rsidRDefault="00862215" w:rsidP="00862215">
      <w:pPr>
        <w:pStyle w:val="NormalHanging12a"/>
      </w:pPr>
      <w:r w:rsidRPr="00B948BF">
        <w:t>3.</w:t>
      </w:r>
      <w:r w:rsidRPr="00B948BF">
        <w:tab/>
        <w:t xml:space="preserve">nalaže svojoj predsjednici da ovu Odluku i Rezoluciju, koja je njezin sastavni dio, proslijedi upravnom direktoru Ureda europskog javnog tužitelja, Europskom vijeću, Vijeću, Komisiji i Revizorskom sudu te da ih da na objavu u </w:t>
      </w:r>
      <w:r w:rsidRPr="00B948BF">
        <w:rPr>
          <w:i/>
        </w:rPr>
        <w:t>Službenom listu Europske unije</w:t>
      </w:r>
      <w:r w:rsidRPr="00B948BF">
        <w:t xml:space="preserve"> (serija L).</w:t>
      </w:r>
    </w:p>
    <w:p w:rsidR="00862215" w:rsidRPr="00B948BF" w:rsidRDefault="00862215" w:rsidP="00862215"/>
    <w:p w:rsidR="00862215" w:rsidRPr="00B948BF" w:rsidRDefault="00862215" w:rsidP="00862215">
      <w:pPr>
        <w:pStyle w:val="PageHeading"/>
        <w:sectPr w:rsidR="00862215" w:rsidRPr="00B948BF" w:rsidSect="00221E4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62215" w:rsidRPr="00B948BF" w:rsidRDefault="00B41197" w:rsidP="00B41197">
      <w:pPr>
        <w:pStyle w:val="PageHeading"/>
        <w:jc w:val="left"/>
        <w:rPr>
          <w:rFonts w:ascii="Times New Roman" w:hAnsi="Times New Roman" w:cs="Times New Roman"/>
        </w:rPr>
      </w:pPr>
      <w:bookmarkStart w:id="8" w:name="_Toc161991712"/>
      <w:r w:rsidRPr="00B948BF">
        <w:rPr>
          <w:rFonts w:ascii="Times New Roman" w:hAnsi="Times New Roman" w:cs="Times New Roman"/>
        </w:rPr>
        <w:lastRenderedPageBreak/>
        <w:t>2. Odluka Europskog parlamenta</w:t>
      </w:r>
      <w:bookmarkEnd w:id="8"/>
      <w:r w:rsidRPr="00B948BF">
        <w:rPr>
          <w:rFonts w:ascii="Times New Roman" w:hAnsi="Times New Roman" w:cs="Times New Roman"/>
        </w:rPr>
        <w:t xml:space="preserve"> od 11. travnja 2024. </w:t>
      </w:r>
      <w:r w:rsidR="00862215" w:rsidRPr="00B948BF">
        <w:rPr>
          <w:rFonts w:ascii="Times New Roman" w:hAnsi="Times New Roman" w:cs="Times New Roman"/>
        </w:rPr>
        <w:t>o zaključenju poslovnih knjiga Ureda europskog javnog tužitelja za financijsku godinu 2022.</w:t>
      </w:r>
      <w:r w:rsidRPr="00B948BF">
        <w:rPr>
          <w:rFonts w:ascii="Times New Roman" w:hAnsi="Times New Roman" w:cs="Times New Roman"/>
        </w:rPr>
        <w:t xml:space="preserve"> </w:t>
      </w:r>
      <w:r w:rsidR="00862215" w:rsidRPr="00B948BF">
        <w:rPr>
          <w:rFonts w:ascii="Times New Roman" w:hAnsi="Times New Roman" w:cs="Times New Roman"/>
        </w:rPr>
        <w:t>(2023/2139(DEC))</w:t>
      </w:r>
    </w:p>
    <w:p w:rsidR="00862215" w:rsidRPr="00B948BF" w:rsidRDefault="00862215" w:rsidP="00862215">
      <w:pPr>
        <w:pStyle w:val="EPComma"/>
      </w:pPr>
      <w:r w:rsidRPr="00B948BF">
        <w:rPr>
          <w:i/>
        </w:rPr>
        <w:t>Europski parlament</w:t>
      </w:r>
      <w:r w:rsidRPr="00B948BF">
        <w:t>,</w:t>
      </w:r>
    </w:p>
    <w:p w:rsidR="00862215" w:rsidRPr="00B948BF" w:rsidRDefault="00862215" w:rsidP="00862215">
      <w:pPr>
        <w:pStyle w:val="NormalHanging12a"/>
      </w:pPr>
      <w:r w:rsidRPr="00B948BF">
        <w:t>–</w:t>
      </w:r>
      <w:r w:rsidRPr="00B948BF">
        <w:tab/>
        <w:t>uzimajući u obzir završnu godišnju računovodstvenu dokumentaciju Ureda europskog javnog tužitelja za financijsku godinu 2022.,</w:t>
      </w:r>
    </w:p>
    <w:p w:rsidR="00862215" w:rsidRPr="00B948BF" w:rsidRDefault="00862215" w:rsidP="00862215">
      <w:pPr>
        <w:pStyle w:val="NormalHanging12a"/>
      </w:pPr>
      <w:r w:rsidRPr="00B948BF">
        <w:t>–</w:t>
      </w:r>
      <w:r w:rsidRPr="00B948BF">
        <w:tab/>
        <w:t>uzimajući u obzir godišnje izvješće Revizorskog suda o agencijama EU-a za financijsku godinu 2022., kojemu su priloženi odgovori agencija</w:t>
      </w:r>
      <w:r w:rsidRPr="00B948BF">
        <w:rPr>
          <w:rStyle w:val="FootnoteReference"/>
        </w:rPr>
        <w:footnoteReference w:id="6"/>
      </w:r>
      <w:r w:rsidRPr="00B948BF">
        <w:t>,</w:t>
      </w:r>
    </w:p>
    <w:p w:rsidR="00862215" w:rsidRPr="00B948BF" w:rsidRDefault="00862215" w:rsidP="00862215">
      <w:pPr>
        <w:pStyle w:val="NormalHanging12a"/>
      </w:pPr>
      <w:r w:rsidRPr="00B948BF">
        <w:t>–</w:t>
      </w:r>
      <w:r w:rsidRPr="00B948BF">
        <w:tab/>
        <w:t>uzimajući u obzir izjavu o jamstvu</w:t>
      </w:r>
      <w:r w:rsidRPr="00B948BF">
        <w:rPr>
          <w:rStyle w:val="FootnoteReference"/>
        </w:rPr>
        <w:footnoteReference w:id="7"/>
      </w:r>
      <w:r w:rsidRPr="00B948BF">
        <w:t xml:space="preserve"> u pogledu pouzdanosti računovodstvene dokumentacije te zakonitosti i pravilnosti temeljnih transakcija, koju je podnio Revizorski sud za financijsku godinu 2022., u skladu s člankom 287. Ugovora o funkcioniranju Europske unije,</w:t>
      </w:r>
    </w:p>
    <w:p w:rsidR="00862215" w:rsidRPr="00B948BF" w:rsidRDefault="00862215" w:rsidP="00862215">
      <w:pPr>
        <w:pStyle w:val="NormalHanging12a"/>
      </w:pPr>
      <w:r w:rsidRPr="00B948BF">
        <w:t>–</w:t>
      </w:r>
      <w:r w:rsidRPr="00B948BF">
        <w:tab/>
        <w:t>uzimajući u obzir preporuku Vijeća od 22. veljače 2024. o razrješnici koju treba dobiti Ured europskog javnog tužitelja za izvršenje proračuna za financijsku godinu 2022. (</w:t>
      </w:r>
      <w:r w:rsidR="00B41197" w:rsidRPr="004749F7">
        <w:t>(06179</w:t>
      </w:r>
      <w:r w:rsidRPr="00B948BF">
        <w:t>/2024 – C9</w:t>
      </w:r>
      <w:r w:rsidRPr="00B948BF">
        <w:noBreakHyphen/>
        <w:t>00</w:t>
      </w:r>
      <w:r w:rsidR="00B41197" w:rsidRPr="00B948BF">
        <w:t>77</w:t>
      </w:r>
      <w:r w:rsidRPr="00B948BF">
        <w:t>/2024),</w:t>
      </w:r>
    </w:p>
    <w:p w:rsidR="00862215" w:rsidRPr="00B948BF" w:rsidRDefault="00862215" w:rsidP="00862215">
      <w:pPr>
        <w:pStyle w:val="NormalHanging12a"/>
      </w:pPr>
      <w:r w:rsidRPr="00B948BF">
        <w:t>–</w:t>
      </w:r>
      <w:r w:rsidRPr="00B948BF">
        <w:tab/>
        <w:t>uzimajući u obzir članak 319. Ugovora o funkcioniranju Europske unije,</w:t>
      </w:r>
    </w:p>
    <w:p w:rsidR="00862215" w:rsidRPr="00B948BF" w:rsidRDefault="00862215" w:rsidP="00862215">
      <w:pPr>
        <w:pStyle w:val="NormalHanging12a"/>
      </w:pPr>
      <w:r w:rsidRPr="00B948BF">
        <w:t>–</w:t>
      </w:r>
      <w:r w:rsidRPr="00B948BF">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B948BF">
        <w:rPr>
          <w:rStyle w:val="FootnoteReference"/>
        </w:rPr>
        <w:footnoteReference w:id="8"/>
      </w:r>
      <w:r w:rsidRPr="00B948BF">
        <w:t>, a posebno njezin članak 70.,</w:t>
      </w:r>
    </w:p>
    <w:p w:rsidR="00862215" w:rsidRPr="00B948BF" w:rsidRDefault="00862215" w:rsidP="00862215">
      <w:pPr>
        <w:pStyle w:val="NormalHanging12a"/>
      </w:pPr>
      <w:r w:rsidRPr="00B948BF">
        <w:t>–</w:t>
      </w:r>
      <w:r w:rsidRPr="00B948BF">
        <w:tab/>
        <w:t>uzimajući u obzir Uredbu Vijeća (EU) 2017/1939 od 12. listopada 2017. o provedbi pojačane suradnje u vezi s osnivanjem Ureda europskog javnog tužitelja</w:t>
      </w:r>
      <w:r w:rsidRPr="00B948BF">
        <w:rPr>
          <w:rStyle w:val="FootnoteReference"/>
        </w:rPr>
        <w:footnoteReference w:id="9"/>
      </w:r>
      <w:r w:rsidRPr="00B948BF">
        <w:t>, a posebno njezin članak 94.,</w:t>
      </w:r>
    </w:p>
    <w:p w:rsidR="00862215" w:rsidRPr="00B948BF" w:rsidRDefault="00862215" w:rsidP="00862215">
      <w:pPr>
        <w:pStyle w:val="NormalHanging12a"/>
      </w:pPr>
      <w:r w:rsidRPr="00B948BF">
        <w:t>–</w:t>
      </w:r>
      <w:r w:rsidRPr="00B948BF">
        <w:tab/>
        <w:t xml:space="preserve">uzimajući u obzir Delegiranu uredbu Komisije (EU) 2019/715 od 18. prosinca 2018. o okvirnoj financijskoj uredbi za tijela osnovana na temelju Ugovora o funkcioniranju Europske unije i Ugovora o </w:t>
      </w:r>
      <w:proofErr w:type="spellStart"/>
      <w:r w:rsidRPr="00B948BF">
        <w:t>Euratomu</w:t>
      </w:r>
      <w:proofErr w:type="spellEnd"/>
      <w:r w:rsidRPr="00B948BF">
        <w:t xml:space="preserve"> na koja se upućuje u članku 70. Uredbe (EU, Euratom) 2018/1046 Europskog parlamenta i Vijeća</w:t>
      </w:r>
      <w:r w:rsidRPr="00B948BF">
        <w:rPr>
          <w:rStyle w:val="FootnoteReference"/>
        </w:rPr>
        <w:footnoteReference w:id="10"/>
      </w:r>
      <w:r w:rsidRPr="00B948BF">
        <w:t>, a posebno njezin članak 105,</w:t>
      </w:r>
    </w:p>
    <w:p w:rsidR="00862215" w:rsidRPr="00B948BF" w:rsidRDefault="00862215" w:rsidP="00862215">
      <w:pPr>
        <w:pStyle w:val="NormalHanging12a"/>
      </w:pPr>
      <w:r w:rsidRPr="00B948BF">
        <w:t>–</w:t>
      </w:r>
      <w:r w:rsidRPr="00B948BF">
        <w:tab/>
        <w:t>uzimajući u obzir članak 100. Poslovnika i Prilog V. Poslovniku,</w:t>
      </w:r>
    </w:p>
    <w:p w:rsidR="00862215" w:rsidRPr="00B948BF" w:rsidRDefault="00862215" w:rsidP="00862215">
      <w:pPr>
        <w:pStyle w:val="NormalHanging12a"/>
      </w:pPr>
      <w:r w:rsidRPr="00B948BF">
        <w:t>–</w:t>
      </w:r>
      <w:r w:rsidRPr="00B948BF">
        <w:tab/>
        <w:t>uzimajući u obzir mišljenje Odbora za pravna pitanja,</w:t>
      </w:r>
    </w:p>
    <w:p w:rsidR="00862215" w:rsidRPr="00B948BF" w:rsidRDefault="00862215" w:rsidP="00862215">
      <w:pPr>
        <w:pStyle w:val="NormalHanging12a"/>
      </w:pPr>
      <w:r w:rsidRPr="00B948BF">
        <w:t>–</w:t>
      </w:r>
      <w:r w:rsidRPr="00B948BF">
        <w:tab/>
        <w:t>uzimajući u obzir mišljenje Odbora za građanske slobode, pravosuđe i unutarnje poslove,</w:t>
      </w:r>
    </w:p>
    <w:p w:rsidR="00862215" w:rsidRPr="00B948BF" w:rsidRDefault="00862215" w:rsidP="00862215">
      <w:pPr>
        <w:pStyle w:val="NormalHanging12a"/>
      </w:pPr>
      <w:r w:rsidRPr="00B948BF">
        <w:t>–</w:t>
      </w:r>
      <w:r w:rsidRPr="00B948BF">
        <w:tab/>
        <w:t>uzimajući u obzir izvješće Odbora za proračunski nadzor (A9</w:t>
      </w:r>
      <w:r w:rsidRPr="00B948BF">
        <w:noBreakHyphen/>
        <w:t>0117/2024),</w:t>
      </w:r>
    </w:p>
    <w:p w:rsidR="00862215" w:rsidRPr="00B948BF" w:rsidRDefault="00862215" w:rsidP="00862215">
      <w:pPr>
        <w:pStyle w:val="NormalHanging12a"/>
      </w:pPr>
      <w:r w:rsidRPr="00B948BF">
        <w:lastRenderedPageBreak/>
        <w:t>1.</w:t>
      </w:r>
      <w:r w:rsidRPr="00B948BF">
        <w:tab/>
        <w:t>odobrava zaključenje poslovnih knjiga Ureda europskog javnog tužitelja za financijsku godinu 2022.;</w:t>
      </w:r>
    </w:p>
    <w:p w:rsidR="00862215" w:rsidRPr="00B948BF" w:rsidRDefault="00862215" w:rsidP="00862215">
      <w:pPr>
        <w:pStyle w:val="NormalHanging12a"/>
      </w:pPr>
      <w:r w:rsidRPr="00B948BF">
        <w:t>2.</w:t>
      </w:r>
      <w:r w:rsidRPr="00B948BF">
        <w:tab/>
        <w:t xml:space="preserve">nalaže svojoj predsjednici da ovu Odluku proslijedi upravnom direktoru Ureda europskog javnog tužitelja, Europskom vijeću, Vijeću, Komisiji i Revizorskom sudu te da je da na objavu u </w:t>
      </w:r>
      <w:r w:rsidRPr="00B948BF">
        <w:rPr>
          <w:i/>
        </w:rPr>
        <w:t>Službenom listu Europske unije</w:t>
      </w:r>
      <w:r w:rsidRPr="00B948BF">
        <w:t xml:space="preserve"> (serija L).</w:t>
      </w:r>
    </w:p>
    <w:p w:rsidR="00862215" w:rsidRPr="00B948BF" w:rsidRDefault="00862215" w:rsidP="00862215"/>
    <w:p w:rsidR="00862215" w:rsidRPr="00B948BF" w:rsidRDefault="00862215" w:rsidP="00862215">
      <w:pPr>
        <w:pStyle w:val="PageHeading"/>
        <w:sectPr w:rsidR="00862215" w:rsidRPr="00B948BF" w:rsidSect="00221E40">
          <w:footnotePr>
            <w:numRestart w:val="eachPage"/>
          </w:footnotePr>
          <w:endnotePr>
            <w:numFmt w:val="decimal"/>
          </w:endnotePr>
          <w:pgSz w:w="11906" w:h="16838" w:code="9"/>
          <w:pgMar w:top="1134" w:right="1418" w:bottom="1418" w:left="1418" w:header="567" w:footer="567" w:gutter="0"/>
          <w:cols w:space="720"/>
          <w:noEndnote/>
          <w:docGrid w:linePitch="326"/>
        </w:sectPr>
      </w:pPr>
    </w:p>
    <w:p w:rsidR="00862215" w:rsidRPr="00B948BF" w:rsidRDefault="00B41197" w:rsidP="00B41197">
      <w:pPr>
        <w:pStyle w:val="PageHeading"/>
        <w:jc w:val="left"/>
        <w:rPr>
          <w:rFonts w:ascii="Times New Roman" w:hAnsi="Times New Roman" w:cs="Times New Roman"/>
        </w:rPr>
      </w:pPr>
      <w:bookmarkStart w:id="9" w:name="_Toc161991713"/>
      <w:r w:rsidRPr="00B948BF">
        <w:rPr>
          <w:rFonts w:ascii="Times New Roman" w:hAnsi="Times New Roman" w:cs="Times New Roman"/>
        </w:rPr>
        <w:lastRenderedPageBreak/>
        <w:t>3. Rezolucija Europskog parlamenta</w:t>
      </w:r>
      <w:bookmarkEnd w:id="9"/>
      <w:r w:rsidRPr="00B948BF">
        <w:rPr>
          <w:rFonts w:ascii="Times New Roman" w:hAnsi="Times New Roman" w:cs="Times New Roman"/>
        </w:rPr>
        <w:t xml:space="preserve"> od 11. travnja 2024. </w:t>
      </w:r>
      <w:r w:rsidR="00862215" w:rsidRPr="00B948BF">
        <w:rPr>
          <w:rFonts w:ascii="Times New Roman" w:hAnsi="Times New Roman" w:cs="Times New Roman"/>
        </w:rPr>
        <w:t>s primjedbama koje su sastavni dio Odluke o razrješnici za izvršenje proračuna Ureda europskog javnog tužitelja za financijsku godinu 2022.</w:t>
      </w:r>
      <w:r w:rsidRPr="00B948BF">
        <w:rPr>
          <w:rFonts w:ascii="Times New Roman" w:hAnsi="Times New Roman" w:cs="Times New Roman"/>
        </w:rPr>
        <w:t xml:space="preserve"> </w:t>
      </w:r>
      <w:r w:rsidR="00862215" w:rsidRPr="00B948BF">
        <w:rPr>
          <w:rFonts w:ascii="Times New Roman" w:hAnsi="Times New Roman" w:cs="Times New Roman"/>
        </w:rPr>
        <w:t>(2023/2139(DEC))</w:t>
      </w:r>
    </w:p>
    <w:p w:rsidR="00862215" w:rsidRPr="00B948BF" w:rsidRDefault="00862215" w:rsidP="00862215">
      <w:pPr>
        <w:pStyle w:val="EPComma"/>
      </w:pPr>
      <w:r w:rsidRPr="00B948BF">
        <w:rPr>
          <w:i/>
        </w:rPr>
        <w:t>Europski parlament</w:t>
      </w:r>
      <w:r w:rsidRPr="00B948BF">
        <w:t>,</w:t>
      </w:r>
    </w:p>
    <w:p w:rsidR="00862215" w:rsidRPr="00B948BF" w:rsidRDefault="00862215" w:rsidP="00862215">
      <w:pPr>
        <w:pStyle w:val="NormalHanging12a"/>
      </w:pPr>
      <w:r w:rsidRPr="00B948BF">
        <w:t>–</w:t>
      </w:r>
      <w:r w:rsidRPr="00B948BF">
        <w:tab/>
        <w:t>uzimajući u obzir svoju Odluku o razrješnici za izvršenje proračuna Ureda europskog javnog tužitelja za financijsku godinu 2022.,</w:t>
      </w:r>
    </w:p>
    <w:p w:rsidR="00862215" w:rsidRPr="00B948BF" w:rsidRDefault="00862215" w:rsidP="00862215">
      <w:pPr>
        <w:pStyle w:val="NormalHanging12a"/>
      </w:pPr>
      <w:r w:rsidRPr="00B948BF">
        <w:t>–</w:t>
      </w:r>
      <w:r w:rsidRPr="00B948BF">
        <w:tab/>
        <w:t>uzimajući u obzir članak 100. Poslovnika i Prilog V. Poslovniku,</w:t>
      </w:r>
    </w:p>
    <w:p w:rsidR="00862215" w:rsidRPr="00B948BF" w:rsidRDefault="00862215" w:rsidP="00862215">
      <w:pPr>
        <w:pStyle w:val="NormalHanging12a"/>
      </w:pPr>
      <w:r w:rsidRPr="00B948BF">
        <w:t>–</w:t>
      </w:r>
      <w:r w:rsidRPr="00B948BF">
        <w:tab/>
        <w:t>uzimajući u obzir mišljenje Odbora za pravna pitanja,</w:t>
      </w:r>
    </w:p>
    <w:p w:rsidR="00862215" w:rsidRPr="00B948BF" w:rsidRDefault="00862215" w:rsidP="00862215">
      <w:pPr>
        <w:pStyle w:val="NormalHanging12a"/>
      </w:pPr>
      <w:r w:rsidRPr="00B948BF">
        <w:t>–</w:t>
      </w:r>
      <w:r w:rsidRPr="00B948BF">
        <w:tab/>
        <w:t>uzimajući u obzir mišljenje Odbora za građanske slobode, pravosuđe i unutarnje poslove,</w:t>
      </w:r>
    </w:p>
    <w:p w:rsidR="00862215" w:rsidRPr="00B948BF" w:rsidRDefault="00862215" w:rsidP="00862215">
      <w:pPr>
        <w:pStyle w:val="NormalHanging12a"/>
      </w:pPr>
      <w:r w:rsidRPr="00B948BF">
        <w:t>–</w:t>
      </w:r>
      <w:r w:rsidRPr="00B948BF">
        <w:tab/>
        <w:t>uzimajući u obzir izvješće Odbora za proračunski nadzor (A9</w:t>
      </w:r>
      <w:r w:rsidRPr="00B948BF">
        <w:noBreakHyphen/>
        <w:t>0117/2024),</w:t>
      </w:r>
    </w:p>
    <w:p w:rsidR="00862215" w:rsidRPr="00B948BF" w:rsidRDefault="00862215" w:rsidP="00862215">
      <w:pPr>
        <w:pStyle w:val="NormalHanging12a"/>
        <w:rPr>
          <w:szCs w:val="24"/>
        </w:rPr>
      </w:pPr>
      <w:r w:rsidRPr="00B948BF">
        <w:t>A.</w:t>
      </w:r>
      <w:r w:rsidRPr="00B948BF">
        <w:tab/>
        <w:t>budući da je Ured europskog javnog tužitelja (EPPO) neovisni ured javnog tužitelja Unije i odgovoran je za istragu i kazneni progon kaznenih djela koja utječu na financijske interese Unije te za podizanje optužnica protiv počinitelja i sudionika kaznenih djela koja su predviđena u Direktivi (EU) 2017/1371 Europskog parlamenta i Vijeća od 5. srpnja 2017. o suzbijanju prevara počinjenih protiv financijskih interesa Unije kaznenopravnim sredstvima</w:t>
      </w:r>
      <w:r w:rsidRPr="00B948BF">
        <w:rPr>
          <w:rStyle w:val="FootnoteReference"/>
          <w:szCs w:val="24"/>
        </w:rPr>
        <w:footnoteReference w:id="11"/>
      </w:r>
      <w:r w:rsidRPr="00B948BF">
        <w:t xml:space="preserve"> i utvrđena u Uredbi Vijeća (EU) 2017/1939 od 12. listopada 2017. o provedbi pojačane suradnje u vezi s osnivanjem Ureda;</w:t>
      </w:r>
    </w:p>
    <w:p w:rsidR="00862215" w:rsidRPr="00B948BF" w:rsidRDefault="00862215" w:rsidP="00862215">
      <w:pPr>
        <w:pStyle w:val="NormalHanging12a"/>
        <w:rPr>
          <w:color w:val="000000"/>
          <w:szCs w:val="24"/>
        </w:rPr>
      </w:pPr>
      <w:r w:rsidRPr="00B948BF">
        <w:t xml:space="preserve">B. </w:t>
      </w:r>
      <w:r w:rsidRPr="00B948BF">
        <w:tab/>
      </w:r>
      <w:r w:rsidRPr="00B948BF">
        <w:rPr>
          <w:color w:val="000000"/>
        </w:rPr>
        <w:t>budući da nadležnost EPPO-a obuhvaća nekoliko vrsta prevara te uključuje među ostalim prevare u vezi s PDV-om sa štetom većom od 10 milijuna EUR, pranje novca, korupciju i druge u pogledu kojih EPPO obavlja funkcije tužitelja pred nadležnim sudovima država članica sudionica do konačnog zaključenja predmeta;</w:t>
      </w:r>
    </w:p>
    <w:p w:rsidR="00862215" w:rsidRPr="00B948BF" w:rsidRDefault="00862215" w:rsidP="00862215">
      <w:pPr>
        <w:pStyle w:val="NormalHanging12a"/>
        <w:rPr>
          <w:szCs w:val="24"/>
        </w:rPr>
      </w:pPr>
      <w:r w:rsidRPr="00B948BF">
        <w:rPr>
          <w:color w:val="000000"/>
        </w:rPr>
        <w:t xml:space="preserve">C. </w:t>
      </w:r>
      <w:r w:rsidRPr="00B948BF">
        <w:rPr>
          <w:color w:val="000000"/>
        </w:rPr>
        <w:tab/>
        <w:t>budući da je Ured europskog javnog tužitelja jedno od tijela strukture Europske unije za borbu protiv prevara i da su njegove mjere kao takve koordinirane i komplementarne s mjerama drugih tijela te strukture s ciljem postizanja konačnog rezultata koji je veći od zbroja njegovih pojedinačnih dijelova;</w:t>
      </w:r>
    </w:p>
    <w:p w:rsidR="00862215" w:rsidRPr="00B948BF" w:rsidRDefault="00862215" w:rsidP="00862215">
      <w:pPr>
        <w:pStyle w:val="NormalHanging12a"/>
        <w:rPr>
          <w:szCs w:val="24"/>
        </w:rPr>
      </w:pPr>
      <w:r w:rsidRPr="00B948BF">
        <w:t>D.</w:t>
      </w:r>
      <w:r w:rsidRPr="00B948BF">
        <w:tab/>
        <w:t xml:space="preserve">budući da EPPO intervenira u scenariju u kojem bi samo nacionalna tijela mogla istraživati i kazneno goniti ta kaznena djela, ali njihove ovlasti prestaju na granicama njihove zemlje, a druge organizacije kao što su </w:t>
      </w:r>
      <w:proofErr w:type="spellStart"/>
      <w:r w:rsidRPr="00B948BF">
        <w:t>Eurojust</w:t>
      </w:r>
      <w:proofErr w:type="spellEnd"/>
      <w:r w:rsidRPr="00B948BF">
        <w:t xml:space="preserve">, OLAF i </w:t>
      </w:r>
      <w:proofErr w:type="spellStart"/>
      <w:r w:rsidRPr="00B948BF">
        <w:t>Europol</w:t>
      </w:r>
      <w:proofErr w:type="spellEnd"/>
      <w:r w:rsidRPr="00B948BF">
        <w:t xml:space="preserve"> nisu imale potrebne ovlasti za provedbu relevantnih kaznenih istraga i progona;</w:t>
      </w:r>
    </w:p>
    <w:p w:rsidR="00862215" w:rsidRPr="00B948BF" w:rsidRDefault="00862215" w:rsidP="00862215">
      <w:pPr>
        <w:pStyle w:val="NormalHanging12a"/>
        <w:rPr>
          <w:szCs w:val="24"/>
        </w:rPr>
      </w:pPr>
      <w:r w:rsidRPr="00B948BF">
        <w:t xml:space="preserve">E. </w:t>
      </w:r>
      <w:r w:rsidRPr="00B948BF">
        <w:tab/>
        <w:t xml:space="preserve">budući da </w:t>
      </w:r>
      <w:proofErr w:type="spellStart"/>
      <w:r w:rsidRPr="00B948BF">
        <w:t>postupovni</w:t>
      </w:r>
      <w:proofErr w:type="spellEnd"/>
      <w:r w:rsidRPr="00B948BF">
        <w:t xml:space="preserve"> akti EPPO-a podliježu sudskom preispitivanju od strane nacionalnih sudova i da Sud Europske unije („Sud”) – preko prethodnih odluka ili sudskih preispitivanja tih akata – ima preostale ovlasti kako bi se osigurala dosljedna primjena prava EU-a;</w:t>
      </w:r>
    </w:p>
    <w:p w:rsidR="00862215" w:rsidRPr="00B948BF" w:rsidRDefault="00862215" w:rsidP="00862215">
      <w:pPr>
        <w:pStyle w:val="NormalHanging12a"/>
        <w:rPr>
          <w:color w:val="000000"/>
          <w:szCs w:val="24"/>
        </w:rPr>
      </w:pPr>
      <w:r w:rsidRPr="00B948BF">
        <w:t xml:space="preserve">F. </w:t>
      </w:r>
      <w:r w:rsidRPr="00B948BF">
        <w:tab/>
      </w:r>
      <w:r w:rsidRPr="00B948BF">
        <w:rPr>
          <w:color w:val="000000"/>
        </w:rPr>
        <w:t xml:space="preserve">budući da se EPPO sastoji od središnje razine, sa sjedištem u Luxembourgu, koja se sastoji od glavnog europskog tužitelja, 22 europska tužitelja (po jedan iz svake države EU-a koja u njemu sudjeluje) i upravnog direktora, te od decentralizirane (nacionalne) razine koja se sastoji od delegiranih europskih tužitelja u 22 države članice EU-a koje u </w:t>
      </w:r>
      <w:r w:rsidRPr="00B948BF">
        <w:rPr>
          <w:color w:val="000000"/>
        </w:rPr>
        <w:lastRenderedPageBreak/>
        <w:t>njemu sudjeluju;</w:t>
      </w:r>
    </w:p>
    <w:p w:rsidR="00862215" w:rsidRPr="00B948BF" w:rsidRDefault="00862215" w:rsidP="00862215">
      <w:pPr>
        <w:spacing w:after="240"/>
        <w:ind w:left="567" w:hanging="567"/>
        <w:rPr>
          <w:color w:val="000000"/>
          <w:szCs w:val="24"/>
        </w:rPr>
      </w:pPr>
      <w:r w:rsidRPr="00B948BF">
        <w:rPr>
          <w:color w:val="000000"/>
        </w:rPr>
        <w:t xml:space="preserve">G. </w:t>
      </w:r>
      <w:r w:rsidRPr="00B948BF">
        <w:rPr>
          <w:color w:val="000000"/>
        </w:rPr>
        <w:tab/>
        <w:t>budući da na središnjoj razini glavni europski tužitelj i 22 europska tužitelja čine kolegij EPPO-a te nadziru istrage i kazneni progon koje provode delegirani europski tužitelji na nacionalnoj razini, koji djeluju potpuno neovisno o svojim nacionalnim tijelima;</w:t>
      </w:r>
    </w:p>
    <w:p w:rsidR="00862215" w:rsidRPr="00B948BF" w:rsidRDefault="00862215" w:rsidP="00862215">
      <w:pPr>
        <w:spacing w:after="240"/>
        <w:ind w:left="567" w:hanging="567"/>
        <w:rPr>
          <w:color w:val="000000"/>
          <w:szCs w:val="24"/>
        </w:rPr>
      </w:pPr>
      <w:r w:rsidRPr="00B948BF">
        <w:rPr>
          <w:color w:val="000000"/>
        </w:rPr>
        <w:t xml:space="preserve">H. </w:t>
      </w:r>
      <w:r w:rsidRPr="00B948BF">
        <w:rPr>
          <w:color w:val="000000"/>
        </w:rPr>
        <w:tab/>
        <w:t>budući da u skladu s člankom 93. Uredbe (EU) 2017/1939 upravni direktor EPPO-a, koji djeluje kao dužnosnik EPPO-a za ovjeravanje, izvršava proračun EPPO-a za koji je odgovoran, i to u okviru granica odobrenih u proračunu te svake godine šalje proračunskom tijelu sve informacije relevantne za rezultate svih postupaka evaluacije;</w:t>
      </w:r>
    </w:p>
    <w:p w:rsidR="00862215" w:rsidRPr="00B948BF" w:rsidRDefault="00862215" w:rsidP="00862215">
      <w:pPr>
        <w:spacing w:after="240"/>
        <w:ind w:left="567" w:hanging="567"/>
        <w:rPr>
          <w:color w:val="000000"/>
          <w:szCs w:val="24"/>
        </w:rPr>
      </w:pPr>
      <w:r w:rsidRPr="00B948BF">
        <w:rPr>
          <w:color w:val="000000"/>
        </w:rPr>
        <w:t>I.</w:t>
      </w:r>
      <w:r w:rsidRPr="00B948BF">
        <w:rPr>
          <w:color w:val="000000"/>
        </w:rPr>
        <w:tab/>
        <w:t>budući da, u skladu s člankom 50. stavkom 2. financijskih pravila EPPO-a, računovodstveni službenik Komisije djeluje i kao računovodstveni službenik EPPO-a i odgovoran je za pripremu godišnje računovodstvene dokumentacije, koja se konsolidira s godišnjom računovodstvenom dokumentacijom</w:t>
      </w:r>
      <w:r w:rsidR="00506826">
        <w:rPr>
          <w:color w:val="000000"/>
        </w:rPr>
        <w:t xml:space="preserve"> Unije;</w:t>
      </w:r>
    </w:p>
    <w:p w:rsidR="00862215" w:rsidRPr="00B948BF" w:rsidRDefault="00862215" w:rsidP="00862215">
      <w:pPr>
        <w:spacing w:after="240"/>
        <w:ind w:left="567" w:hanging="567"/>
        <w:rPr>
          <w:color w:val="000000"/>
          <w:szCs w:val="24"/>
        </w:rPr>
      </w:pPr>
      <w:r w:rsidRPr="00B948BF">
        <w:rPr>
          <w:color w:val="000000"/>
        </w:rPr>
        <w:t>J.</w:t>
      </w:r>
      <w:r w:rsidRPr="00B948BF">
        <w:rPr>
          <w:color w:val="000000"/>
        </w:rPr>
        <w:tab/>
        <w:t>budući da u skladu s trenutačnim okvirom Revizorski sud preispituje završnu godišnju računovodstvenu dokumentaciju i da je na Vijeću da preporuči, a na Europskom parlamentu da odluči hoće li dati razrješnicu upravnom direktoru Ureda u vezi s izvršenjem proračuna za određenu financijsku godinu;</w:t>
      </w:r>
    </w:p>
    <w:p w:rsidR="00862215" w:rsidRPr="00B948BF" w:rsidRDefault="00862215" w:rsidP="00862215">
      <w:pPr>
        <w:spacing w:after="240"/>
        <w:ind w:left="567" w:hanging="567"/>
        <w:rPr>
          <w:color w:val="000000"/>
          <w:szCs w:val="24"/>
        </w:rPr>
      </w:pPr>
      <w:r w:rsidRPr="00B948BF">
        <w:rPr>
          <w:color w:val="000000"/>
        </w:rPr>
        <w:t xml:space="preserve">K. </w:t>
      </w:r>
      <w:r w:rsidRPr="00B948BF">
        <w:rPr>
          <w:color w:val="000000"/>
        </w:rPr>
        <w:tab/>
        <w:t>budući da je Ured započeo s operativnim aktivnostima 1. lipnja 2021. i da tek od 24. lipnja 2021. samostalno djeluje u izvršenju svojeg proračuna te da su u tom kratkom vremenskom okviru mogući ograničena komparativna analiza i utvrđivanje trendova;</w:t>
      </w:r>
    </w:p>
    <w:p w:rsidR="00862215" w:rsidRPr="00B948BF" w:rsidRDefault="00862215" w:rsidP="00862215">
      <w:pPr>
        <w:spacing w:after="240"/>
        <w:ind w:left="567" w:hanging="567"/>
        <w:rPr>
          <w:szCs w:val="24"/>
        </w:rPr>
      </w:pPr>
      <w:r w:rsidRPr="00B948BF">
        <w:rPr>
          <w:color w:val="000000"/>
        </w:rPr>
        <w:t xml:space="preserve">L. </w:t>
      </w:r>
      <w:r w:rsidRPr="00B948BF">
        <w:rPr>
          <w:color w:val="000000"/>
        </w:rPr>
        <w:tab/>
        <w:t>budući da se pravila kojima se uređuju upravljanje resursima EPPO-a i povezani rashodi trebaju prilagoditi posebnostima kaznenog progona i istražnih radnji te da se o relevantnim odredbama Financijske uredbe raspravlja u okviru preinake te uredbe te, u širem kontekstu, između EPPO-a i Komisije;</w:t>
      </w:r>
    </w:p>
    <w:p w:rsidR="00862215" w:rsidRPr="00B948BF" w:rsidRDefault="00862215" w:rsidP="00862215">
      <w:pPr>
        <w:pStyle w:val="NormalHanging12a"/>
        <w:rPr>
          <w:szCs w:val="24"/>
        </w:rPr>
      </w:pPr>
      <w:r w:rsidRPr="00B948BF">
        <w:t>1</w:t>
      </w:r>
      <w:r w:rsidRPr="00B948BF">
        <w:rPr>
          <w:color w:val="0000FF"/>
        </w:rPr>
        <w:t>.</w:t>
      </w:r>
      <w:r w:rsidRPr="00B948BF">
        <w:rPr>
          <w:color w:val="0000FF"/>
        </w:rPr>
        <w:tab/>
      </w:r>
      <w:r w:rsidRPr="00B948BF">
        <w:t>pozdravlja pozitivno mišljenje Europskog revizorskog suda o pouzdanosti računovodstvene dokumentacije EPPO-a za godinu koja je završila 31. prosinca 2022. te o zakonitosti i pravilnosti prihoda i plaćanja na kojima se temelji računovodstvena dokumentacija;</w:t>
      </w:r>
    </w:p>
    <w:p w:rsidR="00862215" w:rsidRPr="00B948BF" w:rsidRDefault="00862215" w:rsidP="00862215">
      <w:pPr>
        <w:pStyle w:val="NormalHanging12a"/>
        <w:rPr>
          <w:b/>
          <w:i/>
          <w:szCs w:val="24"/>
        </w:rPr>
      </w:pPr>
      <w:r w:rsidRPr="00B948BF">
        <w:t>2.</w:t>
      </w:r>
      <w:r w:rsidRPr="00B948BF">
        <w:tab/>
        <w:t xml:space="preserve">podsjeća na snažnu potporu Parlamenta osnivanju EPPO-a; uviđa važnu ulogu EPPO-a kao neovisnog tijela Unije i naglašava njegovu posebnu odgovornost prema drugim institucijama i široj javnosti u područjima pravosuđa; iznimno poštuje i cijeni rad EPPO-a u istragama, kaznenom progonu i postizanju pravde za kaznena djela na štetu proračuna Unije i financijskih interesa Unije kao što su prevare, korupcija i ozbiljne prekogranične prevare u vezi s PDV-om; prepoznaje važnu ulogu koju EPPO ima kad je riječ o doprinosu zaštiti financijskih interesa Unije, a posebno proračuna Unije; podsjeća da jedinstvena uloga EPPO-a kao tužiteljstva u </w:t>
      </w:r>
      <w:proofErr w:type="spellStart"/>
      <w:r w:rsidRPr="00B948BF">
        <w:t>Unijinu</w:t>
      </w:r>
      <w:proofErr w:type="spellEnd"/>
      <w:r w:rsidRPr="00B948BF">
        <w:t xml:space="preserve"> okviru za izvršavanje zakonodavstva podrazumijeva obvezu EPPO-a da istraži sva pitanja u njegovoj nadležnosti o kojima je obaviješten;</w:t>
      </w:r>
    </w:p>
    <w:p w:rsidR="00862215" w:rsidRPr="00B948BF" w:rsidRDefault="00862215" w:rsidP="00862215">
      <w:pPr>
        <w:spacing w:after="240"/>
        <w:ind w:left="567" w:hanging="567"/>
        <w:rPr>
          <w:b/>
          <w:i/>
          <w:color w:val="000000"/>
          <w:szCs w:val="24"/>
        </w:rPr>
      </w:pPr>
      <w:r w:rsidRPr="00B948BF">
        <w:rPr>
          <w:b/>
          <w:i/>
          <w:color w:val="000000"/>
        </w:rPr>
        <w:t>Upravljanje proračunom i financijama</w:t>
      </w:r>
    </w:p>
    <w:p w:rsidR="00862215" w:rsidRPr="00B948BF" w:rsidRDefault="00862215" w:rsidP="00862215">
      <w:pPr>
        <w:spacing w:after="240"/>
        <w:ind w:left="567" w:hanging="567"/>
        <w:rPr>
          <w:szCs w:val="24"/>
        </w:rPr>
      </w:pPr>
      <w:r w:rsidRPr="00B948BF">
        <w:t>3.</w:t>
      </w:r>
      <w:r w:rsidRPr="00B948BF">
        <w:tab/>
        <w:t xml:space="preserve">prima na znanje da je ukupni konačni proračun dodijeljen EPPO-u za 2022. iznosio 51,2 milijuna EUR, smanjen u odnosu na početna sredstva u iznosu od 57,1 milijun EUR, i da se zamjetno povećao u odnosu na 35,4 milijuna EUR dodijeljenih 2021.; napominje da vraćeni iznos od 5,9 milijuna EUR (što predstavlja 10 % početnog proračuna za 2022.) čini poboljšanje u odnosu na 2021., kada je </w:t>
      </w:r>
      <w:r w:rsidRPr="00B948BF">
        <w:lastRenderedPageBreak/>
        <w:t xml:space="preserve">9,5 milijuna EUR vraćeno u proračun Unije (što je 21 % početnog proračuna za 2021.); primjećuje da je taj iznos postupno vraćen 2022. djelomično zbog toga što je precijenjen u odnosu na stvarne potrebe (za jezičnu službu bio je 65 % veći), a djelomično zbog toga što ga nije bilo moguće upotrijebiti za nadoknadu troškova za iznimno skupe istrage država članica sudionica, na primjer prema članku 91. stavku 6. Uredbe </w:t>
      </w:r>
      <w:r w:rsidRPr="00B948BF">
        <w:rPr>
          <w:color w:val="000000"/>
        </w:rPr>
        <w:t>(EU) 2017/1939</w:t>
      </w:r>
      <w:r w:rsidRPr="00B948BF">
        <w:t xml:space="preserve"> (spriječeno Financijskom uredbom dok se odstupanje nije odobrilo 2023.) i, naposljetku, zbog kašnjenja u pokretanju postupka odabira i zapošljavanja novih članova osoblja (što je trebalo biti planirano 2021., ali je postalo moguće tek kasnije, kad je proračun za 2022. donesen);</w:t>
      </w:r>
    </w:p>
    <w:p w:rsidR="00862215" w:rsidRPr="00B948BF" w:rsidRDefault="00862215" w:rsidP="00862215">
      <w:pPr>
        <w:spacing w:after="240"/>
        <w:ind w:left="567" w:hanging="567"/>
        <w:rPr>
          <w:szCs w:val="24"/>
        </w:rPr>
      </w:pPr>
      <w:r w:rsidRPr="00B948BF">
        <w:t xml:space="preserve">4. </w:t>
      </w:r>
      <w:r w:rsidRPr="00B948BF">
        <w:tab/>
        <w:t xml:space="preserve">napominje da je moguće usporediti samo proračunsku uspješnost EPPO-a za razdoblje nakon njegove financijske autonomije, koja je započela u lipnju 2021.; pozdravlja zadovoljavajuću razinu izvršenja proračuna od 98,1 % odobrenih sredstava za preuzimanje obveza (u odnosu na 97,4 % u 2021.) i 76,6 % odobrenih sredstava za plaćanje (u usporedbi sa 78,2 % u 2021.); cijeni činjenicu da je ukupna stopa izvršenja za plaćanja napredovala 2022. sa 76,6 % isplaćenih odobrenih sredstava dovršenih u konačnom proračunu, u usporedbi sa 71 % u 2021.; primjećuje da se prosječno vrijeme plaćanja 2022. povećalo na 23,8 dana u usporedbi s 21,0 danom 2021. i shvaća da je taj trend povezan sa znatnim povećanjem broja zahtjeva za plaćanje obrađenih u toj godini (2316 zahtjeva za plaćanje u usporedbi sa 657 u 2021. predstavlja povećanje od 252 %); ponovno potiče EPPO da i dalje upotrebljava modul za elektroničko izdavanje računa (e-fakturiranje), koji je tek 2023. počeo upotrebljavati., kako bi se smanjilo </w:t>
      </w:r>
      <w:r w:rsidRPr="00B948BF">
        <w:rPr>
          <w:shd w:val="clear" w:color="auto" w:fill="FFFFFF"/>
        </w:rPr>
        <w:t>administrativno opterećenje, vrijeme za plaćanje i ukupni troškovi obrade;</w:t>
      </w:r>
    </w:p>
    <w:p w:rsidR="00862215" w:rsidRPr="00B948BF" w:rsidRDefault="00862215" w:rsidP="00862215">
      <w:pPr>
        <w:spacing w:after="240"/>
        <w:ind w:left="567" w:hanging="567"/>
        <w:rPr>
          <w:bCs/>
          <w:szCs w:val="24"/>
        </w:rPr>
      </w:pPr>
      <w:r w:rsidRPr="00B948BF">
        <w:t>5.</w:t>
      </w:r>
      <w:r w:rsidRPr="00B948BF">
        <w:tab/>
        <w:t>primjećuje da je, nakon što je u lipnju 2021. ostvario svoju financijsku autonomiju, EPPO dao prednost rashodima poslovanja povezanima s istragama, kaznenim progonom i sigurnosnim mjerama, a neoperativne rashode ograničio na osnovne zahtjeve u pogledu usklađenosti i osnovne usluge potpore;</w:t>
      </w:r>
    </w:p>
    <w:p w:rsidR="00862215" w:rsidRPr="00B948BF" w:rsidRDefault="00862215" w:rsidP="00862215">
      <w:pPr>
        <w:spacing w:after="240"/>
        <w:ind w:left="567" w:hanging="567"/>
        <w:rPr>
          <w:szCs w:val="24"/>
        </w:rPr>
      </w:pPr>
      <w:r w:rsidRPr="00B948BF">
        <w:t>6.</w:t>
      </w:r>
      <w:r w:rsidRPr="00B948BF">
        <w:tab/>
        <w:t>primjećuje uzlazni trend u nekoliko linija rashoda poslovanja; napominje da su naknade delegiranih europskih tužitelja dosegle 8,7 milijuna EUR i da predstavljaju glavne rashode poslovanja zbog povećanog broja delegiranih europskih tužitelja tijekom 2022.; primjećuje da su službena putovanja i operativni troškovi sastanaka činili 5,2 % rashoda poslovanja (1,1 milijun EUR) u usporedbi s 2,9 % u 2021., a samo za službena putovanja povećanje je iznosilo 170 % u 2022. u odnosu na 2021. (nakon što je EPPO stekao financijsku autonomiju), što je posljedica povećanja broja osoblja i vanjskih aktivnosti u prvoj punoj godini poslovanja; isto tako napominje da je 2,8 milijuna EUR dodijeljeno za prevoditeljske usluge, što čini 14 % rashoda poslovanja, u usporedbi sa 7,6 % u 2021.; prepoznaje da su potrebni dodatni resursi za prevođenje s obzirom na to da se očekuje povećanje broja istražnih predmeta u narednim godinama; traži od EPPO-a da obavijesti Parlament o svojim planovima da dodatno proširi upotrebu usluga automatiziranog prevođenja s pomoću interno razvijenog „portala za prevođenje” i povećanom upotrebom nacionalnih sudskih tumača koje plaćaju države članice sudionice;</w:t>
      </w:r>
    </w:p>
    <w:p w:rsidR="00862215" w:rsidRPr="00B948BF" w:rsidRDefault="00862215" w:rsidP="00862215">
      <w:pPr>
        <w:spacing w:after="240"/>
        <w:ind w:left="567" w:hanging="567"/>
        <w:rPr>
          <w:szCs w:val="24"/>
        </w:rPr>
      </w:pPr>
      <w:r w:rsidRPr="00B948BF">
        <w:t>7.</w:t>
      </w:r>
      <w:r w:rsidRPr="00B948BF">
        <w:tab/>
        <w:t xml:space="preserve">primjećuje da je predviđanje rashoda povezanih s aktivnostima EPPO-a vrlo složeno zbog razine otkrivanja prevara, tipologije i prirode predmeta, učinkovitosti EPPO-a u vođenju istraga i kaznenih progona s obzirom na njihovu obveznu prirodu te postupaka i ograničenja nacionalnih pravosudnih sustava, nedostatka fiksne korelacije između broja istraga i njihovih troškova te, naposljetku, opsega financijskih interesa Unije koje treba zaštititi, uključujući planove Poljske i Švedske da se pridruže EPPO-u; primjećuje i da je teško procijeniti predviđanja rashoda za broj predmeta povezanih s Mehanizmom za </w:t>
      </w:r>
      <w:r w:rsidRPr="00B948BF">
        <w:lastRenderedPageBreak/>
        <w:t>oporavak i otpornost zbog dosad nezabilježenog načina provedbe i same količine resursa;</w:t>
      </w:r>
    </w:p>
    <w:p w:rsidR="00862215" w:rsidRPr="00B948BF" w:rsidRDefault="00862215" w:rsidP="00862215">
      <w:pPr>
        <w:pStyle w:val="NormalHanging12a"/>
        <w:rPr>
          <w:szCs w:val="24"/>
        </w:rPr>
      </w:pPr>
      <w:r w:rsidRPr="00B948BF">
        <w:t>8.</w:t>
      </w:r>
      <w:r w:rsidRPr="00B948BF">
        <w:tab/>
        <w:t>ponavlja svoj poziv da se učinak uvođenja Mehanizma za oporavak i otpornost uzme u obzir u predviđanjima o kojima Ured europskog javnog tužitelja treba obavijestiti Komisiju u okviru proračunskog postupka; dijeli mišljenje da je radno opterećenje EPPO-a, u početku podcijenjeno, značajno poraslo i da će se u narednim godinama nastaviti povećavati, posebno u pogledu broja predmeta u okviru Mehanizma za oporavak i otpornost (2022. pokrenuto je samo 15 predmeta, ali će 2023. biti pokrenuto više nakon što program dosegne vrhunac provedbe) te da će veći broj predmeta u sudskoj fazi zahtijevati drugačiji fokus od onih u fazi istrage;</w:t>
      </w:r>
    </w:p>
    <w:p w:rsidR="00862215" w:rsidRPr="00B948BF" w:rsidRDefault="00862215" w:rsidP="00862215">
      <w:pPr>
        <w:pStyle w:val="NormalHanging12a"/>
        <w:rPr>
          <w:b/>
          <w:i/>
          <w:szCs w:val="24"/>
        </w:rPr>
      </w:pPr>
      <w:r w:rsidRPr="00B948BF">
        <w:t>9.</w:t>
      </w:r>
      <w:r w:rsidRPr="00B948BF">
        <w:tab/>
        <w:t>potvrđuje da EPPO jasno pridonosi europskoj dodanoj vrijednosti u pogledu koordinacije i suradnje s državama članicama u istragama i kaznenom progonu kaznenih djela protiv financijskih interesa Unije te da EPPO u tom pogledu ostvaruje ciljeve utvrđene u Uredbi (EU) 2017/1939 od 12. listopada 2017.; očekuje od država članica da poštuju pravne obveze i da o svim relevantnim predmetima izvješćuju EPPO; sa zabrinutošću napominje da su u nekoliko slučajeva države članice kaznena djela koja utječu na financijske interese Unije proglasile nacionalnim predmetima, koji su u nadležnosti EPPO-a; napominje da su se pitanja nadležnosti između nacionalnih tijela i delegiranih europskih tužitelja pojavila u nekoliko slučajeva u nekoliko zemalja; svjestan je da, u skladu s člankom 25. stavkom 6. Uredbe (EU) 2017/1939, slučajeve neslaganja o nadležnostima EPPO-a treba rješavati isto nacionalno pravosudno tijelo koje je odgovorno za određivanje tijela nadležnog za kazneni progon na nacionalnoj razini; žali zbog toga što u mnogim državama članicama sudionicama postupci koji su na snazi i nacionalna tijela kojima su povjerene odluke o takvim predmetima u pogledu sukoba nadležnosti nisu utvrđeni u skladu s Uredbom (EU) 2017/1939; naglašava da bi u slučajevima sukoba nadležnosti između EPPO-a i nacionalnog tijela nadležnog za kazneni progon nacionalno tijelo nadležno za odlučivanje o dodjeli nadležnosti moglo doći do zaključka bez traženja prethodne odluke Suda, dakle donijeti odluku koja je obvezujuća za EPPO, te ističe da je to u duhu Uredbe (EU) 2017/1939 u kojoj se navodi da je Sud, u skladu s člankom 267. UFEU-a, nadležan za donošenje prethodne odluke o tumačenju odredbe o sukobu nadležnosti između EPPO-a i nacionalnih tijela; smatra da trenutačna situacija nije dovoljno pravno jasna; potiče države članice da bliže surađuju s EPPO-om; naglašava da je nadležnost EPPO-a jasno navedena u članku 22. stavcima 1. i 2. te u članku 23. i da bi sve države članice trebale poštovati Uredbu (EU) 2017/1939; napominje da, ako države članice sumnjaju u nadležnost EPPO-a u određenom predmetu, postoji mogućnost upućivanja prethodnog pitanja Sudu na temelju članka 267. UFEU-a i članka 42. stavka 2. točke (c) Uredbe (EU) 2017/1939; potiče Komisiju da u slučaju kršenja Uredbe (EU) 2017/1939 predmet dostavi Sudu; sa zabrinutošću napominje da pitanje nadležnosti može dovesti do prekida istrage; zabrinut je zbog mogućeg gubitka dokaza kad se predmeti obustave; poziva Komisiju da prikupi informacije o preraspodjeli predmeta u pogledu sukoba nadležnosti za izvješće o evaluaciji koje će se podnijeti 2026.;</w:t>
      </w:r>
    </w:p>
    <w:p w:rsidR="00862215" w:rsidRPr="00B948BF" w:rsidRDefault="00862215" w:rsidP="00862215">
      <w:pPr>
        <w:pStyle w:val="NormalHanging12a"/>
        <w:rPr>
          <w:szCs w:val="24"/>
        </w:rPr>
      </w:pPr>
      <w:r w:rsidRPr="00B948BF">
        <w:t>10.</w:t>
      </w:r>
      <w:r w:rsidRPr="00B948BF">
        <w:tab/>
        <w:t>primjećuje da je 2022. od 15 aktivnih predmeta u okviru Mehanizma za oporavak i otpornost navedenih u godišnjem izvješću EPPO-a devet slučajeva zabilježeno u Italiji, dva u Portugalu, tri u Rumunjskoj i jedan u Hrvatskoj; snažno potiče EPPO da otkriva obrasce prevara u zemljama u kojima je bilo više od jednog predmeta povezanih s Mehanizmom za oporavak i otpornost te da o tim obrascima obavijesti OLAF i Radnu skupinu za oporavak i otpornost kako bi se smanjio broj slučajeva prevara do kojih dolazi;</w:t>
      </w:r>
    </w:p>
    <w:p w:rsidR="00862215" w:rsidRPr="00B948BF" w:rsidRDefault="00862215" w:rsidP="00862215">
      <w:pPr>
        <w:pStyle w:val="NormalHanging12a"/>
        <w:rPr>
          <w:szCs w:val="24"/>
        </w:rPr>
      </w:pPr>
      <w:r w:rsidRPr="00B948BF">
        <w:lastRenderedPageBreak/>
        <w:t>11.</w:t>
      </w:r>
      <w:r w:rsidRPr="00B948BF">
        <w:tab/>
        <w:t>napominje da se procjenjuje da EPPO trenutačno provodi 170 aktivnih istraga u više od sedam zemalja koje uključuju predmete povezane s Mehanizmom za oporavak i otpornost te da se šteta u vezi s tim aktivnim istragama trenutačno procjenjuje na 530 milijuna EUR; napominje da EPPO procjenjuje da će se broj novih aktivnih istraga koje uključuju fondove za oporavak i otpornost povećati s obzirom na to da sve više zemalja postaju primatelji sredstava iz Mehanizma za oporavak i otpornost te potiče EPPO da u skladu s time planira svoj proračun i kapacitete;</w:t>
      </w:r>
    </w:p>
    <w:p w:rsidR="00862215" w:rsidRPr="00B948BF" w:rsidRDefault="00862215" w:rsidP="00862215">
      <w:pPr>
        <w:pStyle w:val="NormalHanging12a"/>
        <w:rPr>
          <w:szCs w:val="24"/>
        </w:rPr>
      </w:pPr>
      <w:r w:rsidRPr="00B948BF">
        <w:t>12.</w:t>
      </w:r>
      <w:r w:rsidRPr="00B948BF">
        <w:tab/>
        <w:t>kad je riječ o iznosu sredstava dodijeljenih EPPO-u, ističe da bi dodijeljeni proračunski i ljudski resursi trebali biti primjereni za učinkovito i uspješno izvršavanje njegova mandata i uobičajeno provođenje povezanih administrativnih postupaka; poziva Komisiju da u bliskoj suradnji s EPPO-om preispita proračunski okvir EPPO-a kako bi se pronašli odgovarajući načini za potporu njegovu radu, imajući na umu da će u kontekstu sve većeg broja složenih predmeta biti potrebna dodatna sredstva koja ne bi trebala ovisiti o reviziji Uredbe (EU) 2017/1939 i/ili njegovu mandatu; napominje da se u tom pogledu očekuje sve veći broj pravnih izazova, što dovodi u pitanje tumačenje pravnog okvira EPPO-a i njegovu integraciju u pravosudne sustave država članica ili pred Sudom;</w:t>
      </w:r>
    </w:p>
    <w:p w:rsidR="00862215" w:rsidRPr="00B948BF" w:rsidRDefault="00862215" w:rsidP="00862215">
      <w:pPr>
        <w:spacing w:after="240"/>
        <w:ind w:left="567" w:hanging="567"/>
        <w:rPr>
          <w:szCs w:val="24"/>
        </w:rPr>
      </w:pPr>
      <w:r w:rsidRPr="00B948BF">
        <w:t xml:space="preserve">13. </w:t>
      </w:r>
      <w:r w:rsidRPr="00B948BF">
        <w:tab/>
        <w:t>kad je riječ o upotrebi sredstava dodijeljenih EPPO-u, shvaća da EPPO kontinuirano ažurira i revidira svoja unutarnja financijska pravila kojima se uređuju financijski aspekti njegova poslovanja; u tu svrhu pozdravlja kontinuirani dijalog s Komisijom i svjestan je da su, u skladu s prijedlozima Komisije, nedavnom odlukom kolegija EPPO-a izmijenjena njegova financijska pravila dodavanjem mogućnosti sklapanja sporazuma s nadležnim tijelima država članica i sklapanja ugovora bez raspisivanja natječaja u slučajevima kad natječaj nije moguć;</w:t>
      </w:r>
    </w:p>
    <w:p w:rsidR="00862215" w:rsidRPr="00B948BF" w:rsidRDefault="00862215" w:rsidP="00862215">
      <w:pPr>
        <w:spacing w:after="240"/>
        <w:ind w:left="567" w:hanging="567"/>
        <w:rPr>
          <w:szCs w:val="24"/>
        </w:rPr>
      </w:pPr>
      <w:r w:rsidRPr="00B948BF">
        <w:t xml:space="preserve">14. </w:t>
      </w:r>
      <w:r w:rsidRPr="00B948BF">
        <w:tab/>
        <w:t xml:space="preserve">shvaća da je 2022. pokrenut probni okvirni sporazum za nadoknadu zahtjeva podnesenih na temelju članka 91. stavka 6. Uredbe </w:t>
      </w:r>
      <w:r w:rsidRPr="00B948BF">
        <w:rPr>
          <w:color w:val="000000"/>
        </w:rPr>
        <w:t>(EU) 2017/1939</w:t>
      </w:r>
      <w:r w:rsidRPr="00B948BF">
        <w:t xml:space="preserve"> kako bi se obuhvatile iznimno skupe istražne mjere koje se provode na nacionalnoj razini u ime EPPO-a;</w:t>
      </w:r>
    </w:p>
    <w:p w:rsidR="00862215" w:rsidRPr="00B948BF" w:rsidRDefault="00862215" w:rsidP="00862215">
      <w:pPr>
        <w:spacing w:after="240"/>
        <w:ind w:left="567" w:hanging="567"/>
        <w:rPr>
          <w:szCs w:val="24"/>
        </w:rPr>
      </w:pPr>
      <w:r w:rsidRPr="00B948BF">
        <w:t>15.</w:t>
      </w:r>
      <w:r w:rsidRPr="00B948BF">
        <w:tab/>
        <w:t>ističe da je potrebno omogućiti pravilnu provedbu članka 91. stavka 6. Uredbe (EU) 2017/1939 te naglašava da se moraju uzeti u obzir posebne značajke rashoda kaznenog progona i istraga (uključujući iznimne slučajeve operativnih rashoda EPPO-a uređene člankom 91.6.); žali zbog toga što je odbačen prijedlog koji je iznesen u okviru tripartitnih pregovora o preinaci; smatra da bi Komisija u dijalogu s EPPO-om trebala istražiti alternativne načine za djelotvornu i učinkovitu provedbu te odredbe;</w:t>
      </w:r>
    </w:p>
    <w:p w:rsidR="00862215" w:rsidRPr="00B948BF" w:rsidRDefault="00862215" w:rsidP="00862215">
      <w:pPr>
        <w:spacing w:after="240"/>
        <w:ind w:left="567" w:hanging="567"/>
        <w:rPr>
          <w:szCs w:val="24"/>
        </w:rPr>
      </w:pPr>
      <w:r w:rsidRPr="00B948BF">
        <w:t xml:space="preserve">16. </w:t>
      </w:r>
      <w:r w:rsidRPr="00B948BF">
        <w:tab/>
        <w:t>ističe da nakon početka operativne aktivnosti EPPO-a zakonodavni financijski izvještaj za 2017. više nije bio svrsishodan zbog znatno podcijenjenog radnog opterećenja te da nije predloženo njegovo ažuriranje; u tom pogledu smatra da zbog izostanka preispitivanja proračuna u sredini programskog razdoblja EPPO ne može imati jasne informacije o dostupnim sredstvima za buduće aktivnosti u postojećim slučajevima i predvidjeti pripremne aktivnosti za izvršenje proračuna prije završetka postupka donošenja proračuna;</w:t>
      </w:r>
    </w:p>
    <w:p w:rsidR="00862215" w:rsidRPr="00B948BF" w:rsidRDefault="00862215" w:rsidP="00862215">
      <w:pPr>
        <w:spacing w:after="240"/>
        <w:ind w:left="567" w:hanging="567"/>
        <w:rPr>
          <w:szCs w:val="24"/>
        </w:rPr>
      </w:pPr>
      <w:r w:rsidRPr="00B948BF">
        <w:t xml:space="preserve">17. </w:t>
      </w:r>
      <w:r w:rsidRPr="00B948BF">
        <w:tab/>
        <w:t>ponovno izražava svoje mišljenje da nepostojanje srednjoročnog okvira za resurse za EPPO, i u pogledu proračuna i u pogledu osoblja, u vrijeme kad je potrebno brzo povećati broj operacija i uspostaviti administrativne temelje, ograničava mogućnosti koje bi trebale biti na raspolaganju kako bi se postigla maksimalna fleksibilnost u razvoju organizacijske infrastrukture za tako inovativan projekt kao što je EPPO;</w:t>
      </w:r>
    </w:p>
    <w:p w:rsidR="00862215" w:rsidRPr="00B948BF" w:rsidRDefault="00862215" w:rsidP="00862215">
      <w:pPr>
        <w:pStyle w:val="NormalHanging12a"/>
        <w:rPr>
          <w:szCs w:val="24"/>
        </w:rPr>
      </w:pPr>
      <w:r w:rsidRPr="00B948BF">
        <w:lastRenderedPageBreak/>
        <w:t>18.</w:t>
      </w:r>
      <w:r w:rsidRPr="00B948BF">
        <w:tab/>
        <w:t>svjestan je da EPPO teži suradnji i koordinaciji s državama članicama u pogledu načina na koji bi se prevare koje utječu na Mehanizam za oporavak i otpornost trebale prijaviti EPPO-u i rješavati u fazi istrage i tijekom kaznenog progona te kako bi EPPO mogao učinkovito intervenirati u tom pogledu; smatra da je sudjelovanje EPPO-a u istragama i kaznenom progonu slučajeva prevara koje utječu na sredstva Mehanizma za oporavak i otpornost ključno za zaštitu financijskih interesa Unije; ponovno poziva Komisiju da EPPO-u pruži odgovarajuće smjernice o korektivnim mjerama koje treba donijeti nakon otkrivanja i kaznenog progona prevara koje utječu na Mehanizam za oporavak i otpornost te da obavješćuje proračunsko tijelo o dostupnim mogućnostima;</w:t>
      </w:r>
    </w:p>
    <w:p w:rsidR="00862215" w:rsidRPr="00B948BF" w:rsidRDefault="00862215" w:rsidP="00862215">
      <w:pPr>
        <w:spacing w:after="240"/>
        <w:ind w:left="567" w:hanging="567"/>
        <w:rPr>
          <w:b/>
          <w:i/>
          <w:color w:val="000000" w:themeColor="text1"/>
          <w:szCs w:val="24"/>
        </w:rPr>
      </w:pPr>
      <w:r w:rsidRPr="00B948BF">
        <w:rPr>
          <w:b/>
          <w:i/>
          <w:color w:val="000000" w:themeColor="text1"/>
        </w:rPr>
        <w:t>Unutarnje upravljanje, uspješnost i unutarnja kontrola</w:t>
      </w:r>
    </w:p>
    <w:p w:rsidR="00862215" w:rsidRPr="00B948BF" w:rsidRDefault="00862215" w:rsidP="00862215">
      <w:pPr>
        <w:pStyle w:val="NormalHanging12a"/>
        <w:rPr>
          <w:szCs w:val="24"/>
        </w:rPr>
      </w:pPr>
      <w:r w:rsidRPr="00B948BF">
        <w:t>19.</w:t>
      </w:r>
      <w:r w:rsidRPr="00B948BF">
        <w:tab/>
        <w:t xml:space="preserve">primjećuje povećanje broja izvješća o kaznenim djelima podnesenih EPPO-u (3 318 u 2022. u usporedbi s 2 832 u 2021.) i, kao rezultat, povećanje broja pokrenutih istraga (865 u 2022., s procijenjenom štetom od 9,9 milijardi EUR, u usporedbi s 576 u 2021., s procijenjenom štetom od 5,4 milijarde EUR); napominje da je na broj zaključenih predmeta (251 u 2022. u usporedbi s 57 u 2021.) i broj optužnica (87 u 2022. u usporedbi s 5 u 2021.), zajedno s nalozima za zamrzavanje koje je dobio EPPO utrošen 359,1 milijun EUR samo 2022. (u usporedbi sa zatraženih 516 milijuna EUR); napominje da je 2022. na Revizorskom sudu zaključeno 20 predmeta i smatra da je važno da EPPO sustavno izvješćuje o daljnjem postupanju u vezi s tim predmetima u pogledu donesenih financijskih mjera (oduzimanje i/ili naplata) kako bi se bolje razumio učinak mjera EPPO-a; poziva Komisiju da istraži najprikladnije načine pružanja pomoći EPPO-u u aktivnostima praćenja i daljnjeg postupanja, bez da se resursi EPPO-a preusmjeravaju od njegovih istražnih zadaća i zadaća kaznenog progona; potiče EPPO da, ako je to moguće i primjereno, bolje surađuje s drugim tijelima strukture za borbu protiv prevara, kao što su </w:t>
      </w:r>
      <w:proofErr w:type="spellStart"/>
      <w:r w:rsidRPr="00B948BF">
        <w:t>Eurojust</w:t>
      </w:r>
      <w:proofErr w:type="spellEnd"/>
      <w:r w:rsidRPr="00B948BF">
        <w:t xml:space="preserve"> i </w:t>
      </w:r>
      <w:proofErr w:type="spellStart"/>
      <w:r w:rsidRPr="00B948BF">
        <w:t>Europol</w:t>
      </w:r>
      <w:proofErr w:type="spellEnd"/>
      <w:r w:rsidRPr="00B948BF">
        <w:t>, ili putem OLAF-a sa službama za koordinaciju borbe protiv prevara uspostavljenih u državama članicama;</w:t>
      </w:r>
    </w:p>
    <w:p w:rsidR="00862215" w:rsidRPr="00B948BF" w:rsidRDefault="00862215" w:rsidP="00862215">
      <w:pPr>
        <w:pStyle w:val="Default"/>
        <w:spacing w:after="240"/>
        <w:ind w:left="567" w:hanging="567"/>
        <w:rPr>
          <w:rFonts w:ascii="Times New Roman" w:hAnsi="Times New Roman" w:cs="Times New Roman"/>
          <w:color w:val="auto"/>
        </w:rPr>
      </w:pPr>
      <w:r w:rsidRPr="00B948BF">
        <w:rPr>
          <w:rFonts w:ascii="Times New Roman" w:hAnsi="Times New Roman"/>
          <w:color w:val="auto"/>
        </w:rPr>
        <w:t xml:space="preserve">20. </w:t>
      </w:r>
      <w:r w:rsidRPr="00B948BF">
        <w:rPr>
          <w:rFonts w:ascii="Times New Roman" w:hAnsi="Times New Roman"/>
          <w:color w:val="auto"/>
        </w:rPr>
        <w:tab/>
        <w:t>poziva Ured europskog javnog tužitelja da uspostavi sustav za praćenje povećanja učinkovitosti, uštede vremena i troškova te cijeni donošenje sustava upravljanja kvalitetom kako bi se optimizirali ključni procesi i postigla veća organizacijska uspješnost, kvaliteta usluga i troškovna učinkovitost; shvaća da su neki postupci restrukturirani kako bi se smanjilo nepotrebno administrativno opterećenje i otpuštanja;</w:t>
      </w:r>
    </w:p>
    <w:p w:rsidR="00862215" w:rsidRPr="00B948BF" w:rsidRDefault="00862215" w:rsidP="00862215">
      <w:pPr>
        <w:pStyle w:val="Default"/>
        <w:spacing w:after="240"/>
        <w:ind w:left="567" w:hanging="567"/>
        <w:rPr>
          <w:rFonts w:ascii="Times New Roman" w:hAnsi="Times New Roman" w:cs="Times New Roman"/>
          <w:bCs/>
          <w:color w:val="000000" w:themeColor="text1"/>
        </w:rPr>
      </w:pPr>
      <w:r w:rsidRPr="00B948BF">
        <w:rPr>
          <w:rFonts w:ascii="Times New Roman" w:hAnsi="Times New Roman"/>
          <w:color w:val="auto"/>
        </w:rPr>
        <w:t xml:space="preserve">21. </w:t>
      </w:r>
      <w:r w:rsidRPr="00B948BF">
        <w:rPr>
          <w:rFonts w:ascii="Times New Roman" w:hAnsi="Times New Roman"/>
          <w:color w:val="auto"/>
        </w:rPr>
        <w:tab/>
        <w:t>shvaća da EPPO u svojim aktivnostima primjenjuje pristup koji se temelji na riziku, s naglaskom na utvrđivanju visokorizičnih područja; pozdravlja donošenje administrativne politike za unutarnju kontrolu EPPO-a i poziva upravu EPPO-a da prati učinkovitu</w:t>
      </w:r>
      <w:r w:rsidRPr="00B948BF">
        <w:rPr>
          <w:rFonts w:ascii="Times New Roman" w:hAnsi="Times New Roman"/>
        </w:rPr>
        <w:t xml:space="preserve"> </w:t>
      </w:r>
      <w:r w:rsidRPr="00B948BF">
        <w:rPr>
          <w:rFonts w:ascii="Times New Roman" w:hAnsi="Times New Roman"/>
          <w:color w:val="000000" w:themeColor="text1"/>
        </w:rPr>
        <w:t>provedbu 17 načela unutarnje kontrole kako bi se provjerilo jesu li kontinuirano prilagođena planu rasta organizacijske zrelosti EPPO-a; u tom pogledu cijeni nedavno provedeno ocjenjivanje koje je rezultiralo donošenjem plana provedbe koji je usmjeren na utvrđene nedostatke; ističe da su utvrđena glavna preostala visokorizična područja koja proizlaze iz nedostatka resursa (u kojima je EPPO prisiljen birati između aktivnosti koje su jednako ključne za provedbu svojeg mandata ili aktivnosti u kojima nije pruženo razumno jamstvo o usklađenosti sa svim administrativnim standardima);</w:t>
      </w:r>
    </w:p>
    <w:p w:rsidR="00862215" w:rsidRPr="00B948BF" w:rsidRDefault="00862215" w:rsidP="00862215">
      <w:pPr>
        <w:spacing w:after="240"/>
        <w:ind w:left="567" w:hanging="567"/>
        <w:rPr>
          <w:color w:val="000000" w:themeColor="text1"/>
          <w:szCs w:val="24"/>
        </w:rPr>
      </w:pPr>
      <w:r w:rsidRPr="00B948BF">
        <w:rPr>
          <w:color w:val="000000" w:themeColor="text1"/>
        </w:rPr>
        <w:t xml:space="preserve">22. </w:t>
      </w:r>
      <w:r w:rsidRPr="00B948BF">
        <w:rPr>
          <w:color w:val="000000" w:themeColor="text1"/>
        </w:rPr>
        <w:tab/>
        <w:t xml:space="preserve">pozdravlja donošenje ključnih pokazatelja uspješnosti za operativne i administrativne aktivnosti povezane s godišnjim i višegodišnjim programom rada; primjećuje da glavni ključni pokazatelji uspješnosti za operativne aktivnosti ne uključuju nikakvo posebno upućivanje na iznose koji su nadoknađeni iz proračuna Unije, čija je zaštita u konačnici </w:t>
      </w:r>
      <w:r w:rsidRPr="00B948BF">
        <w:rPr>
          <w:color w:val="000000" w:themeColor="text1"/>
        </w:rPr>
        <w:lastRenderedPageBreak/>
        <w:t>i razlog postojanja strukture za borbu protiv prevara, a EPPO je važna sastavnica te strukture; traži od EPPO-a da utvrdi pokazatelje povezane s postizanjem te važne zadaće;</w:t>
      </w:r>
    </w:p>
    <w:p w:rsidR="00862215" w:rsidRPr="00B948BF" w:rsidRDefault="00862215" w:rsidP="00862215">
      <w:pPr>
        <w:pStyle w:val="Default"/>
        <w:widowControl w:val="0"/>
        <w:autoSpaceDE/>
        <w:autoSpaceDN/>
        <w:adjustRightInd/>
        <w:spacing w:after="240"/>
        <w:ind w:left="567" w:hanging="567"/>
        <w:rPr>
          <w:rFonts w:ascii="Times New Roman" w:hAnsi="Times New Roman" w:cs="Times New Roman"/>
          <w:bCs/>
          <w:color w:val="000000" w:themeColor="text1"/>
        </w:rPr>
      </w:pPr>
      <w:r w:rsidRPr="00B948BF">
        <w:rPr>
          <w:rFonts w:ascii="Times New Roman" w:hAnsi="Times New Roman"/>
          <w:color w:val="000000" w:themeColor="text1"/>
        </w:rPr>
        <w:t xml:space="preserve">23. </w:t>
      </w:r>
      <w:r w:rsidRPr="00B948BF">
        <w:rPr>
          <w:rFonts w:ascii="Times New Roman" w:hAnsi="Times New Roman"/>
          <w:color w:val="000000" w:themeColor="text1"/>
        </w:rPr>
        <w:tab/>
        <w:t>cijeni činjenicu da je kolegij EPPO-a 2022. donio Povelju o unutarnjoj reviziji Odjela za unutarnju reviziju i plan revizije koji se temelji na riziku, u kojima su utvrđeni prioriteti unutarnje revizije za razdoblje 2022. – 2024.; potiče Službu za unutarnju reviziju i Odjel za unutarnju reviziju da koordiniraju svoje aktivnosti u cilju pružanja savjeta i pomoći EPPO-u u uspostavi njegovih glavnih procesa i postizanju njegovih ciljeva;</w:t>
      </w:r>
    </w:p>
    <w:p w:rsidR="00862215" w:rsidRPr="00B948BF" w:rsidRDefault="00862215" w:rsidP="00862215">
      <w:pPr>
        <w:pStyle w:val="NormalHanging12a"/>
        <w:rPr>
          <w:szCs w:val="24"/>
        </w:rPr>
      </w:pPr>
      <w:r w:rsidRPr="00B948BF">
        <w:t>24.</w:t>
      </w:r>
      <w:r w:rsidRPr="00B948BF">
        <w:tab/>
        <w:t xml:space="preserve">poziva na uspostavu boljeg sustava praćenja rezultata i praćenja financijskog učinka rada EPPO-a; napominje da su potrebni </w:t>
      </w:r>
      <w:proofErr w:type="spellStart"/>
      <w:r w:rsidRPr="00B948BF">
        <w:t>objedinjeniji</w:t>
      </w:r>
      <w:proofErr w:type="spellEnd"/>
      <w:r w:rsidRPr="00B948BF">
        <w:t xml:space="preserve"> podaci o predmetima kako bi se bolje utvrdili obrasci prevara; potiče kontinuiranu koordinaciju s </w:t>
      </w:r>
      <w:proofErr w:type="spellStart"/>
      <w:r w:rsidRPr="00B948BF">
        <w:t>Europolom</w:t>
      </w:r>
      <w:proofErr w:type="spellEnd"/>
      <w:r w:rsidRPr="00B948BF">
        <w:t xml:space="preserve"> u tom području;</w:t>
      </w:r>
    </w:p>
    <w:p w:rsidR="00862215" w:rsidRPr="00B948BF" w:rsidRDefault="00862215" w:rsidP="00862215">
      <w:pPr>
        <w:spacing w:after="240"/>
        <w:ind w:left="567" w:hanging="567"/>
        <w:rPr>
          <w:color w:val="000000" w:themeColor="text1"/>
          <w:szCs w:val="24"/>
        </w:rPr>
      </w:pPr>
      <w:r w:rsidRPr="00B948BF">
        <w:rPr>
          <w:color w:val="000000" w:themeColor="text1"/>
        </w:rPr>
        <w:t xml:space="preserve">25. </w:t>
      </w:r>
      <w:r w:rsidRPr="00B948BF">
        <w:rPr>
          <w:color w:val="000000" w:themeColor="text1"/>
        </w:rPr>
        <w:tab/>
        <w:t>napominje da EPPO nastoji postići potpunu usklađenost sa standardima Unije u području javnog upravljanja i podsjeća da se donošenje sveobuhvatnog plana kontinuiteta poslovanja ubraja među osnovne zahtjeve;</w:t>
      </w:r>
    </w:p>
    <w:p w:rsidR="00862215" w:rsidRPr="00B948BF" w:rsidRDefault="00862215" w:rsidP="00862215">
      <w:pPr>
        <w:pStyle w:val="NormalHanging12a"/>
        <w:rPr>
          <w:b/>
          <w:i/>
          <w:color w:val="000000" w:themeColor="text1"/>
          <w:szCs w:val="24"/>
        </w:rPr>
      </w:pPr>
      <w:r w:rsidRPr="00B948BF">
        <w:rPr>
          <w:b/>
          <w:i/>
          <w:color w:val="000000" w:themeColor="text1"/>
        </w:rPr>
        <w:t>Ljudski resursi, jednakost i dobrobit osoblja</w:t>
      </w:r>
    </w:p>
    <w:p w:rsidR="00862215" w:rsidRPr="00B948BF" w:rsidRDefault="00862215" w:rsidP="00862215">
      <w:pPr>
        <w:pStyle w:val="NormalHanging12a"/>
        <w:rPr>
          <w:color w:val="000000" w:themeColor="text1"/>
          <w:szCs w:val="24"/>
        </w:rPr>
      </w:pPr>
      <w:r w:rsidRPr="00B948BF">
        <w:rPr>
          <w:color w:val="000000" w:themeColor="text1"/>
        </w:rPr>
        <w:t xml:space="preserve">26. </w:t>
      </w:r>
      <w:r w:rsidRPr="00B948BF">
        <w:rPr>
          <w:color w:val="000000" w:themeColor="text1"/>
        </w:rPr>
        <w:tab/>
        <w:t>primjećuje uzlazni trend u pogledu broja osoblja, koji se povećao s 58 u 2020. na 122 u 2021. te na 217 do kraja 2022.; svjestan je da je EPPO za 2022. zatražio 171 člana privremenog osoblja, 48 ugovornih djelatnika i 29 upućenih nacionalnih stručnjaka, što predstavlja ukupno 248 radnih mjesta (u odnosu na stanje iz 2021., s 95 članova privremenog osoblja, 35 ugovornih djelatnika i 0 upućenih nacionalnih stručnjaka za ukupno 130 radnih mjesta); napominje da je proračunsko tijelo odobrilo sva zatražena radna mjesta;</w:t>
      </w:r>
    </w:p>
    <w:p w:rsidR="00862215" w:rsidRPr="00B948BF" w:rsidRDefault="00862215" w:rsidP="00862215">
      <w:pPr>
        <w:spacing w:after="240"/>
        <w:ind w:left="567" w:hanging="567"/>
        <w:rPr>
          <w:bCs/>
          <w:color w:val="000000" w:themeColor="text1"/>
          <w:szCs w:val="24"/>
        </w:rPr>
      </w:pPr>
      <w:r w:rsidRPr="00B948BF">
        <w:rPr>
          <w:color w:val="000000" w:themeColor="text1"/>
        </w:rPr>
        <w:t xml:space="preserve">27. </w:t>
      </w:r>
      <w:r w:rsidRPr="00B948BF">
        <w:rPr>
          <w:color w:val="000000" w:themeColor="text1"/>
        </w:rPr>
        <w:tab/>
        <w:t>ističe da su nastojanja EPPO-a da 2022. zaposli odgovarajući broj kvalificiranog osoblja u okviru brzih postupaka rezultirala zapošljavanjem 85 statutarnih djelatnika u središnjem uredu i 22 delegirana europska tužitelja u nacionalnim uredima; napominje da se, s 217 od 248 radnih mjesta predviđenih proračunom na kraju 2022., stopa popunjenosti radnih mjesta za privremeno osoblje, ugovorne djelatnike i upućene nacionalne stručnjake smanjila na 87,5 % (u usporedbi s 94 % u 2021.), uzimajući u obzir da je stopa popunjenosti za europske tužitelje porasla na 82,1 % (pri čemu je popunjeno 115 od 140 radnih mjesta za europske tužitelje koja su predviđena proračunom) u usporedbi sa 68 % u 2021. (sa samo 95 od 140 popunjenih radnih mjesta za europske tužitelje koja su predviđena proračunom), čime je ukupna globalna stopa popunjenosti dosegnula 85,56 % (u usporedbi s 81 % u 2021.);</w:t>
      </w:r>
    </w:p>
    <w:p w:rsidR="00862215" w:rsidRPr="00B948BF" w:rsidRDefault="00862215" w:rsidP="00862215">
      <w:pPr>
        <w:pStyle w:val="NormalHanging12a"/>
        <w:rPr>
          <w:b/>
          <w:i/>
          <w:szCs w:val="24"/>
        </w:rPr>
      </w:pPr>
      <w:r w:rsidRPr="00B948BF">
        <w:t>28.</w:t>
      </w:r>
      <w:r w:rsidRPr="00B948BF">
        <w:tab/>
        <w:t>ističe da je tijekom posjeta EPPO-u u sklopu misije proračunskog nadzora u Luxembourgu 2023. EPPO izrazio veliku potrebu za većim brojem pravnih stručnjaka za vođenje velikog broja istraga; napominje da je 2022. bilo više od 1117 aktivnih istraga (statistika EPPO-a za 2022.); uviđa da je Komisija već bila aktivna u tom području, ali traži da se osiguraju dodatni kapaciteti, posebno s obzirom na zaostatke i dodatne predmete povezane s Mehanizmom za oporavak i otpornost te dalekosežne prevare u vezi s PDV-om; ističe da je Komisija možda podcijenila potrebe i kapacitete; prima na znanje da su Glavna uprava za proračun i Komisija dosad ispunili zahtjeve EPPO-a;</w:t>
      </w:r>
    </w:p>
    <w:p w:rsidR="00862215" w:rsidRPr="00B948BF" w:rsidRDefault="00862215" w:rsidP="00862215">
      <w:pPr>
        <w:spacing w:after="240"/>
        <w:ind w:left="567" w:hanging="567"/>
        <w:rPr>
          <w:bCs/>
          <w:color w:val="000000" w:themeColor="text1"/>
          <w:szCs w:val="24"/>
        </w:rPr>
      </w:pPr>
      <w:r w:rsidRPr="00B948BF">
        <w:rPr>
          <w:color w:val="000000" w:themeColor="text1"/>
        </w:rPr>
        <w:t xml:space="preserve">29. </w:t>
      </w:r>
      <w:r w:rsidRPr="00B948BF">
        <w:rPr>
          <w:color w:val="000000" w:themeColor="text1"/>
        </w:rPr>
        <w:tab/>
        <w:t xml:space="preserve">shvaća da se, u skladu s većim brojem operativnog osoblja, očekuje povećanje </w:t>
      </w:r>
      <w:r w:rsidRPr="00B948BF">
        <w:rPr>
          <w:color w:val="000000" w:themeColor="text1"/>
        </w:rPr>
        <w:lastRenderedPageBreak/>
        <w:t>administrativnih i središnjih potpornih funkcija te da će dodatno zapošljavanje biti ključno i u području digitalnih i sigurnosnih usluga; cijeni činjenicu da su dodatne potrebe u operativnom smislu uključene u jedinstveni programski dokument EPPO-a za razdoblje 2024. – 2026. i zahtjev za proračun za 2024.;</w:t>
      </w:r>
    </w:p>
    <w:p w:rsidR="00862215" w:rsidRPr="00B948BF" w:rsidRDefault="00862215" w:rsidP="00862215">
      <w:pPr>
        <w:spacing w:after="240"/>
        <w:ind w:left="567" w:hanging="567"/>
        <w:rPr>
          <w:bCs/>
          <w:color w:val="000000" w:themeColor="text1"/>
          <w:szCs w:val="24"/>
        </w:rPr>
      </w:pPr>
      <w:r w:rsidRPr="00B948BF">
        <w:rPr>
          <w:color w:val="000000" w:themeColor="text1"/>
        </w:rPr>
        <w:t xml:space="preserve">30. </w:t>
      </w:r>
      <w:r w:rsidRPr="00B948BF">
        <w:rPr>
          <w:color w:val="000000" w:themeColor="text1"/>
        </w:rPr>
        <w:tab/>
        <w:t xml:space="preserve">svjestan je da je luksemburško tržište rada vrlo konkurentno i da uvjeti koje nudi administracija Unije nisu privlačni na lokalnom tržištu (podložno različitoj </w:t>
      </w:r>
      <w:proofErr w:type="spellStart"/>
      <w:r w:rsidRPr="00B948BF">
        <w:rPr>
          <w:color w:val="000000" w:themeColor="text1"/>
        </w:rPr>
        <w:t>indeksaciji</w:t>
      </w:r>
      <w:proofErr w:type="spellEnd"/>
      <w:r w:rsidRPr="00B948BF">
        <w:rPr>
          <w:color w:val="000000" w:themeColor="text1"/>
        </w:rPr>
        <w:t xml:space="preserve"> plaća tijekom cijele godine) niti se njima na odgovarajući način uzimaju u obzir visoki troškovi života (posebno u području stanovanja); shvaća da je ta teška situacija još ozbiljnija za pripravnike i ugovorne djelatnike, zbog čega je ugovorno osoblje u postupku postupnog ukidanja u korist radnih mjesta privremenog osoblja koje ima povoljnije ugovore; napominje da je privlačenje i zadržavanje osoblja 2022. postalo još teže zbog stope inflacije i povećanih troškova života te da brojke o naknadama nemaju isti pozitivan učinak kao i izvan administracije Unije, u kojoj se nacionalnom </w:t>
      </w:r>
      <w:proofErr w:type="spellStart"/>
      <w:r w:rsidRPr="00B948BF">
        <w:rPr>
          <w:color w:val="000000" w:themeColor="text1"/>
        </w:rPr>
        <w:t>indeksacijom</w:t>
      </w:r>
      <w:proofErr w:type="spellEnd"/>
      <w:r w:rsidRPr="00B948BF">
        <w:rPr>
          <w:color w:val="000000" w:themeColor="text1"/>
        </w:rPr>
        <w:t xml:space="preserve"> plaća nadalje štiti kupovna moć građana;</w:t>
      </w:r>
    </w:p>
    <w:p w:rsidR="00862215" w:rsidRPr="00B948BF" w:rsidRDefault="00862215" w:rsidP="00862215">
      <w:pPr>
        <w:pStyle w:val="NormalHanging12a"/>
        <w:rPr>
          <w:szCs w:val="24"/>
        </w:rPr>
      </w:pPr>
      <w:r w:rsidRPr="00B948BF">
        <w:t>31.</w:t>
      </w:r>
      <w:r w:rsidRPr="00B948BF">
        <w:tab/>
        <w:t>napominje da je EPPO postao manje privlačan od ostalih četiriju institucija Unije koje posluju u Luksemburgu jer ne može ponuditi mogućnost da zaposlenik postane dužnosnik Unije; ističe potrebu da EPPO ugovornom i privremenom osoblju ponudi privlačne plaće koje su konkurentne onima koje se nude u privatnom sektoru, uključujući pravne usluge i informatičke usluge, kako bi se privukli najbolji i najpametniji talenti s međunarodnim iskustvom; naglašava da će možda biti potrebno prilagoditi trenutačne plaće i proračun kako bi se to uzelo u obzir;</w:t>
      </w:r>
    </w:p>
    <w:p w:rsidR="00862215" w:rsidRPr="00B948BF" w:rsidRDefault="00862215" w:rsidP="00862215">
      <w:pPr>
        <w:pStyle w:val="NormalHanging12a"/>
        <w:rPr>
          <w:szCs w:val="24"/>
        </w:rPr>
      </w:pPr>
      <w:r w:rsidRPr="00B948BF">
        <w:t>32.</w:t>
      </w:r>
      <w:r w:rsidRPr="00B948BF">
        <w:tab/>
        <w:t>primjećuje da se na kraju 2022. na odgovarajući način nastoji postići zemljopisna i rodna ravnoteža među 217 članova osoblja (koje broji 122 muškarca i 95 žena); pozdravlja činjenicu da osoblje zaduženo za zapošljavanje stalno prati raščlambu osoblja EPPO-a prema državljanstvu, kako bi se osigurala ravnoteža, a posebno u svjetlu nejednake raspodjele podnositelja zahtjeva; napominje, međutim, da rodna raspodjela na višim i srednjim rukovodećim položajima (četiri prema jedan) i dalje nije optimalna i ponavlja da bi taj aspekt trebalo poboljšati u okviru cjelokupne strategije raznolikosti, uključujući odgovarajuće poticanje osoba s invaliditetom da se prijave; ponavlja svoj zahtjev EPPO-u da bez odgode donese povelju o raznolikosti i uključivanju, uzimajući u obzir povećanje broja osoblja u protekloj godini;</w:t>
      </w:r>
    </w:p>
    <w:p w:rsidR="00862215" w:rsidRPr="00B948BF" w:rsidRDefault="00862215" w:rsidP="00862215">
      <w:pPr>
        <w:spacing w:after="240"/>
        <w:ind w:left="567" w:hanging="567"/>
        <w:rPr>
          <w:bCs/>
          <w:color w:val="000000" w:themeColor="text1"/>
          <w:szCs w:val="24"/>
        </w:rPr>
      </w:pPr>
      <w:r w:rsidRPr="00B948BF">
        <w:rPr>
          <w:color w:val="000000" w:themeColor="text1"/>
        </w:rPr>
        <w:t xml:space="preserve">33. </w:t>
      </w:r>
      <w:r w:rsidRPr="00B948BF">
        <w:rPr>
          <w:color w:val="000000" w:themeColor="text1"/>
        </w:rPr>
        <w:tab/>
        <w:t>napominje da je do kraja 2022. u istražne aktivnosti bilo uključeno 275 članova osoblja (82,83 % u usporedbi sa 186 članova osoblja, što je 86 % u 2021.) od njih 332 (privremeno osoblje, ugovorno osoblje, upućeni nacionalni stručnjaci i delegirani europski tužitelji), dok je 57 članova osoblja bilo zaposleno na funkcijama administrativne podrške i kontrole (17,17 %), a devet radnih mjesta za istražitelje ostalo je slobodno;</w:t>
      </w:r>
    </w:p>
    <w:p w:rsidR="00862215" w:rsidRPr="00B948BF" w:rsidRDefault="00862215" w:rsidP="00862215">
      <w:pPr>
        <w:pStyle w:val="NormalHanging12a"/>
        <w:rPr>
          <w:b/>
          <w:i/>
          <w:szCs w:val="24"/>
        </w:rPr>
      </w:pPr>
      <w:r w:rsidRPr="00B948BF">
        <w:t>34.</w:t>
      </w:r>
      <w:r w:rsidRPr="00B948BF">
        <w:tab/>
        <w:t>napominje da je imenovanje delegiranih europskih tužitelja zajednička odgovornost Ureda europskog javnog tužitelja i država članica; naglašava da postupak imenovanja uvijek mora biti u skladu s člankom 17. Uredbe (EU) 2017/1939 i s načelom autonomije nacionalnih postupaka;</w:t>
      </w:r>
    </w:p>
    <w:p w:rsidR="00862215" w:rsidRPr="00B948BF" w:rsidRDefault="00862215" w:rsidP="00862215">
      <w:pPr>
        <w:spacing w:after="240"/>
        <w:ind w:left="567" w:hanging="567"/>
        <w:rPr>
          <w:color w:val="000000" w:themeColor="text1"/>
          <w:szCs w:val="24"/>
        </w:rPr>
      </w:pPr>
      <w:r w:rsidRPr="00B948BF">
        <w:rPr>
          <w:color w:val="000000" w:themeColor="text1"/>
        </w:rPr>
        <w:t xml:space="preserve">35. </w:t>
      </w:r>
      <w:r w:rsidRPr="00B948BF">
        <w:rPr>
          <w:color w:val="000000" w:themeColor="text1"/>
        </w:rPr>
        <w:tab/>
        <w:t xml:space="preserve">zadovoljan je povećanim brojem delegiranih europskih tužitelja koji su zaposleni u nekoliko država članica; svjestan je da bi se sudjelovanje kvalificiranih kandidata moglo povećati, a postupak imenovanja mogao bi biti selektivniji utvrđivanjem jasne perspektive za razvoj karijere i povoljnije administrativne discipline u pogledu socijalnog i zdravstvenog osiguranja; smatra da bi stvaranje posebnog statusa za </w:t>
      </w:r>
      <w:r w:rsidRPr="00B948BF">
        <w:rPr>
          <w:color w:val="000000" w:themeColor="text1"/>
        </w:rPr>
        <w:lastRenderedPageBreak/>
        <w:t>delegirane europske tužitelje, kao što sugerira priroda njihove pravosudne funkcije, učinilo ta radna mjesta privlačnijima; poziva EPPO i Komisiju da u cilju postizanja tog rezultata istraže sva moguća rješenja kako bi poboljšali svoj dijalog, uzimajući u obzir koristi koje bi to donijelo u pogledu kompetencija i operativne učinkovitosti; ponovno ističe svoje mišljenje da se tom situacijom dodatno podupire poziv na reviziju Uredbe (EU) 2017/1939 i statusa EPPO-a;</w:t>
      </w:r>
    </w:p>
    <w:p w:rsidR="00862215" w:rsidRPr="00B948BF" w:rsidRDefault="00862215" w:rsidP="00862215">
      <w:pPr>
        <w:spacing w:after="240"/>
        <w:ind w:left="567" w:hanging="567"/>
        <w:rPr>
          <w:color w:val="000000" w:themeColor="text1"/>
          <w:szCs w:val="24"/>
        </w:rPr>
      </w:pPr>
      <w:r w:rsidRPr="00B948BF">
        <w:rPr>
          <w:color w:val="000000" w:themeColor="text1"/>
        </w:rPr>
        <w:t xml:space="preserve">36. </w:t>
      </w:r>
      <w:r w:rsidRPr="00B948BF">
        <w:rPr>
          <w:color w:val="000000" w:themeColor="text1"/>
        </w:rPr>
        <w:tab/>
        <w:t>primjećuje da EPPO i dalje zapošljava vanjske pružatelje usluga koji rade na licu mjesta (39 članova osoblja 2022.); svjestan je da je EPPO tijekom 2022. još jednom morao pribjeći angažiranju privremenog osoblja za financijske transakcije, čime je prekršio vlastita financijska pravila; shvaća da je ta odluka, koja je transparentno objavljena, nametnuta zbog potrebe za raspoređivanjem dostupnog statutarnog osoblja na pozicije istražitelja i tužitelja; napominje, međutim, da se EPPO zbog povećanja broja osoblja prestao oslanjati na privremeno osoblje za obradu financijskih transakcija;</w:t>
      </w:r>
    </w:p>
    <w:p w:rsidR="00862215" w:rsidRPr="00B948BF" w:rsidRDefault="00862215" w:rsidP="00862215">
      <w:pPr>
        <w:spacing w:after="240"/>
        <w:ind w:left="567" w:hanging="567"/>
        <w:rPr>
          <w:color w:val="000000" w:themeColor="text1"/>
          <w:szCs w:val="24"/>
        </w:rPr>
      </w:pPr>
      <w:r w:rsidRPr="00B948BF">
        <w:rPr>
          <w:color w:val="000000" w:themeColor="text1"/>
        </w:rPr>
        <w:t xml:space="preserve">37. </w:t>
      </w:r>
      <w:r w:rsidRPr="00B948BF">
        <w:rPr>
          <w:color w:val="000000" w:themeColor="text1"/>
        </w:rPr>
        <w:tab/>
        <w:t xml:space="preserve">primjećuje povećane troškove povezane s tečajevima osposobljavanja 2022. i shvaća da je to dovelo do intenzivnijeg korištenja platforme EU </w:t>
      </w:r>
      <w:proofErr w:type="spellStart"/>
      <w:r w:rsidRPr="00B948BF">
        <w:rPr>
          <w:color w:val="000000" w:themeColor="text1"/>
        </w:rPr>
        <w:t>Learn</w:t>
      </w:r>
      <w:proofErr w:type="spellEnd"/>
      <w:r w:rsidRPr="00B948BF">
        <w:rPr>
          <w:color w:val="000000" w:themeColor="text1"/>
        </w:rPr>
        <w:t>, čiji se trošak gotovo udvostručio;</w:t>
      </w:r>
    </w:p>
    <w:p w:rsidR="00862215" w:rsidRPr="00B948BF" w:rsidRDefault="00862215" w:rsidP="00862215">
      <w:pPr>
        <w:spacing w:after="240"/>
        <w:ind w:left="567" w:hanging="567"/>
        <w:rPr>
          <w:bCs/>
          <w:color w:val="000000" w:themeColor="text1"/>
          <w:szCs w:val="24"/>
        </w:rPr>
      </w:pPr>
      <w:bookmarkStart w:id="10" w:name="_heading=h.3znysh7"/>
      <w:bookmarkEnd w:id="10"/>
      <w:r w:rsidRPr="00B948BF">
        <w:rPr>
          <w:color w:val="000000" w:themeColor="text1"/>
        </w:rPr>
        <w:t xml:space="preserve">38. </w:t>
      </w:r>
      <w:r w:rsidRPr="00B948BF">
        <w:rPr>
          <w:color w:val="000000" w:themeColor="text1"/>
        </w:rPr>
        <w:tab/>
        <w:t>naglašava da se dvama skupovima pravila trenutačno definiraju fleksibilni radni uvjeti i režim rada na daljinu, da se odluka kolegija EPPO-a o radnom vremenu donesena u listopadu 2021. primjenjuje samo na tužitelje i upravnog direktora, a odluka kolegija EPPO-a donesena u prosincu 2022. na preostalo osoblje; naglašava da su obje odluke na snazi i da se istodobno primjenjuju na dotične adresate;</w:t>
      </w:r>
    </w:p>
    <w:p w:rsidR="00862215" w:rsidRPr="00B948BF" w:rsidRDefault="00862215" w:rsidP="00862215">
      <w:pPr>
        <w:spacing w:after="240"/>
        <w:ind w:left="567" w:hanging="567"/>
        <w:rPr>
          <w:color w:val="000000" w:themeColor="text1"/>
          <w:szCs w:val="24"/>
        </w:rPr>
      </w:pPr>
      <w:r w:rsidRPr="00B948BF">
        <w:rPr>
          <w:color w:val="000000" w:themeColor="text1"/>
        </w:rPr>
        <w:t xml:space="preserve">39. </w:t>
      </w:r>
      <w:r w:rsidRPr="00B948BF">
        <w:rPr>
          <w:color w:val="000000" w:themeColor="text1"/>
        </w:rPr>
        <w:tab/>
        <w:t>shvaća da je prva odluka restriktivnija i da se njome radno vrijeme i povezane mogućnosti za razine upravljanja prilagođavaju zahtjevima EPPO-a kako bi se zajamčila dosljednost i kontinuitet postupaka donošenja odluka, dok se drugom nastoji optimizirati ravnoteža između poslovnog i privatnog života; primjećuje da je slična razlika usvojena za režim rada na daljinu, prema kojem uprava ima pravo na rad na daljinu najviše 60 dana u kalendarskoj godini, dok drugo osoblje može odlučiti raditi na daljinu između 20 % i 60 % tjednog radnog vremena; napominje da obje skupine osoblja mogu raditi na daljinu iz inozemstva do najviše 10 radnih dana; potiče EPPO da se savjetuje sa svojim osobljem pokretanjem ankete kako bi se provjerila razina zadovoljstva i da se savjetuje s odborom osoblja o svim daljnjim odlukama koje treba donijeti o tom pitanju;</w:t>
      </w:r>
    </w:p>
    <w:p w:rsidR="00862215" w:rsidRPr="00B948BF" w:rsidRDefault="00862215" w:rsidP="00862215">
      <w:pPr>
        <w:pStyle w:val="NormalHanging12a"/>
        <w:rPr>
          <w:color w:val="000000" w:themeColor="text1"/>
          <w:szCs w:val="24"/>
        </w:rPr>
      </w:pPr>
      <w:r w:rsidRPr="00B948BF">
        <w:rPr>
          <w:color w:val="000000" w:themeColor="text1"/>
        </w:rPr>
        <w:t xml:space="preserve">40. </w:t>
      </w:r>
      <w:r w:rsidRPr="00B948BF">
        <w:rPr>
          <w:color w:val="000000" w:themeColor="text1"/>
        </w:rPr>
        <w:tab/>
        <w:t>napominje da nije prijavljen nijedan slučaj izgaranja na poslu ili uznemiravanja te da je broj dugotrajnih bolovanja vrlo ograničen; pozdravlja i činjenicu da su glavni europski tužitelj i europski tužitelji usvojili strukturirani postupak za prijavljivanje slučajeva uznemiravanja te da su ga obznanili cjelokupnom osoblju;</w:t>
      </w:r>
    </w:p>
    <w:p w:rsidR="00862215" w:rsidRPr="00B948BF" w:rsidRDefault="00862215" w:rsidP="00862215">
      <w:pPr>
        <w:pStyle w:val="NormalHanging12a"/>
        <w:rPr>
          <w:szCs w:val="24"/>
        </w:rPr>
      </w:pPr>
      <w:r w:rsidRPr="00B948BF">
        <w:t>41.</w:t>
      </w:r>
      <w:r w:rsidRPr="00B948BF">
        <w:tab/>
        <w:t xml:space="preserve">pozdravlja činjenicu da će dobrobit osoblja predstavljati ključnu dimenziju šire primjene okvira za ljudske resurse te da će EPPO namijeniti sve veće resurse dobrobiti osoblja; snažno potiče EPPO da uskladi svoje trenutačne i buduće politike o uključivanju, uznemiravanju i jednakosti te da redovito pokreće ankete među svojim osobljem, po mogućnosti promicanjem </w:t>
      </w:r>
      <w:proofErr w:type="spellStart"/>
      <w:r w:rsidRPr="00B948BF">
        <w:t>istorazinske</w:t>
      </w:r>
      <w:proofErr w:type="spellEnd"/>
      <w:r w:rsidRPr="00B948BF">
        <w:t xml:space="preserve"> ocjene s drugim tijelima strukture za borbu protiv prevara (</w:t>
      </w:r>
      <w:proofErr w:type="spellStart"/>
      <w:r w:rsidRPr="00B948BF">
        <w:t>Eurojust</w:t>
      </w:r>
      <w:proofErr w:type="spellEnd"/>
      <w:r w:rsidRPr="00B948BF">
        <w:t>, OLAF itd.) i općenito poticanjem raznolikosti kako bi radno mjesto postalo privlačnije kandidatima s posebnim potrebama;</w:t>
      </w:r>
    </w:p>
    <w:p w:rsidR="00862215" w:rsidRPr="00B948BF" w:rsidRDefault="00862215" w:rsidP="00862215">
      <w:pPr>
        <w:pStyle w:val="NormalHanging12a"/>
        <w:rPr>
          <w:szCs w:val="24"/>
        </w:rPr>
      </w:pPr>
      <w:r w:rsidRPr="00B948BF">
        <w:t>42.</w:t>
      </w:r>
      <w:r w:rsidRPr="00B948BF">
        <w:tab/>
        <w:t xml:space="preserve">primjećuje da 2022. nijedna osoba nije primljena na stažiranje, no dodaje da je u pripremama za donošenje buduće politike ljudskih resursa uključena mogućnost </w:t>
      </w:r>
      <w:r w:rsidRPr="00B948BF">
        <w:lastRenderedPageBreak/>
        <w:t>primanja stažista; podržava prijedlog i provedbu pilot-programa stažiranja početkom 2023., čiji se rezultati trenutačno razmatraju u cilju provedbe programa stažiranja od 2024.; naglašava da izazovi koje nameću troškovi života u Luksemburgu predstavljaju znatnu prepreku za potencijalne pripravnike; tvrdi da bi stažiranje trebalo biti plaćeno kako bi bilo usklađeno s Rezolucijom Europskog parlamenta od 14. lipnja 2023. o kvalitetnim pri</w:t>
      </w:r>
      <w:r w:rsidR="007E052D">
        <w:t>pravništvima u Uniji (2020/2005</w:t>
      </w:r>
      <w:bookmarkStart w:id="11" w:name="_GoBack"/>
      <w:bookmarkEnd w:id="11"/>
      <w:r w:rsidR="004749F7">
        <w:t>(</w:t>
      </w:r>
      <w:r w:rsidRPr="00B948BF">
        <w:t>INL</w:t>
      </w:r>
      <w:r w:rsidR="004749F7">
        <w:t>)</w:t>
      </w:r>
      <w:r w:rsidRPr="00B948BF">
        <w:t>) u kojoj se zahtijeva da svi stažisti u Europi budu plaćeni;</w:t>
      </w:r>
    </w:p>
    <w:p w:rsidR="00862215" w:rsidRPr="00B948BF" w:rsidRDefault="00862215" w:rsidP="00862215">
      <w:pPr>
        <w:spacing w:after="240"/>
        <w:ind w:left="567" w:hanging="567"/>
        <w:rPr>
          <w:b/>
          <w:i/>
          <w:color w:val="000000"/>
          <w:szCs w:val="24"/>
        </w:rPr>
      </w:pPr>
      <w:r w:rsidRPr="00B948BF">
        <w:rPr>
          <w:b/>
          <w:i/>
          <w:color w:val="000000"/>
        </w:rPr>
        <w:t>Etički okvir i transparentnost</w:t>
      </w:r>
    </w:p>
    <w:p w:rsidR="00862215" w:rsidRPr="00B948BF" w:rsidRDefault="00862215" w:rsidP="00862215">
      <w:pPr>
        <w:spacing w:after="240"/>
        <w:ind w:left="567" w:hanging="567"/>
        <w:rPr>
          <w:color w:val="000000" w:themeColor="text1"/>
          <w:szCs w:val="24"/>
        </w:rPr>
      </w:pPr>
      <w:r w:rsidRPr="00B948BF">
        <w:rPr>
          <w:color w:val="000000" w:themeColor="text1"/>
        </w:rPr>
        <w:t xml:space="preserve">43. </w:t>
      </w:r>
      <w:r w:rsidRPr="00B948BF">
        <w:rPr>
          <w:color w:val="000000" w:themeColor="text1"/>
        </w:rPr>
        <w:tab/>
        <w:t>napominje da se u Kodeksu ponašanja EPPO-a navode očekivani standardi ponašanja zaposlenika na svim razinama i da su tijekom 2022. etički postupci donošenja odluka ojačani provedbom posebnih smjernica za rješavanje etičkih dvojbi i donošenje etičkih odluka o vanjskim aktivnostima i prihvaćanju darova i gostoprimstva;</w:t>
      </w:r>
    </w:p>
    <w:p w:rsidR="00862215" w:rsidRPr="00B948BF" w:rsidRDefault="00862215" w:rsidP="00862215">
      <w:pPr>
        <w:pStyle w:val="Default"/>
        <w:spacing w:after="240"/>
        <w:ind w:left="567" w:hanging="567"/>
        <w:rPr>
          <w:rFonts w:ascii="Times New Roman" w:hAnsi="Times New Roman" w:cs="Times New Roman"/>
          <w:bCs/>
          <w:color w:val="000000" w:themeColor="text1"/>
        </w:rPr>
      </w:pPr>
      <w:r w:rsidRPr="00B948BF">
        <w:rPr>
          <w:rFonts w:ascii="Times New Roman" w:hAnsi="Times New Roman"/>
          <w:color w:val="000000" w:themeColor="text1"/>
        </w:rPr>
        <w:t xml:space="preserve">44. </w:t>
      </w:r>
      <w:r w:rsidRPr="00B948BF">
        <w:rPr>
          <w:rFonts w:ascii="Times New Roman" w:hAnsi="Times New Roman"/>
          <w:color w:val="000000" w:themeColor="text1"/>
        </w:rPr>
        <w:tab/>
        <w:t>primjećuje da se za osoblje EPPO-a organiziraju redoviti tečajevi osposobljavanja (dva puta mjesečno) o etičkom okviru EPPO-a, Kodeksu o dobrom ponašanju zaposlenih u upravi i strategiji za borbu protiv prevara te da je 2022. pokrenuta posebna intranetska stranica EPPO-a o etičkom okviru; u tom pogledu napominje da se čini da je trenutačno sudjelovanje osoblja u tečajevima za podizanje svijesti ograničeno (ukupno 69 članova osoblja sudjelovalo je u tečajevima osposobljavanja 2022.); traži od EPPO-a da istraži održive opcije za povećanje sudjelovanja; žali zbog toga što još nije pokrenuta anketa kako bi se ocijenila osviještenost osoblja o etici i potiče EPPO da intenzivira dijalog s osobljem putem anketa i poticanjem sudjelovanja osoblja na redovitim općim okupljanjima;</w:t>
      </w:r>
    </w:p>
    <w:p w:rsidR="00862215" w:rsidRPr="00B948BF" w:rsidRDefault="00862215" w:rsidP="00862215">
      <w:pPr>
        <w:pStyle w:val="NormalHanging12a"/>
        <w:rPr>
          <w:szCs w:val="24"/>
        </w:rPr>
      </w:pPr>
      <w:r w:rsidRPr="00B948BF">
        <w:t>45.</w:t>
      </w:r>
      <w:r w:rsidRPr="00B948BF">
        <w:tab/>
        <w:t>napominje da 2022. nije bilo prijavljenih slučajeva sukoba interesa koji su se mogli dokazati; pozdravlja politiku sukoba interesa na kojoj se trenutačno radi; napominje da su uspostavljena posebna pravila o sukobu interesa za članove kolegija EPPO-a, delegirane europske tužitelje i članove osoblja operativnog odjela; primjećuje da kodeks profesionalnih standarda za osoblje EPPO-a odgovorno za izvršenje proračuna te dokument o zadaćama i odgovornostima dužnosnika za ovjeravanje na osnovi delegiranja sadržavaju pravila koja se primjenjuju u situacijama mogućih sukoba interesa; primjećuje, međutim, da EPPO, iako poštuje opću odredbu iz članka 16. Pravilnika o osoblju, nije donio ciljanu politiku o „rotirajućim vratima”; potiče EPPO da donese takvu politiku;</w:t>
      </w:r>
    </w:p>
    <w:p w:rsidR="00862215" w:rsidRPr="00B948BF" w:rsidRDefault="00862215" w:rsidP="00862215">
      <w:pPr>
        <w:pStyle w:val="Default"/>
        <w:spacing w:after="240"/>
        <w:ind w:left="567" w:hanging="567"/>
        <w:rPr>
          <w:rFonts w:ascii="Times New Roman" w:hAnsi="Times New Roman" w:cs="Times New Roman"/>
          <w:color w:val="000000" w:themeColor="text1"/>
        </w:rPr>
      </w:pPr>
      <w:r w:rsidRPr="00B948BF">
        <w:rPr>
          <w:rFonts w:ascii="Times New Roman" w:hAnsi="Times New Roman"/>
          <w:color w:val="000000" w:themeColor="text1"/>
        </w:rPr>
        <w:t xml:space="preserve">46. </w:t>
      </w:r>
      <w:r w:rsidRPr="00B948BF">
        <w:rPr>
          <w:rFonts w:ascii="Times New Roman" w:hAnsi="Times New Roman"/>
          <w:color w:val="000000" w:themeColor="text1"/>
        </w:rPr>
        <w:tab/>
        <w:t>napominje da je 2022. službenik za unutarnju kontrolu EPPO-a proveo preispitivanje akcijskog plana za borbu protiv prevara EPPO-a za razdoblje 2021. – 2022., nakon čega je 1. ožujka 2023. donesena ažurirana verzija (strategija za borbu protiv prevara za razdoblje 2023. – 2025.) u kojoj su bili obuhvaćeni nedostaci i novi rizici utvrđeni tijekom prve godine provedbe;</w:t>
      </w:r>
    </w:p>
    <w:p w:rsidR="00862215" w:rsidRPr="00B948BF" w:rsidRDefault="00862215" w:rsidP="00862215">
      <w:pPr>
        <w:pStyle w:val="NormalHanging12a"/>
        <w:rPr>
          <w:szCs w:val="24"/>
        </w:rPr>
      </w:pPr>
      <w:r w:rsidRPr="00B948BF">
        <w:t>47.</w:t>
      </w:r>
      <w:r w:rsidRPr="00B948BF">
        <w:tab/>
        <w:t xml:space="preserve">naglašava da poseban postupak za zviždače i borbu protiv osvete još nije formaliziran, ali na njemu se radilo tijekom 2023. te da se u financijskim pravilima EPPO-a trenutačno pružaju upute o mjerama koje treba slijediti član osoblja ili drugi službenik, uključujući nacionalne stručnjake upućene u EPPO; naglašava da bi politiku o zviždačima i borbi protiv osvete trebalo što prije formalizirati kako bi se osiguralo sigurno i zaštićeno radno mjesto; poziva na pažljivo planiranje i strukturiranje takvog mehanizma kako bi se razlikovalo između istinskih zviždača i osoba koje iznose lažne optužbe, tvrdi da bi trebalo osigurati zaštitu za osobe koje su lažno optužene ili oklevetane te u tom pogledu potiče razvoj normi sličnih onima u drugim institucijama </w:t>
      </w:r>
      <w:r w:rsidRPr="00B948BF">
        <w:lastRenderedPageBreak/>
        <w:t>Unije;</w:t>
      </w:r>
    </w:p>
    <w:p w:rsidR="00862215" w:rsidRPr="00B948BF" w:rsidRDefault="00862215" w:rsidP="00862215">
      <w:pPr>
        <w:pStyle w:val="NormalHanging12a"/>
        <w:rPr>
          <w:szCs w:val="24"/>
        </w:rPr>
      </w:pPr>
      <w:r w:rsidRPr="00B948BF">
        <w:rPr>
          <w:b/>
          <w:i/>
          <w:color w:val="000000"/>
        </w:rPr>
        <w:t>Digitalizacija,</w:t>
      </w:r>
      <w:r w:rsidRPr="00B948BF">
        <w:rPr>
          <w:b/>
          <w:i/>
        </w:rPr>
        <w:t xml:space="preserve"> </w:t>
      </w:r>
      <w:proofErr w:type="spellStart"/>
      <w:r w:rsidRPr="00B948BF">
        <w:rPr>
          <w:b/>
          <w:i/>
          <w:color w:val="000000" w:themeColor="text1"/>
        </w:rPr>
        <w:t>kibernetička</w:t>
      </w:r>
      <w:proofErr w:type="spellEnd"/>
      <w:r w:rsidRPr="00B948BF">
        <w:rPr>
          <w:b/>
          <w:i/>
          <w:color w:val="000000" w:themeColor="text1"/>
        </w:rPr>
        <w:t xml:space="preserve"> sigurnost i zaštita podataka</w:t>
      </w:r>
    </w:p>
    <w:p w:rsidR="00862215" w:rsidRPr="00B948BF" w:rsidRDefault="00862215" w:rsidP="00862215">
      <w:pPr>
        <w:pStyle w:val="Default"/>
        <w:spacing w:after="240"/>
        <w:ind w:left="567" w:hanging="567"/>
        <w:rPr>
          <w:rFonts w:ascii="Times New Roman" w:hAnsi="Times New Roman" w:cs="Times New Roman"/>
          <w:color w:val="000000" w:themeColor="text1"/>
        </w:rPr>
      </w:pPr>
      <w:r w:rsidRPr="00B948BF">
        <w:rPr>
          <w:rFonts w:ascii="Times New Roman" w:hAnsi="Times New Roman"/>
          <w:color w:val="000000" w:themeColor="text1"/>
        </w:rPr>
        <w:t xml:space="preserve">48. </w:t>
      </w:r>
      <w:r w:rsidRPr="00B948BF">
        <w:rPr>
          <w:rFonts w:ascii="Times New Roman" w:hAnsi="Times New Roman"/>
          <w:color w:val="000000" w:themeColor="text1"/>
        </w:rPr>
        <w:tab/>
        <w:t>shvaća da Komisija neće moći putem svoje Glavne uprave za informatiku (sada preimenovane u GU za digitalne usluge) pružati EPPO-u digitalne usluge na radnom mjestu nakon sredine 2024. zbog promjene u IT sustavima Komisije i IT politike kojom se pružanje digitalnih usluga na radnom mjestu ograničava samo na službe Komisije; napominje da je početni pristup EPPO-a bio davanje prednosti resursima za uspostavljanje i funkcioniranje osnovnih digitalnih usluga povezanih s njegovim operativnim aktivnostima, kao što je njegov sustav vođenja predmeta, uzimajući u obzir da bi za digitalne usluge EPPO-a, koje se barem djelomično razlikuju od digitalnih usluga Komisije, u sredini programskog razdoblja bio potreban prilagođen pristup; primjećuje da bi planirani prekid pružanja usluge od strane Komisije mogao stvoriti dodatan problem za organizaciju EPPO-a u ključnoj fazi konsolidacije njegova osnivanja; poziva Komisiju da olakša prijelaz EPPO-a na zadovoljavajuću razinu digitalne autonomije kad je riječ o njegovim osnovnim uslugama;</w:t>
      </w:r>
    </w:p>
    <w:p w:rsidR="00862215" w:rsidRPr="00B948BF" w:rsidRDefault="00862215" w:rsidP="00862215">
      <w:pPr>
        <w:pStyle w:val="NormalHanging12a"/>
        <w:rPr>
          <w:szCs w:val="24"/>
        </w:rPr>
      </w:pPr>
      <w:r w:rsidRPr="00B948BF">
        <w:t>49.</w:t>
      </w:r>
      <w:r w:rsidRPr="00B948BF">
        <w:tab/>
        <w:t>snažno potiče da se IT usluge koje Komisija pruža EPPO-u ne obustave sve dok EPPO ne uspostavi pouzdan IT sustav kako bi se izbjegao gubitak podataka, posebno o spisima predmeta; naglašava da je u vezi s tim potrebna jasna komunikacija i operativna koordinacija na najvišim razinama između Komisije i EPPO-a; naglašava da je neometan i neprekinut prijelaz između sustava ključan za kontinuitet rada, pouzdanost podataka i funkcioniranje operativnih struktura;</w:t>
      </w:r>
    </w:p>
    <w:p w:rsidR="00862215" w:rsidRPr="00B948BF" w:rsidRDefault="00862215" w:rsidP="00862215">
      <w:pPr>
        <w:pStyle w:val="NormalHanging12a"/>
        <w:rPr>
          <w:szCs w:val="24"/>
        </w:rPr>
      </w:pPr>
      <w:r w:rsidRPr="00B948BF">
        <w:t>50.</w:t>
      </w:r>
      <w:r w:rsidRPr="00B948BF">
        <w:tab/>
        <w:t xml:space="preserve">napominje da EPPO nailazi na prepreke povezane s obradom </w:t>
      </w:r>
      <w:proofErr w:type="spellStart"/>
      <w:r w:rsidRPr="00B948BF">
        <w:t>nedigitaliziranih</w:t>
      </w:r>
      <w:proofErr w:type="spellEnd"/>
      <w:r w:rsidRPr="00B948BF">
        <w:t xml:space="preserve"> dokumenata koje u kontekstu istraga prikupljaju nacionalna tijela i privatne strane; poziva države članice da digitaliziraju svoje dokumente i postupke kako bi se EPPO-u omogućilo da bude troškovno učinkovitiji;</w:t>
      </w:r>
    </w:p>
    <w:p w:rsidR="00862215" w:rsidRPr="00B948BF" w:rsidRDefault="00862215" w:rsidP="00862215">
      <w:pPr>
        <w:pStyle w:val="NormalHanging12a"/>
        <w:rPr>
          <w:color w:val="000000" w:themeColor="text1"/>
          <w:szCs w:val="24"/>
        </w:rPr>
      </w:pPr>
      <w:r w:rsidRPr="00B948BF">
        <w:rPr>
          <w:color w:val="000000" w:themeColor="text1"/>
        </w:rPr>
        <w:t xml:space="preserve">51. </w:t>
      </w:r>
      <w:r w:rsidRPr="00B948BF">
        <w:rPr>
          <w:color w:val="000000" w:themeColor="text1"/>
        </w:rPr>
        <w:tab/>
        <w:t xml:space="preserve">shvaća da je trenutačni izazov digitalizacije poboljšanje automatiziranih pretraživanja i zadaća kako bi se povećala uspješnost i upotrebljivost sustava vođenja predmeta EPPO-a, što je ključno kako bi se EPPO-u omogućio širok pregled kriminalnih mreža i utvrdile poveznice među predmetima; primjećuje da su smanjenje eksternalizacije i jačanje sigurnosti ključni za učinkovit odgovor na povećane fizičke i </w:t>
      </w:r>
      <w:proofErr w:type="spellStart"/>
      <w:r w:rsidRPr="00B948BF">
        <w:rPr>
          <w:color w:val="000000" w:themeColor="text1"/>
        </w:rPr>
        <w:t>kibernetičke</w:t>
      </w:r>
      <w:proofErr w:type="spellEnd"/>
      <w:r w:rsidRPr="00B948BF">
        <w:rPr>
          <w:color w:val="000000" w:themeColor="text1"/>
        </w:rPr>
        <w:t xml:space="preserve"> prijetnje središnjim i decentraliziranim uredima EPPO-a;</w:t>
      </w:r>
    </w:p>
    <w:p w:rsidR="00862215" w:rsidRPr="00B948BF" w:rsidRDefault="00862215" w:rsidP="00862215">
      <w:pPr>
        <w:pStyle w:val="NormalHanging12a"/>
        <w:rPr>
          <w:color w:val="000000" w:themeColor="text1"/>
          <w:szCs w:val="24"/>
        </w:rPr>
      </w:pPr>
      <w:r w:rsidRPr="00B948BF">
        <w:rPr>
          <w:color w:val="000000" w:themeColor="text1"/>
        </w:rPr>
        <w:t xml:space="preserve">52. </w:t>
      </w:r>
      <w:r w:rsidRPr="00B948BF">
        <w:rPr>
          <w:color w:val="000000" w:themeColor="text1"/>
        </w:rPr>
        <w:tab/>
        <w:t xml:space="preserve">prima na znanje povećanje proračuna uloženog u informatičke projekte 2022. (11,3 milijuna EUR u usporedbi sa 6,1 milijun EUR 2021. u razdoblju financijske autonomije); posebno cijeni pozornost posvećenu uspostavi i provedbi sustava vođenja predmeta EPPO-a za koji se očekuje da će omogućiti </w:t>
      </w:r>
      <w:proofErr w:type="spellStart"/>
      <w:r w:rsidRPr="00B948BF">
        <w:rPr>
          <w:color w:val="000000" w:themeColor="text1"/>
        </w:rPr>
        <w:t>interoperabilnost</w:t>
      </w:r>
      <w:proofErr w:type="spellEnd"/>
      <w:r w:rsidRPr="00B948BF">
        <w:rPr>
          <w:color w:val="000000" w:themeColor="text1"/>
        </w:rPr>
        <w:t xml:space="preserve"> s 22 države članice;</w:t>
      </w:r>
      <w:r w:rsidRPr="00B948BF">
        <w:rPr>
          <w:color w:val="0000FF"/>
        </w:rPr>
        <w:t xml:space="preserve"> </w:t>
      </w:r>
      <w:r w:rsidRPr="00B948BF">
        <w:rPr>
          <w:color w:val="000000" w:themeColor="text1"/>
        </w:rPr>
        <w:t xml:space="preserve">shvaća da učinkovitost postojećih alata u pogledu </w:t>
      </w:r>
      <w:proofErr w:type="spellStart"/>
      <w:r w:rsidRPr="00B948BF">
        <w:rPr>
          <w:color w:val="000000" w:themeColor="text1"/>
        </w:rPr>
        <w:t>interoperabilnosti</w:t>
      </w:r>
      <w:proofErr w:type="spellEnd"/>
      <w:r w:rsidRPr="00B948BF">
        <w:rPr>
          <w:color w:val="000000" w:themeColor="text1"/>
        </w:rPr>
        <w:t xml:space="preserve"> nije optimalna i da će se samo sklapanjem minimalnih zajedničkih sporazuma o razmjeni podataka i alata pravosudne </w:t>
      </w:r>
      <w:proofErr w:type="spellStart"/>
      <w:r w:rsidRPr="00B948BF">
        <w:rPr>
          <w:color w:val="000000" w:themeColor="text1"/>
        </w:rPr>
        <w:t>interoperabilnosti</w:t>
      </w:r>
      <w:proofErr w:type="spellEnd"/>
      <w:r w:rsidRPr="00B948BF">
        <w:rPr>
          <w:color w:val="000000" w:themeColor="text1"/>
        </w:rPr>
        <w:t xml:space="preserve"> omogućiti učinkovita razmjena informacija i suradnja putem različitih platformi kojima se koriste države članice; potiče EPPO da nastavi s koordinacijom s državama članicama i suradnjom s relevantnim institucijama, tijelima, uredima i agencijama kako bi se osmislio zajednički model razmjene u odnosu na trenutačnu situaciju u kojoj se načelo „pronađen rezultat/nije pronađen rezultat” temelji na bilateralnim modelima;</w:t>
      </w:r>
    </w:p>
    <w:p w:rsidR="00862215" w:rsidRPr="00B948BF" w:rsidRDefault="00862215" w:rsidP="00862215">
      <w:pPr>
        <w:pStyle w:val="NormalHanging12a"/>
        <w:rPr>
          <w:szCs w:val="24"/>
        </w:rPr>
      </w:pPr>
      <w:r w:rsidRPr="00B948BF">
        <w:t>53.</w:t>
      </w:r>
      <w:r w:rsidRPr="00B948BF">
        <w:tab/>
        <w:t xml:space="preserve">ističe povećanu prijetnju strukturnom informatičkom integritetu EPPO-a koja proizlazi iz agresivnosti organiziranog kriminala protiv kojeg se EPPO bori, što dovodi do </w:t>
      </w:r>
      <w:r w:rsidRPr="00B948BF">
        <w:lastRenderedPageBreak/>
        <w:t xml:space="preserve">potrebe za jačanjem fizičke i digitalne sigurnosti; podržava nastojanja EPPO-a da razvije vlastite kapacitete u području </w:t>
      </w:r>
      <w:proofErr w:type="spellStart"/>
      <w:r w:rsidRPr="00B948BF">
        <w:t>kibernetičke</w:t>
      </w:r>
      <w:proofErr w:type="spellEnd"/>
      <w:r w:rsidRPr="00B948BF">
        <w:t xml:space="preserve"> sigurnosti kako bi dopunio službe CERT-EU-a i DG DIGIT-a u Komisiji i surađivao s njima; podržava EPPO u njegovu zahtjevu za dodjelu dodatnih sredstava radi zaštite njegove </w:t>
      </w:r>
      <w:proofErr w:type="spellStart"/>
      <w:r w:rsidRPr="00B948BF">
        <w:t>kibernetičke</w:t>
      </w:r>
      <w:proofErr w:type="spellEnd"/>
      <w:r w:rsidRPr="00B948BF">
        <w:t xml:space="preserve"> sigurnosti; potiče osoblje EPPO-a da putem odgovarajućih kanala aktivno izrazi potrebu za dodatnom infrastrukturom ili osposobljavanjem u području </w:t>
      </w:r>
      <w:proofErr w:type="spellStart"/>
      <w:r w:rsidRPr="00B948BF">
        <w:t>kibernetičke</w:t>
      </w:r>
      <w:proofErr w:type="spellEnd"/>
      <w:r w:rsidRPr="00B948BF">
        <w:t xml:space="preserve"> sigurnosti unutar same organizacije i prema Parlamentu i Komisiji;</w:t>
      </w:r>
    </w:p>
    <w:p w:rsidR="00862215" w:rsidRPr="00B948BF" w:rsidRDefault="00862215" w:rsidP="00862215">
      <w:pPr>
        <w:pStyle w:val="NormalHanging12a"/>
        <w:rPr>
          <w:bCs/>
          <w:color w:val="000000" w:themeColor="text1"/>
          <w:szCs w:val="24"/>
        </w:rPr>
      </w:pPr>
      <w:r w:rsidRPr="00B948BF">
        <w:rPr>
          <w:color w:val="000000" w:themeColor="text1"/>
        </w:rPr>
        <w:t xml:space="preserve">54. </w:t>
      </w:r>
      <w:r w:rsidRPr="00B948BF">
        <w:rPr>
          <w:color w:val="000000" w:themeColor="text1"/>
        </w:rPr>
        <w:tab/>
        <w:t>cijeni činjenicu da je EPPO razvio vlastiti ekosustav upravljanja predmetima čije su sve sastavnice smještene u podatkovnom centru EPPO-a kojim upravlja osoblje EPPO-a, čime se jamči kontrola, zadržavanje i vlasništvo sustava i podataka koji se obrađuju od strane EPPO-a;</w:t>
      </w:r>
    </w:p>
    <w:p w:rsidR="00862215" w:rsidRPr="00B948BF" w:rsidRDefault="00862215" w:rsidP="00862215">
      <w:pPr>
        <w:pStyle w:val="NormalHanging12a"/>
        <w:rPr>
          <w:szCs w:val="24"/>
        </w:rPr>
      </w:pPr>
      <w:r w:rsidRPr="00B948BF">
        <w:t>55.</w:t>
      </w:r>
      <w:r w:rsidRPr="00B948BF">
        <w:tab/>
        <w:t xml:space="preserve">prima na znanje potrebu EPPO-a za modernom opremom, </w:t>
      </w:r>
      <w:proofErr w:type="spellStart"/>
      <w:r w:rsidRPr="00B948BF">
        <w:t>kibernetičkom</w:t>
      </w:r>
      <w:proofErr w:type="spellEnd"/>
      <w:r w:rsidRPr="00B948BF">
        <w:t xml:space="preserve"> sigurnošću i IT sustavima za rješavanje sve složenijih kaznenih djela koja često uključuju digitalne elemente; prima na znanje prezentaciju EPPO-a tijekom misije proračunskog nadzora u Luxembourgu u listopadu 2023. o stalnom porastu kaznenih djela koja uključuju digitalne elemente, među ostalim </w:t>
      </w:r>
      <w:proofErr w:type="spellStart"/>
      <w:r w:rsidRPr="00B948BF">
        <w:t>kibernetičke</w:t>
      </w:r>
      <w:proofErr w:type="spellEnd"/>
      <w:r w:rsidRPr="00B948BF">
        <w:t xml:space="preserve"> prevare povezane s valutama;</w:t>
      </w:r>
    </w:p>
    <w:p w:rsidR="00862215" w:rsidRPr="00B948BF" w:rsidRDefault="00862215" w:rsidP="00862215">
      <w:pPr>
        <w:pStyle w:val="NormalHanging12a"/>
        <w:rPr>
          <w:b/>
          <w:i/>
          <w:szCs w:val="24"/>
        </w:rPr>
      </w:pPr>
      <w:r w:rsidRPr="00B948BF">
        <w:t>56.</w:t>
      </w:r>
      <w:r w:rsidRPr="00B948BF">
        <w:tab/>
        <w:t>poziva digitalne službe Komisije i EPPO da za EPPO uspostave lako prepoznatljive adrese e-pošte koje nisu obmanjujuće jer trenutačni nastavak „ext.ec” u adresama e-pošte može biti zbunjujući za osoblje u drugim institucijama i za vanjsku komunikaciju jer se taj nastavak obično daje samo vanjskim savjetnicima i to narušava legitimnost osoblja EPPO-a koje se koristi tom adresom e-pošte;</w:t>
      </w:r>
    </w:p>
    <w:p w:rsidR="00862215" w:rsidRPr="00B948BF" w:rsidRDefault="00862215" w:rsidP="00862215">
      <w:pPr>
        <w:pStyle w:val="NormalHanging12a"/>
        <w:rPr>
          <w:szCs w:val="24"/>
        </w:rPr>
      </w:pPr>
      <w:r w:rsidRPr="00B948BF">
        <w:t xml:space="preserve">57. </w:t>
      </w:r>
      <w:r w:rsidRPr="00B948BF">
        <w:tab/>
        <w:t>potiče službe EPPO-a i delegiranih europskih tužitelja da nastave s radom na koordiniran način i da osiguraju učinkovit nadzor aktivnosti obrade podataka koje prikupljaju i da istodobno jamče poštovanje prava pojedinaca u pogledu zaštite podataka;</w:t>
      </w:r>
    </w:p>
    <w:p w:rsidR="00862215" w:rsidRPr="00B948BF" w:rsidRDefault="00862215" w:rsidP="00862215">
      <w:pPr>
        <w:spacing w:after="240"/>
        <w:ind w:left="567" w:hanging="567"/>
        <w:rPr>
          <w:b/>
          <w:i/>
          <w:color w:val="000000" w:themeColor="text1"/>
          <w:szCs w:val="24"/>
        </w:rPr>
      </w:pPr>
      <w:r w:rsidRPr="00B948BF">
        <w:rPr>
          <w:b/>
          <w:i/>
          <w:color w:val="000000" w:themeColor="text1"/>
        </w:rPr>
        <w:t>Nekretnine i sigurnost</w:t>
      </w:r>
    </w:p>
    <w:p w:rsidR="00862215" w:rsidRPr="00B948BF" w:rsidRDefault="00862215" w:rsidP="00862215">
      <w:pPr>
        <w:pStyle w:val="NormalHanging12a"/>
        <w:rPr>
          <w:color w:val="000000" w:themeColor="text1"/>
          <w:szCs w:val="24"/>
        </w:rPr>
      </w:pPr>
      <w:r w:rsidRPr="00B948BF">
        <w:rPr>
          <w:color w:val="000000" w:themeColor="text1"/>
        </w:rPr>
        <w:t xml:space="preserve">58. </w:t>
      </w:r>
      <w:r w:rsidRPr="00B948BF">
        <w:rPr>
          <w:color w:val="000000" w:themeColor="text1"/>
        </w:rPr>
        <w:tab/>
        <w:t>pozdravlja potpisivanje ugovora o najmu s luksemburškim vlastima za korištenje zgrade u kojoj se trenutačno nalazi sjedište EPPO-a (zgrada TOB) i formaliziranje besplatnog korištenja postojećih ureda EPPO-a do 31. prosinca 2029.; shvaća da se takav ugovor može na godišnjoj osnovi prešutno produljivati, osim ako ga raskine jedna strana s otkaznim rokom od dvanaest mjeseci; primjećuje da EPPO plaća naknadu za usluge u iznosu od 716 724 EUR godišnje i jednokratne troškove za dodatnu sigurnost i drugu dodatnu opremu koju EPPO zatraži; ističe da je 2022. započela obnova dva dodatna kata zgrade TOB kojima će se EPPO koristiti i koji će se prilagoditi njegovoj prirodi posla, a nisu u potpunosti kompatibilni s idejom otvorenih prostora i zajedničkom upotrebom radnih površina;</w:t>
      </w:r>
    </w:p>
    <w:p w:rsidR="00862215" w:rsidRPr="00B948BF" w:rsidRDefault="00862215" w:rsidP="00862215">
      <w:pPr>
        <w:pStyle w:val="NormalHanging12a"/>
        <w:rPr>
          <w:szCs w:val="24"/>
        </w:rPr>
      </w:pPr>
      <w:r w:rsidRPr="00B948BF">
        <w:t>59.</w:t>
      </w:r>
      <w:r w:rsidRPr="00B948BF">
        <w:tab/>
        <w:t xml:space="preserve">naglašava da je EPPO, kad je riječ o fizičkoj sigurnosti, uveo sigurnosne mjere, opremu i postupke za suzbijanje prijetnji svojim prostorima, imovini i osoblju; ističe da se i nizom politika, postupaka i smjernica podupire provedba mjera fizičke sigurnosti; u tom pogledu cijeni procjenu rizika za fizičku sigurnost s ciljem utvrđivanja i uklanjanja nedostataka koja je provedena 2022.; svjestan je da je EPPO u lipnju 2023. zatražio 21 dodatno radno mjesto kako bi poboljšao svoje kapacitete u pogledu sigurnosti, ponavlja da je tu potrebu za sigurnošću dodatno naglasilo osoblje EPPO-a tijekom misije proračunskog nadzora u Luxembourgu u listopadu 2023. te da je takav zahtjev u studenome 2023. ispunjen izmjenom proračuna kojom je obuhvaćeno osam radnih </w:t>
      </w:r>
      <w:r w:rsidRPr="00B948BF">
        <w:lastRenderedPageBreak/>
        <w:t>mjesta, a preostalih 13 radnih mjesta bit će uključeno u proračun za 2024.; naglašava potrebu da EPPO i dalje raspolaže odgovarajućim dijelom proračuna koji se dodjeljuje mjerama i osoblju u području sigurnosti kako bi se bolje zaštitilo svo osoblje, posebno s obzirom na povjerljivu prirodu istraga slučajeva prevare na visokoj razini i s visokim ulozima; poziva na potpunu zaštitu tužitelja i osoblja kako bi mogli u potpunosti obavljati svoj posao bez opasnosti od fizičkog ili psihološkog nasilja i bez vanjskog utjecaja ili pritiska;</w:t>
      </w:r>
    </w:p>
    <w:p w:rsidR="00862215" w:rsidRPr="00B948BF" w:rsidRDefault="00862215" w:rsidP="00862215">
      <w:pPr>
        <w:pStyle w:val="NormalHanging12a"/>
        <w:rPr>
          <w:b/>
          <w:i/>
          <w:color w:val="000000"/>
          <w:szCs w:val="24"/>
        </w:rPr>
      </w:pPr>
      <w:r w:rsidRPr="00B948BF">
        <w:rPr>
          <w:b/>
          <w:i/>
          <w:color w:val="000000"/>
        </w:rPr>
        <w:t>Okoliš i održivost</w:t>
      </w:r>
    </w:p>
    <w:p w:rsidR="00862215" w:rsidRPr="00B948BF" w:rsidRDefault="00862215" w:rsidP="00862215">
      <w:pPr>
        <w:pStyle w:val="NormalHanging12a"/>
        <w:ind w:left="709" w:hanging="709"/>
        <w:rPr>
          <w:color w:val="000000" w:themeColor="text1"/>
          <w:szCs w:val="24"/>
        </w:rPr>
      </w:pPr>
      <w:r w:rsidRPr="00B948BF">
        <w:rPr>
          <w:color w:val="000000" w:themeColor="text1"/>
        </w:rPr>
        <w:t xml:space="preserve">60. </w:t>
      </w:r>
      <w:r w:rsidRPr="00B948BF">
        <w:rPr>
          <w:color w:val="000000" w:themeColor="text1"/>
        </w:rPr>
        <w:tab/>
        <w:t>svjestan je da, s obzirom na to da se sjedište EPPO-a nalazi u Luxembourgu, a relevantne usluge pružaju nacionalna tijela, koja su među ostalim zadužena za ulaganja povezana s održivošću i energetskom učinkovitošću, EPPO nije sudjelovao ni u kakvim posebnim mjerama koje se odnose na područje obnovljive energije, kao što su postavljanje solarnih ploča, propisi sustava EMAS i neutralizacija CO2;</w:t>
      </w:r>
    </w:p>
    <w:p w:rsidR="00862215" w:rsidRPr="00B948BF" w:rsidRDefault="00862215" w:rsidP="00862215">
      <w:pPr>
        <w:pStyle w:val="NormalHanging12a"/>
        <w:ind w:left="709" w:hanging="709"/>
        <w:rPr>
          <w:color w:val="000000" w:themeColor="text1"/>
          <w:szCs w:val="24"/>
        </w:rPr>
      </w:pPr>
      <w:r w:rsidRPr="00B948BF">
        <w:rPr>
          <w:color w:val="000000" w:themeColor="text1"/>
        </w:rPr>
        <w:t xml:space="preserve">61. </w:t>
      </w:r>
      <w:r w:rsidRPr="00B948BF">
        <w:rPr>
          <w:color w:val="000000" w:themeColor="text1"/>
        </w:rPr>
        <w:tab/>
        <w:t>shvaća da se zgrada TOB nalazi u blizini javnog prijevoza i poziva EPPO da mu trenutačna situacija bude polazna točka za donošenje strategije za održivu mobilnost svojeg osoblja;</w:t>
      </w:r>
    </w:p>
    <w:p w:rsidR="00862215" w:rsidRPr="00B948BF" w:rsidRDefault="00862215" w:rsidP="00862215">
      <w:pPr>
        <w:spacing w:after="240"/>
        <w:ind w:left="567" w:hanging="567"/>
        <w:rPr>
          <w:b/>
          <w:i/>
          <w:color w:val="000000"/>
          <w:szCs w:val="24"/>
        </w:rPr>
      </w:pPr>
      <w:proofErr w:type="spellStart"/>
      <w:r w:rsidRPr="00B948BF">
        <w:rPr>
          <w:b/>
          <w:i/>
          <w:color w:val="000000"/>
        </w:rPr>
        <w:t>Međuinstitucijska</w:t>
      </w:r>
      <w:proofErr w:type="spellEnd"/>
      <w:r w:rsidRPr="00B948BF">
        <w:rPr>
          <w:b/>
          <w:i/>
          <w:color w:val="000000"/>
        </w:rPr>
        <w:t xml:space="preserve"> suradnja</w:t>
      </w:r>
    </w:p>
    <w:p w:rsidR="00862215" w:rsidRPr="00B948BF" w:rsidRDefault="00862215" w:rsidP="00862215">
      <w:pPr>
        <w:pStyle w:val="NormalHanging12a"/>
        <w:ind w:left="709" w:hanging="709"/>
        <w:rPr>
          <w:color w:val="000000" w:themeColor="text1"/>
          <w:szCs w:val="24"/>
        </w:rPr>
      </w:pPr>
      <w:r w:rsidRPr="00B948BF">
        <w:rPr>
          <w:color w:val="000000" w:themeColor="text1"/>
        </w:rPr>
        <w:t xml:space="preserve">62. </w:t>
      </w:r>
      <w:r w:rsidRPr="00B948BF">
        <w:rPr>
          <w:color w:val="000000" w:themeColor="text1"/>
        </w:rPr>
        <w:tab/>
        <w:t>pohvaljuje napore koje je EPPO uložio u intenzivnu suradnju i koordinaciju s partnerima i dionicima te smatra da uloga EPPO-a kao glavnog operativnog tijela strukture za borbu protiv prevara podrazumijeva stalan rad u pogledu komunikacije i koordinacije s nekoliko partnera čije je djelovanje osmišljeno tako da se uzajamno nadopunjuju;</w:t>
      </w:r>
    </w:p>
    <w:p w:rsidR="00862215" w:rsidRPr="00B948BF" w:rsidRDefault="00862215" w:rsidP="00862215">
      <w:pPr>
        <w:pStyle w:val="NormalHanging12a"/>
        <w:ind w:left="709" w:hanging="709"/>
        <w:rPr>
          <w:b/>
          <w:i/>
          <w:szCs w:val="24"/>
        </w:rPr>
      </w:pPr>
      <w:r w:rsidRPr="00B948BF">
        <w:t>63.</w:t>
      </w:r>
      <w:r w:rsidRPr="00B948BF">
        <w:tab/>
      </w:r>
      <w:r w:rsidRPr="00B948BF">
        <w:rPr>
          <w:color w:val="000000" w:themeColor="text1"/>
        </w:rPr>
        <w:t>prima na znanje</w:t>
      </w:r>
      <w:r w:rsidRPr="00B948BF">
        <w:t xml:space="preserve"> da je EPPO naveo da je od 3 318 izvješća o kaznenim djelima koja su zaprimljena 2022. njih 103 stiglo od institucija i tijela Unije (55 od Europskog ureda za borbu protiv prevara, 16 od Europske komisije, devet od </w:t>
      </w:r>
      <w:proofErr w:type="spellStart"/>
      <w:r w:rsidRPr="00B948BF">
        <w:t>Eurojusta</w:t>
      </w:r>
      <w:proofErr w:type="spellEnd"/>
      <w:r w:rsidRPr="00B948BF">
        <w:t xml:space="preserve">, osam od Revizorskog suda, tri od Europske središnje banke i jedno od Parlamenta) te cijeni učinkovitu </w:t>
      </w:r>
      <w:proofErr w:type="spellStart"/>
      <w:r w:rsidRPr="00B948BF">
        <w:t>međuinstitucijsku</w:t>
      </w:r>
      <w:proofErr w:type="spellEnd"/>
      <w:r w:rsidRPr="00B948BF">
        <w:t xml:space="preserve"> suradnju EPPO-a i relevantnih institucija u tom pogledu;</w:t>
      </w:r>
    </w:p>
    <w:p w:rsidR="00862215" w:rsidRPr="00B948BF" w:rsidRDefault="00862215" w:rsidP="00862215">
      <w:pPr>
        <w:pStyle w:val="NormalHanging12a"/>
        <w:ind w:left="709" w:hanging="709"/>
        <w:rPr>
          <w:szCs w:val="24"/>
        </w:rPr>
      </w:pPr>
      <w:r w:rsidRPr="00B948BF">
        <w:t>64.</w:t>
      </w:r>
      <w:r w:rsidRPr="00B948BF">
        <w:tab/>
      </w:r>
      <w:r w:rsidRPr="00B948BF">
        <w:rPr>
          <w:color w:val="000000" w:themeColor="text1"/>
        </w:rPr>
        <w:t>ističe</w:t>
      </w:r>
      <w:r w:rsidRPr="00B948BF">
        <w:t xml:space="preserve"> važnost operativne koordinacije i suradnje između EPPO-a i OLAF-a, posebno uzimajući u obzir pokretanje komplementarnih istraga OLAF-a i administrativnih istraga za potporu EPPO-u; poziva ta dva ureda da i dalje ostvaruju napredak u dijalogu kako bi ojačali svoju suradnju s obzirom na koristi koje bi iz nje proizišle u pogledu ispravnog korištenja dostupnih resursa; nadalje poziva EPPO i OLAF da izbjegavaju preklapanja i udvostručavanje aktivnosti te potiče iskrenu, uzajamnu i </w:t>
      </w:r>
      <w:proofErr w:type="spellStart"/>
      <w:r w:rsidRPr="00B948BF">
        <w:t>sinergičnu</w:t>
      </w:r>
      <w:proofErr w:type="spellEnd"/>
      <w:r w:rsidRPr="00B948BF">
        <w:t xml:space="preserve"> suradnju u izvršavanju njihovog mandata u cilju maksimalnog povećanja učinkovitosti njihovih djelovanja;</w:t>
      </w:r>
    </w:p>
    <w:p w:rsidR="00862215" w:rsidRPr="00B948BF" w:rsidRDefault="00862215" w:rsidP="00862215">
      <w:pPr>
        <w:pStyle w:val="NormalHanging12a"/>
        <w:ind w:left="709" w:hanging="709"/>
        <w:rPr>
          <w:szCs w:val="24"/>
        </w:rPr>
      </w:pPr>
      <w:r w:rsidRPr="00B948BF">
        <w:rPr>
          <w:color w:val="000000" w:themeColor="text1"/>
        </w:rPr>
        <w:t xml:space="preserve">65. </w:t>
      </w:r>
      <w:r w:rsidRPr="00B948BF">
        <w:rPr>
          <w:color w:val="000000" w:themeColor="text1"/>
        </w:rPr>
        <w:tab/>
        <w:t>ističe da obavijesti EPPO-a Komisiji predviđene člankom 103. stavkom 2. Uredbe (</w:t>
      </w:r>
      <w:r w:rsidRPr="00B948BF">
        <w:t xml:space="preserve">EU) 2017/1939 predstavljaju inovativan alat za zaštitu proračuna Unije; </w:t>
      </w:r>
      <w:r w:rsidRPr="00B948BF">
        <w:rPr>
          <w:color w:val="000000" w:themeColor="text1"/>
        </w:rPr>
        <w:t xml:space="preserve">primjećuje da u tom pogledu nijedna strana još nije dostavila nikakve povratne informacije, što zakonodavce sprečava da steknu sveobuhvatno razumijevanje temeljnih pitanja; </w:t>
      </w:r>
      <w:r w:rsidRPr="00B948BF">
        <w:t xml:space="preserve">pozdravlja napore EPPO-a i Komisije da poboljšaju interni mehanizam kojim se osigurava prijenos takvih obavijesti i naglašava da bi radna skupina koja je nedavno osnovana s Komisijom trebala osigurati da se obavijestima EPPO-a, u svrhu administrativnog povrata kako je predviđeno u članku 103. stavku 2. točki (c), propisno i učinkovito omogući Komisiji da maksimalno poveća povrat sredstava u </w:t>
      </w:r>
      <w:r w:rsidRPr="00B948BF">
        <w:lastRenderedPageBreak/>
        <w:t>proračun Unije, poštujući pritom povjerljivost i pravilno provođenje istražnih radnji; ustraje u tome da bi godišnji sastanci o provedbi radnog dogovora Komisije i EPPO-a trebali biti usmjereni na koordinaciju donošenja zaštitnih i korektivnih mjera za zaštitu proračuna Unije;</w:t>
      </w:r>
      <w:r w:rsidRPr="00B948BF">
        <w:rPr>
          <w:color w:val="000000" w:themeColor="text1"/>
        </w:rPr>
        <w:t xml:space="preserve"> poziva EPPO da savjetuje delegirane tužitelje u državama članicama o njihovom radu kojim se podupiru mjere Komisije za zaštitu proračuna Unije; ponovno traži od EPPO-a i Komisije da izvijeste o tom konkretnom pitanju;</w:t>
      </w:r>
    </w:p>
    <w:p w:rsidR="00862215" w:rsidRPr="00B948BF" w:rsidRDefault="00862215" w:rsidP="00862215">
      <w:pPr>
        <w:pStyle w:val="NormalHanging12a"/>
        <w:ind w:left="709" w:hanging="709"/>
        <w:rPr>
          <w:color w:val="000000" w:themeColor="text1"/>
          <w:szCs w:val="24"/>
        </w:rPr>
      </w:pPr>
      <w:r w:rsidRPr="00B948BF">
        <w:rPr>
          <w:color w:val="000000" w:themeColor="text1"/>
        </w:rPr>
        <w:t xml:space="preserve">66. </w:t>
      </w:r>
      <w:r w:rsidRPr="00B948BF">
        <w:rPr>
          <w:color w:val="000000" w:themeColor="text1"/>
        </w:rPr>
        <w:tab/>
        <w:t xml:space="preserve">napominje da su EPPO i njegovi glavni partneri potpisali radne dogovore i radne sporazume: </w:t>
      </w:r>
      <w:proofErr w:type="spellStart"/>
      <w:r w:rsidRPr="00B948BF">
        <w:rPr>
          <w:color w:val="000000" w:themeColor="text1"/>
        </w:rPr>
        <w:t>Europol</w:t>
      </w:r>
      <w:proofErr w:type="spellEnd"/>
      <w:r w:rsidRPr="00B948BF">
        <w:rPr>
          <w:color w:val="000000" w:themeColor="text1"/>
        </w:rPr>
        <w:t xml:space="preserve">, </w:t>
      </w:r>
      <w:proofErr w:type="spellStart"/>
      <w:r w:rsidRPr="00B948BF">
        <w:rPr>
          <w:color w:val="000000" w:themeColor="text1"/>
        </w:rPr>
        <w:t>Eurojust</w:t>
      </w:r>
      <w:proofErr w:type="spellEnd"/>
      <w:r w:rsidRPr="00B948BF">
        <w:rPr>
          <w:color w:val="000000" w:themeColor="text1"/>
        </w:rPr>
        <w:t>, OLAF, Komisija, Revizorski sud i Grupa EIB-a u područjima sprečavanja, otkrivanja, analize i intervencije; prima na znanje da EPPO radi na izgradnji internih kapaciteta kako bi podržao svoj rad analizom pojedinačnih slučajeva; potiče EPPO i njegove partnere da poboljšaju svoju suradnju te se nadovežu na već ispitane kompetencije i iskustva, kako bi se izbjeglo udvostručavanje i gubitak usredotočenosti na ključne aspekte mandata svakog tijela strukture za borbu protiv prevara te kako bi se optimizirala upotreba dostupnih resursa;</w:t>
      </w:r>
    </w:p>
    <w:p w:rsidR="00862215" w:rsidRPr="00B948BF" w:rsidRDefault="00862215" w:rsidP="00862215">
      <w:pPr>
        <w:pStyle w:val="NormalHanging12a"/>
        <w:ind w:left="709" w:hanging="709"/>
        <w:rPr>
          <w:b/>
          <w:i/>
          <w:szCs w:val="24"/>
        </w:rPr>
      </w:pPr>
      <w:r w:rsidRPr="00B948BF">
        <w:t>67.</w:t>
      </w:r>
      <w:r w:rsidRPr="00B948BF">
        <w:tab/>
        <w:t>s obzirom na velik broj aktivnih predmeta koji uključuju sredstva iz Mehanizma za oporavak i otpornost, potiče EPPO da obavijesti Komisiju o povećanju broja aktivnih predmeta povezanih s Mehanizmom za oporavak i otpornost te potiče EPPO da također obavijesti Komisiju, posebno Radnu skupinu za oporavak i otpornost, o mogućim nedostacima u području nadzora ili kontrole ili o obrascima prevara u aktivnim predmetima povezanima s Mehanizmom za oporavak i otpornost kako bi Komisija mogla ažurirati instrumente i mehanizme za praćenje uspješnosti i uklanjanje nedostataka u komunikaciji s državama članicama s ciljem sprečavanja budućih prevara; podsjeća sve aktere da su sredstva iz Mehanizma za oporavak i otpornost europska, a ne nacionalna te da su u nadležnosti EPPO-a;</w:t>
      </w:r>
    </w:p>
    <w:p w:rsidR="00862215" w:rsidRPr="00B948BF" w:rsidRDefault="00862215" w:rsidP="00862215">
      <w:pPr>
        <w:pStyle w:val="NormalHanging12a"/>
        <w:ind w:left="709" w:hanging="709"/>
        <w:rPr>
          <w:bCs/>
          <w:color w:val="000000" w:themeColor="text1"/>
          <w:szCs w:val="24"/>
        </w:rPr>
      </w:pPr>
      <w:r w:rsidRPr="00B948BF">
        <w:rPr>
          <w:color w:val="000000" w:themeColor="text1"/>
        </w:rPr>
        <w:t>68.</w:t>
      </w:r>
      <w:r w:rsidRPr="00B948BF">
        <w:rPr>
          <w:color w:val="000000" w:themeColor="text1"/>
        </w:rPr>
        <w:tab/>
        <w:t>shvaća da su pregovori s Parlamentom o ažuriranju radnih dogovora još u tijeku; smatra da bi ta situacija mogla pružiti priliku za istraživanje novih mogućnosti za komunikaciju i suradnju između EPPO-a i nadležnih parlamentarnih odbora;</w:t>
      </w:r>
    </w:p>
    <w:p w:rsidR="00862215" w:rsidRPr="00B948BF" w:rsidRDefault="00862215" w:rsidP="00862215">
      <w:pPr>
        <w:pStyle w:val="NormalHanging12a"/>
        <w:ind w:left="709" w:hanging="709"/>
        <w:rPr>
          <w:szCs w:val="24"/>
        </w:rPr>
      </w:pPr>
      <w:r w:rsidRPr="00B948BF">
        <w:t>69.</w:t>
      </w:r>
      <w:r w:rsidRPr="00B948BF">
        <w:tab/>
        <w:t>žali zbog nedovoljnog uvažavanja koji je EPPO pokazao pri obradi zahtjeva za ukidanje imuniteta upućenih Parlamentu 2022.;</w:t>
      </w:r>
    </w:p>
    <w:p w:rsidR="00862215" w:rsidRPr="00B948BF" w:rsidRDefault="00862215" w:rsidP="00862215">
      <w:pPr>
        <w:pStyle w:val="NormalHanging12a"/>
        <w:ind w:left="709" w:hanging="709"/>
        <w:rPr>
          <w:szCs w:val="24"/>
        </w:rPr>
      </w:pPr>
      <w:r w:rsidRPr="00B948BF">
        <w:t>70.</w:t>
      </w:r>
      <w:r w:rsidRPr="00B948BF">
        <w:tab/>
        <w:t>podsjeća na njegovo nedavno osnivanje, ali ga ipak poziva da se u službenim odnosima koje razvija s nacionalnim institucijama i institucijama Unije informira o raznim postupcima koje provode i da ih poštuje pazeći da ne ugrozi svoj status i misiju.</w:t>
      </w:r>
    </w:p>
    <w:p w:rsidR="00862215" w:rsidRPr="00B948BF" w:rsidRDefault="00862215" w:rsidP="00862215">
      <w:pPr>
        <w:pStyle w:val="NormalHanging12a"/>
        <w:ind w:left="709" w:hanging="709"/>
        <w:rPr>
          <w:bCs/>
          <w:color w:val="000000" w:themeColor="text1"/>
          <w:szCs w:val="24"/>
        </w:rPr>
      </w:pPr>
      <w:r w:rsidRPr="00B948BF">
        <w:rPr>
          <w:color w:val="000000" w:themeColor="text1"/>
        </w:rPr>
        <w:t>71.</w:t>
      </w:r>
      <w:r w:rsidRPr="00B948BF">
        <w:rPr>
          <w:color w:val="0000FF"/>
        </w:rPr>
        <w:tab/>
      </w:r>
      <w:r w:rsidRPr="00B948BF">
        <w:t>napominje</w:t>
      </w:r>
      <w:r w:rsidRPr="00B948BF">
        <w:rPr>
          <w:color w:val="808080" w:themeColor="background1" w:themeShade="80"/>
        </w:rPr>
        <w:t xml:space="preserve"> </w:t>
      </w:r>
      <w:r w:rsidRPr="00B948BF">
        <w:rPr>
          <w:color w:val="000000" w:themeColor="text1"/>
        </w:rPr>
        <w:t>da je EPPO 2022. potpisao 20 sporazuma o razini usluga ili memoranduma o razumijevanju s drugim institucijama i tijelima Unije te da je time omogućeno maksimalno povećanje proračunskih ušteda ostvarenih na temelju postojećih ugovornih instrumenata, u skladu s načelima dobrog financijskog upravljanja;</w:t>
      </w:r>
    </w:p>
    <w:p w:rsidR="00862215" w:rsidRPr="00B948BF" w:rsidRDefault="00862215" w:rsidP="00862215">
      <w:pPr>
        <w:pStyle w:val="NormalHanging12a"/>
        <w:ind w:left="709" w:hanging="709"/>
        <w:rPr>
          <w:szCs w:val="24"/>
        </w:rPr>
      </w:pPr>
      <w:r w:rsidRPr="00B948BF">
        <w:t>72.</w:t>
      </w:r>
      <w:r w:rsidRPr="00B948BF">
        <w:tab/>
        <w:t>naglašava važnost sudjelovanja u produktivnom dijalogu s državama članicama koje ne sudjeluju u EPPO-u u cilju postizanja djelotvornih radnih dogovora s njima; napominje da je 2022. pet država članica koje ne sudjeluju u EPPO-u bilo uključeno u 86 istraga EPPO-a (u usporedbi s 48 istraga u 2021.);</w:t>
      </w:r>
    </w:p>
    <w:p w:rsidR="00862215" w:rsidRPr="00B948BF" w:rsidRDefault="00862215" w:rsidP="00862215">
      <w:pPr>
        <w:pStyle w:val="NormalHanging12a"/>
        <w:ind w:left="709" w:hanging="709"/>
        <w:rPr>
          <w:szCs w:val="24"/>
        </w:rPr>
      </w:pPr>
      <w:r w:rsidRPr="00B948BF">
        <w:t>73.</w:t>
      </w:r>
      <w:r w:rsidRPr="00B948BF">
        <w:tab/>
      </w:r>
      <w:r w:rsidRPr="00B948BF">
        <w:rPr>
          <w:color w:val="000000" w:themeColor="text1"/>
        </w:rPr>
        <w:t>primjećuje</w:t>
      </w:r>
      <w:r w:rsidRPr="00B948BF">
        <w:t xml:space="preserve"> da suradnja, utemeljena na relevantnim aktima Unije o pravosudnoj suradnji u kaznenim stvarima, neometano funkcionira s Danskom, Mađarskom i Švedskom, čak i ako se odvija različitom brzinom od one sa zemljama sudionicama; </w:t>
      </w:r>
      <w:r w:rsidRPr="00B948BF">
        <w:lastRenderedPageBreak/>
        <w:t>napominje da je radni dogovor s Poljskom dovršen na tehničkoj razini, ali da nije potpisan 2022. jer su izmjene poljskog Zakona o kaznenom postupku (kojim je EPPO priznat kao nadležno tijelo za relevantne instrumente Unije o pravosudnoj suradnji u kaznenim stvarima) stupile na snagu tek 27. prosinca 2022.; napominje da je EPPO zbog toga podnio izvješće Komisiji, u skladu s Uredbom o uvjetovanosti, o sustavnom izostanku suradnje Poljske tijekom 2021. i 2022. i njezinu izravnom negativnom učinku na sposobnost EPPO-a da zaštiti proračun Unije kaznenim istragama i kaznenim progonima; stoga toplo pozdravlja početak procesa pristupanja EPPO-u na temelju zahtjeva koje su nova poljska vlada i Švedska podnijele u prosincu 2023., kako je najavljeno u siječnju 2024., te je uvjeren da će se pristupanjem Švedske i Poljske EPPO-u ojačati opća zaštita financijskih interesa Unije;</w:t>
      </w:r>
    </w:p>
    <w:p w:rsidR="00862215" w:rsidRPr="00B948BF" w:rsidRDefault="00862215" w:rsidP="00862215">
      <w:pPr>
        <w:pStyle w:val="NormalHanging12a"/>
        <w:ind w:left="709" w:hanging="709"/>
        <w:rPr>
          <w:szCs w:val="24"/>
        </w:rPr>
      </w:pPr>
      <w:r w:rsidRPr="00B948BF">
        <w:t>74.</w:t>
      </w:r>
      <w:r w:rsidRPr="00B948BF">
        <w:tab/>
      </w:r>
      <w:r w:rsidRPr="00B948BF">
        <w:rPr>
          <w:color w:val="000000" w:themeColor="text1"/>
        </w:rPr>
        <w:t>žali</w:t>
      </w:r>
      <w:r w:rsidRPr="00B948BF">
        <w:t xml:space="preserve"> zbog toga što su 2022. irske vlasti odbile surađivati s EPPO-om i izvršiti nekoliko zahtjeva za uzajamnu pravnu pomoć koje su poslali delegirani europski tužitelji, pozivajući se na nedostatak pravne osnove; napominje osim toga da je to dovelo do toga da EPPO u skladu s Uredbom o uvjetovanosti, o toj situaciji izvijesti Komisiju; međutim, pozdravlja nedavnu odluku irskih vlasti da izmijene svoje nacionalno zakonodavstvo kako bi se pružio pravni okvir za uzajamnu pravnu pomoć EPPO-u;</w:t>
      </w:r>
    </w:p>
    <w:p w:rsidR="00862215" w:rsidRPr="00B948BF" w:rsidRDefault="00862215" w:rsidP="00862215">
      <w:pPr>
        <w:pStyle w:val="NormalHanging12a"/>
        <w:ind w:left="709" w:hanging="709"/>
        <w:rPr>
          <w:color w:val="000000" w:themeColor="text1"/>
          <w:szCs w:val="24"/>
        </w:rPr>
      </w:pPr>
      <w:r w:rsidRPr="00B948BF">
        <w:rPr>
          <w:color w:val="000000" w:themeColor="text1"/>
        </w:rPr>
        <w:t>75.</w:t>
      </w:r>
      <w:r w:rsidRPr="00B948BF">
        <w:rPr>
          <w:color w:val="000000" w:themeColor="text1"/>
        </w:rPr>
        <w:tab/>
        <w:t>ponavlja da nedostatak suradnje bilo koje države članice s EPPO-om, neovisno o tome sudjeluje li u pojačanoj suradnji, može dovesti do stvaranja niša imuniteta i povlastica zbog kojih je zaštita financijskih interesa Unije u najboljem slučaju neujednačene i neučinkovita; poziva Komisiju i predmetne države članice da ulože sav mogući trud kako bi se sadašnji scenarij uključio u malobrojne, ali i dalje vrlo važne sastavnice koje nedostaju, promičući proširenje sudjelovanja drugih država članica koje još uvijek ne sudjeluju u EPPO-u na način kojim se jača učinkovitost zaštite proračuna Unije i nacionalnih proračuna;</w:t>
      </w:r>
    </w:p>
    <w:p w:rsidR="00862215" w:rsidRPr="00B948BF" w:rsidRDefault="00862215" w:rsidP="00862215">
      <w:pPr>
        <w:pStyle w:val="NormalHanging12a"/>
        <w:ind w:left="709" w:hanging="709"/>
        <w:rPr>
          <w:color w:val="000000" w:themeColor="text1"/>
          <w:szCs w:val="24"/>
        </w:rPr>
      </w:pPr>
      <w:r w:rsidRPr="00B948BF">
        <w:rPr>
          <w:color w:val="000000" w:themeColor="text1"/>
        </w:rPr>
        <w:t>76.</w:t>
      </w:r>
      <w:r w:rsidRPr="00B948BF">
        <w:rPr>
          <w:color w:val="000000" w:themeColor="text1"/>
        </w:rPr>
        <w:tab/>
        <w:t xml:space="preserve">pozdravlja sklapanje nekoliko radnih dogovora s tijelima iz trećih zemalja, posebno s Ukrajinom, Albanijom, </w:t>
      </w:r>
      <w:proofErr w:type="spellStart"/>
      <w:r w:rsidRPr="00B948BF">
        <w:rPr>
          <w:color w:val="000000" w:themeColor="text1"/>
        </w:rPr>
        <w:t>Moldovom</w:t>
      </w:r>
      <w:proofErr w:type="spellEnd"/>
      <w:r w:rsidRPr="00B948BF">
        <w:rPr>
          <w:color w:val="000000" w:themeColor="text1"/>
        </w:rPr>
        <w:t>, Crnom Gorom, Gruzijom i Sjevernom Makedonijom;</w:t>
      </w:r>
    </w:p>
    <w:p w:rsidR="00862215" w:rsidRPr="00B948BF" w:rsidRDefault="00862215" w:rsidP="00862215">
      <w:pPr>
        <w:spacing w:after="240"/>
        <w:rPr>
          <w:color w:val="000000" w:themeColor="text1"/>
          <w:szCs w:val="24"/>
        </w:rPr>
      </w:pPr>
      <w:r w:rsidRPr="00B948BF">
        <w:rPr>
          <w:b/>
          <w:i/>
          <w:color w:val="000000" w:themeColor="text1"/>
        </w:rPr>
        <w:t>Komunikacija</w:t>
      </w:r>
    </w:p>
    <w:p w:rsidR="00862215" w:rsidRPr="00B948BF" w:rsidRDefault="00862215" w:rsidP="00862215">
      <w:pPr>
        <w:pStyle w:val="Default"/>
        <w:spacing w:after="240"/>
        <w:ind w:left="709" w:hanging="709"/>
        <w:rPr>
          <w:rFonts w:ascii="Times New Roman" w:hAnsi="Times New Roman" w:cs="Times New Roman"/>
          <w:color w:val="auto"/>
        </w:rPr>
      </w:pPr>
      <w:r w:rsidRPr="00B948BF">
        <w:rPr>
          <w:rFonts w:ascii="Times New Roman" w:hAnsi="Times New Roman"/>
          <w:color w:val="000000" w:themeColor="text1"/>
        </w:rPr>
        <w:t>77.</w:t>
      </w:r>
      <w:r w:rsidRPr="00B948BF">
        <w:rPr>
          <w:rFonts w:ascii="Times New Roman" w:hAnsi="Times New Roman"/>
          <w:color w:val="000000" w:themeColor="text1"/>
        </w:rPr>
        <w:tab/>
        <w:t>pohvaljuje nastojanja EPPO-a da se poboljša unutarnja i vanjska komunikacija; svjestan je da je unutarnja komunikacija poboljšana kako bi se ojačala</w:t>
      </w:r>
      <w:r w:rsidRPr="00B948BF">
        <w:rPr>
          <w:rFonts w:ascii="Times New Roman" w:hAnsi="Times New Roman"/>
        </w:rPr>
        <w:t xml:space="preserve"> </w:t>
      </w:r>
      <w:r w:rsidRPr="00B948BF">
        <w:rPr>
          <w:rFonts w:ascii="Times New Roman" w:hAnsi="Times New Roman"/>
          <w:color w:val="auto"/>
        </w:rPr>
        <w:t xml:space="preserve">suradnja među odjelima i olakšala razmjena informacija i najboljih praksi; cijeni intenzivne mjere koje se provode putem platformi za društvene mreže i prati trendove kako bi se iskoristile mogućnosti koje nude besplatne društvene mreže otvorenog koda s vlastitim </w:t>
      </w:r>
      <w:proofErr w:type="spellStart"/>
      <w:r w:rsidRPr="00B948BF">
        <w:rPr>
          <w:rFonts w:ascii="Times New Roman" w:hAnsi="Times New Roman"/>
          <w:color w:val="auto"/>
        </w:rPr>
        <w:t>hostom</w:t>
      </w:r>
      <w:proofErr w:type="spellEnd"/>
      <w:r w:rsidRPr="00B948BF">
        <w:rPr>
          <w:rFonts w:ascii="Times New Roman" w:hAnsi="Times New Roman"/>
          <w:color w:val="auto"/>
        </w:rPr>
        <w:t>;</w:t>
      </w:r>
    </w:p>
    <w:p w:rsidR="00862215" w:rsidRPr="00B948BF" w:rsidRDefault="00862215" w:rsidP="00862215">
      <w:pPr>
        <w:pStyle w:val="Default"/>
        <w:spacing w:after="240"/>
        <w:ind w:left="709" w:hanging="709"/>
        <w:rPr>
          <w:rFonts w:ascii="Times New Roman" w:hAnsi="Times New Roman" w:cs="Times New Roman"/>
        </w:rPr>
      </w:pPr>
      <w:r w:rsidRPr="00B948BF">
        <w:rPr>
          <w:rFonts w:ascii="Times New Roman" w:hAnsi="Times New Roman"/>
        </w:rPr>
        <w:t>78.</w:t>
      </w:r>
      <w:r w:rsidRPr="00B948BF">
        <w:rPr>
          <w:rFonts w:ascii="Times New Roman" w:hAnsi="Times New Roman"/>
        </w:rPr>
        <w:tab/>
      </w:r>
      <w:r w:rsidRPr="00B948BF">
        <w:rPr>
          <w:rFonts w:ascii="Times New Roman" w:hAnsi="Times New Roman"/>
          <w:color w:val="000000" w:themeColor="text1"/>
        </w:rPr>
        <w:t>smatra</w:t>
      </w:r>
      <w:r w:rsidRPr="00B948BF">
        <w:rPr>
          <w:rFonts w:ascii="Times New Roman" w:hAnsi="Times New Roman"/>
        </w:rPr>
        <w:t xml:space="preserve"> da su vrlo važna nastojanja EPPO-a da o svojim aktivnostima obavještava porezne obveznike i među njima podiže razinu osviještenosti o opsegu njegova djelovanja; u tom pogledu pozdravlja povećanje broja javnih komunikacija i nastojanja da se na korporativnoj internetskoj stranici EPPO-a poveća vidljivost funkcije „Prijavite kazneno djelo”; poziva EPPO da jasno priopći rezultate i zaključke te da postigne optimalnu ravnotežu između transparentnosti i javnog interesa, s jedne strane, te povjerljivosti i pravilnog vođenja istrage, s druge strane; poziva EPPO da osigura neutralnu komunikaciju u vezi sa svojim aktivnostima te da osigura da se na odgovarajući način riješe svi ranije utvrđeni problemi;</w:t>
      </w:r>
    </w:p>
    <w:p w:rsidR="00862215" w:rsidRPr="00B948BF" w:rsidRDefault="00862215" w:rsidP="00862215">
      <w:pPr>
        <w:pStyle w:val="NormalHanging12a"/>
        <w:ind w:left="709" w:hanging="709"/>
        <w:rPr>
          <w:b/>
          <w:i/>
          <w:color w:val="000000" w:themeColor="text1"/>
          <w:szCs w:val="24"/>
        </w:rPr>
      </w:pPr>
      <w:r w:rsidRPr="00B948BF">
        <w:rPr>
          <w:b/>
          <w:i/>
          <w:color w:val="000000" w:themeColor="text1"/>
        </w:rPr>
        <w:t>Posljedice agresivnog rata Rusije protiv Ukrajine</w:t>
      </w:r>
    </w:p>
    <w:p w:rsidR="00862215" w:rsidRPr="00B948BF" w:rsidRDefault="00862215" w:rsidP="00862215">
      <w:pPr>
        <w:pStyle w:val="NormalHanging12a"/>
        <w:ind w:left="709" w:hanging="709"/>
        <w:rPr>
          <w:color w:val="000000" w:themeColor="text1"/>
          <w:szCs w:val="24"/>
        </w:rPr>
      </w:pPr>
      <w:r w:rsidRPr="00B948BF">
        <w:rPr>
          <w:color w:val="000000" w:themeColor="text1"/>
        </w:rPr>
        <w:lastRenderedPageBreak/>
        <w:t>79.</w:t>
      </w:r>
      <w:r w:rsidRPr="00B948BF">
        <w:rPr>
          <w:color w:val="000000" w:themeColor="text1"/>
        </w:rPr>
        <w:tab/>
        <w:t xml:space="preserve">shvaća da je 2022. povećana stopa inflacije, koja je posljedica ruske agresije na Ukrajinu, utjecala na izvršenje općeg proračuna EPPO-a (što je dovelo do </w:t>
      </w:r>
      <w:proofErr w:type="spellStart"/>
      <w:r w:rsidRPr="00B948BF">
        <w:rPr>
          <w:color w:val="000000" w:themeColor="text1"/>
        </w:rPr>
        <w:t>indeksacije</w:t>
      </w:r>
      <w:proofErr w:type="spellEnd"/>
      <w:r w:rsidRPr="00B948BF">
        <w:rPr>
          <w:color w:val="000000" w:themeColor="text1"/>
        </w:rPr>
        <w:t xml:space="preserve"> plaća osoblja od 6,9 % i općeg povećanja cijena nabave robe i usluga);</w:t>
      </w:r>
    </w:p>
    <w:p w:rsidR="00862215" w:rsidRPr="00B948BF" w:rsidRDefault="00862215" w:rsidP="00862215">
      <w:pPr>
        <w:pStyle w:val="NormalHanging12a"/>
        <w:ind w:left="709" w:hanging="709"/>
        <w:rPr>
          <w:szCs w:val="24"/>
        </w:rPr>
      </w:pPr>
      <w:r w:rsidRPr="00B948BF">
        <w:t>80.</w:t>
      </w:r>
      <w:r w:rsidRPr="00B948BF">
        <w:tab/>
      </w:r>
      <w:r w:rsidRPr="00B948BF">
        <w:rPr>
          <w:color w:val="000000" w:themeColor="text1"/>
        </w:rPr>
        <w:t>naglašava</w:t>
      </w:r>
      <w:r w:rsidRPr="00B948BF">
        <w:t xml:space="preserve"> važnost EPPO-ovih mjera namijenjenih održavanju intenzivne komunikacije i razmjene s ukrajinskim vlastima, kao i s drugim partnerima Unije uključenima u rashode i aktivnosti otkrivanja prevara u Ukrajini, kako bi se zaštitili financijski interesi Unije;</w:t>
      </w:r>
    </w:p>
    <w:p w:rsidR="00862215" w:rsidRPr="00B948BF" w:rsidRDefault="00862215" w:rsidP="00862215">
      <w:pPr>
        <w:pStyle w:val="NormalHanging12a"/>
        <w:ind w:left="709" w:hanging="709"/>
        <w:rPr>
          <w:color w:val="000000" w:themeColor="text1"/>
          <w:szCs w:val="24"/>
        </w:rPr>
      </w:pPr>
      <w:r w:rsidRPr="00B948BF">
        <w:rPr>
          <w:color w:val="000000" w:themeColor="text1"/>
        </w:rPr>
        <w:t>81.</w:t>
      </w:r>
      <w:r w:rsidRPr="00B948BF">
        <w:rPr>
          <w:color w:val="000000" w:themeColor="text1"/>
        </w:rPr>
        <w:tab/>
        <w:t>cijeni napore koje je EPPO uložio kako bi pojasnio da su kaznena djela koja utječu na sredstva Unije dodijeljena trećim zemljama u njegovoj nadležnosti, čak i ako su počinjena u cijelosti ili djelomično izvan kombiniranih državnih područja 22 države članice sudionice, kad god je kazneno djelo počinio državljanin države članice sudionice ili dužnosnik Unije ili ako se sastavni dio kaznenog djela odvija u Belgiji ili Luksemburgu</w:t>
      </w:r>
      <w:r w:rsidRPr="00B948BF">
        <w:t xml:space="preserve">, što se smatra sjedištima institucija, tijela, ureda ili agencija Unije uključenih u rashode proračuna Unije, </w:t>
      </w:r>
      <w:r w:rsidRPr="00B948BF">
        <w:rPr>
          <w:color w:val="000000" w:themeColor="text1"/>
        </w:rPr>
        <w:t>čak i ako su se drugi sastavni elementi kaznenog djela dogodili u Ukrajini ili nekoj drugoj trećoj zemlji;</w:t>
      </w:r>
    </w:p>
    <w:p w:rsidR="00862215" w:rsidRPr="00B948BF" w:rsidRDefault="00862215" w:rsidP="00862215">
      <w:pPr>
        <w:pStyle w:val="NormalHanging12a"/>
        <w:ind w:left="709" w:hanging="709"/>
        <w:rPr>
          <w:color w:val="000000" w:themeColor="text1"/>
          <w:szCs w:val="24"/>
        </w:rPr>
      </w:pPr>
      <w:r w:rsidRPr="00B948BF">
        <w:rPr>
          <w:color w:val="000000" w:themeColor="text1"/>
        </w:rPr>
        <w:t>82.</w:t>
      </w:r>
      <w:r w:rsidRPr="00B948BF">
        <w:rPr>
          <w:color w:val="000000" w:themeColor="text1"/>
        </w:rPr>
        <w:tab/>
        <w:t>primjećuje da je EPPO potpisao dva radna dogovora s Uredom glavnog tužitelja Ukrajine i Nacionalnim uredom za borbu protiv korupcije kako bi se olakšala suradnja u istragama na temelju Konvencije Vijeća Europe o uzajamnoj pomoći u kaznenim stvarima iz 1959.; napominje da se u njegovim prostorijama organiziraju tečajevi osposobljavanja za ukrajinske tužitelje i istražitelje kako bi s njima podijelili svoje stručno znanje u financijskim i složenim istragama te da su se od potpisivanja radnih dogovora održavali redoviti sastanci na strateškoj i operativnoj razini;</w:t>
      </w:r>
    </w:p>
    <w:p w:rsidR="00862215" w:rsidRPr="00B948BF" w:rsidRDefault="00862215" w:rsidP="00862215">
      <w:pPr>
        <w:pStyle w:val="NormalHanging12a"/>
        <w:ind w:left="709" w:hanging="709"/>
        <w:rPr>
          <w:color w:val="000000" w:themeColor="text1"/>
          <w:szCs w:val="24"/>
        </w:rPr>
      </w:pPr>
      <w:r w:rsidRPr="00B948BF">
        <w:rPr>
          <w:color w:val="000000" w:themeColor="text1"/>
        </w:rPr>
        <w:t>83.</w:t>
      </w:r>
      <w:r w:rsidRPr="00B948BF">
        <w:rPr>
          <w:color w:val="000000" w:themeColor="text1"/>
        </w:rPr>
        <w:tab/>
        <w:t>pozdravlja spremnost središnjeg ureda EPPO-a da aktivira radnu skupinu s ukrajinskim vlastima za koordinaciju istraga; smatra da bi se, u kontekstu budućih mehanizama pomoći za Ukrajinu, postojećim okvirom i partnerstvom uspostavljenim s ukrajinskim vlastima pružila potpora istragama i kaznenom progonu te olakšala brza i pouzdana suradnja; poziva dotične vlasti da sklope novi dogovor o uzajamnoj pomoći u kaznenim stvarima između Unije i Ukrajine kako bi se dodatno ojačala suradnja u posebnom kontekstu mehanizma pomoći, posebno u svrhu zapljene, oduzimanja i povrata imovine;</w:t>
      </w:r>
    </w:p>
    <w:p w:rsidR="00862215" w:rsidRPr="00B948BF" w:rsidRDefault="00862215" w:rsidP="00862215">
      <w:pPr>
        <w:pStyle w:val="NormalHanging12a"/>
        <w:ind w:left="709" w:hanging="709"/>
        <w:rPr>
          <w:szCs w:val="24"/>
        </w:rPr>
      </w:pPr>
      <w:r w:rsidRPr="00B948BF">
        <w:t>84.</w:t>
      </w:r>
      <w:r w:rsidRPr="00B948BF">
        <w:tab/>
        <w:t xml:space="preserve">međutim, primjećuje visoku stopu korupcije i prevara u Ukrajini sada i u razdoblju prije aktualnog rata i upozorava da bi trebalo poduzeti dodatne mjere opreza kad je riječ o suradnji u istragama kako bi se zaštitili osoblje i svjedoci, napominje da je, primjerice, Revizorski sud 2021. utvrdio da je inicijativa EU-a za borbu protiv korupcije koju je financirala Unija i koja je pokrenuta 2017. neučinkovita u borbi protiv korupcije; prepoznaje da se ukrajinski parlament, </w:t>
      </w:r>
      <w:proofErr w:type="spellStart"/>
      <w:r w:rsidRPr="00B948BF">
        <w:t>Verkhovna</w:t>
      </w:r>
      <w:proofErr w:type="spellEnd"/>
      <w:r w:rsidRPr="00B948BF">
        <w:t xml:space="preserve"> Rada, trudi surađivati s Europskom unijom, te da je potreban intenzivniji rad na suzbijanju korupcije kako bi se uspješno ost</w:t>
      </w:r>
      <w:r w:rsidR="00506826">
        <w:t>varili ciljevi transparentnosti.</w:t>
      </w:r>
    </w:p>
    <w:sectPr w:rsidR="00862215" w:rsidRPr="00B948BF" w:rsidSect="00B4119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5B9" w:rsidRPr="00221E40" w:rsidRDefault="00A165B9">
      <w:r w:rsidRPr="00221E40">
        <w:separator/>
      </w:r>
    </w:p>
  </w:endnote>
  <w:endnote w:type="continuationSeparator" w:id="0">
    <w:p w:rsidR="00A165B9" w:rsidRPr="00221E40" w:rsidRDefault="00A165B9">
      <w:r w:rsidRPr="00221E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215" w:rsidRPr="00221E40" w:rsidRDefault="00862215" w:rsidP="00B71841">
    <w:pPr>
      <w:pStyle w:val="EPFooter"/>
    </w:pPr>
    <w:r w:rsidRPr="00221E40">
      <w:t>PE</w:t>
    </w:r>
    <w:r w:rsidRPr="00221E40">
      <w:rPr>
        <w:rStyle w:val="HideTWBExt"/>
      </w:rPr>
      <w:t>&lt;NoPE&gt;</w:t>
    </w:r>
    <w:r w:rsidRPr="00221E40">
      <w:t>753.489</w:t>
    </w:r>
    <w:r w:rsidRPr="00221E40">
      <w:rPr>
        <w:rStyle w:val="HideTWBExt"/>
      </w:rPr>
      <w:t>&lt;/NoPE&gt;&lt;Version&gt;</w:t>
    </w:r>
    <w:r w:rsidRPr="00221E40">
      <w:t>v02-00</w:t>
    </w:r>
    <w:r w:rsidRPr="00221E40">
      <w:rPr>
        <w:rStyle w:val="HideTWBExt"/>
      </w:rPr>
      <w:t>&lt;/Version&gt;</w:t>
    </w:r>
    <w:r w:rsidRPr="00221E40">
      <w:tab/>
    </w:r>
    <w:r w:rsidRPr="00221E40">
      <w:fldChar w:fldCharType="begin"/>
    </w:r>
    <w:r w:rsidRPr="00221E40">
      <w:instrText xml:space="preserve"> PAGE  \* MERGEFORMAT </w:instrText>
    </w:r>
    <w:r w:rsidRPr="00221E40">
      <w:fldChar w:fldCharType="separate"/>
    </w:r>
    <w:r w:rsidRPr="00221E40">
      <w:rPr>
        <w:noProof/>
      </w:rPr>
      <w:t>26</w:t>
    </w:r>
    <w:r w:rsidRPr="00221E40">
      <w:fldChar w:fldCharType="end"/>
    </w:r>
    <w:r w:rsidRPr="00221E40">
      <w:t>/</w:t>
    </w:r>
    <w:fldSimple w:instr=" NUMPAGES  \* MERGEFORMAT ">
      <w:r w:rsidRPr="00221E40">
        <w:rPr>
          <w:noProof/>
        </w:rPr>
        <w:t>26</w:t>
      </w:r>
    </w:fldSimple>
    <w:r w:rsidRPr="00221E40">
      <w:tab/>
    </w:r>
    <w:r w:rsidRPr="00221E40">
      <w:rPr>
        <w:rStyle w:val="HideTWBExt"/>
      </w:rPr>
      <w:t>&lt;PathFdR&gt;</w:t>
    </w:r>
    <w:r w:rsidRPr="00221E40">
      <w:t>RR\1298985HR.docx</w:t>
    </w:r>
    <w:r w:rsidRPr="00221E40">
      <w:rPr>
        <w:rStyle w:val="HideTWBExt"/>
      </w:rPr>
      <w:t>&lt;/PathFdR&gt;</w:t>
    </w:r>
  </w:p>
  <w:p w:rsidR="00862215" w:rsidRPr="00221E40" w:rsidRDefault="00862215" w:rsidP="00B71841">
    <w:pPr>
      <w:pStyle w:val="EPFooter2"/>
    </w:pPr>
    <w:r w:rsidRPr="00221E40">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215" w:rsidRPr="00221E40" w:rsidRDefault="00862215" w:rsidP="00B71841">
    <w:pPr>
      <w:pStyle w:val="EPFooter"/>
    </w:pPr>
    <w:r w:rsidRPr="00221E40">
      <w:rPr>
        <w:rStyle w:val="HideTWBExt"/>
      </w:rPr>
      <w:t>&lt;PathFdR&gt;</w:t>
    </w:r>
    <w:r w:rsidRPr="00221E40">
      <w:t>RR\1298985HR.docx</w:t>
    </w:r>
    <w:r w:rsidRPr="00221E40">
      <w:rPr>
        <w:rStyle w:val="HideTWBExt"/>
      </w:rPr>
      <w:t>&lt;/PathFdR&gt;</w:t>
    </w:r>
    <w:r w:rsidRPr="00221E40">
      <w:tab/>
    </w:r>
    <w:r w:rsidRPr="00221E40">
      <w:tab/>
      <w:t>PE</w:t>
    </w:r>
    <w:r w:rsidRPr="00221E40">
      <w:rPr>
        <w:rStyle w:val="HideTWBExt"/>
      </w:rPr>
      <w:t>&lt;NoPE&gt;</w:t>
    </w:r>
    <w:r w:rsidRPr="00221E40">
      <w:t>753.489</w:t>
    </w:r>
    <w:r w:rsidRPr="00221E40">
      <w:rPr>
        <w:rStyle w:val="HideTWBExt"/>
      </w:rPr>
      <w:t>&lt;/NoPE&gt;&lt;Version&gt;</w:t>
    </w:r>
    <w:r w:rsidRPr="00221E40">
      <w:t>v02-00</w:t>
    </w:r>
    <w:r w:rsidRPr="00221E40">
      <w:rPr>
        <w:rStyle w:val="HideTWBExt"/>
      </w:rPr>
      <w:t>&lt;/Version&gt;</w:t>
    </w:r>
  </w:p>
  <w:p w:rsidR="00862215" w:rsidRPr="00221E40" w:rsidRDefault="00862215" w:rsidP="00B71841">
    <w:pPr>
      <w:pStyle w:val="EPFooter2"/>
    </w:pPr>
    <w:r w:rsidRPr="00221E40">
      <w:t>HR</w:t>
    </w:r>
    <w:r w:rsidRPr="00221E40">
      <w:tab/>
    </w:r>
    <w:r w:rsidRPr="00221E40">
      <w:rPr>
        <w:b w:val="0"/>
        <w:i/>
        <w:color w:val="C0C0C0"/>
        <w:sz w:val="22"/>
      </w:rPr>
      <w:t>Ujedinjena u raznolikosti</w:t>
    </w:r>
    <w:r w:rsidRPr="00221E40">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E4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E4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E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5B9" w:rsidRPr="00221E40" w:rsidRDefault="00A165B9">
      <w:r w:rsidRPr="00221E40">
        <w:separator/>
      </w:r>
    </w:p>
  </w:footnote>
  <w:footnote w:type="continuationSeparator" w:id="0">
    <w:p w:rsidR="00A165B9" w:rsidRPr="00221E40" w:rsidRDefault="00A165B9">
      <w:r w:rsidRPr="00221E40">
        <w:continuationSeparator/>
      </w:r>
    </w:p>
  </w:footnote>
  <w:footnote w:id="1">
    <w:p w:rsidR="00862215" w:rsidRPr="00221E40" w:rsidRDefault="00862215" w:rsidP="00221E40">
      <w:pPr>
        <w:pStyle w:val="FootnoteText"/>
        <w:ind w:left="567" w:hanging="567"/>
        <w:rPr>
          <w:sz w:val="24"/>
          <w:lang w:val="hr-HR"/>
        </w:rPr>
      </w:pPr>
      <w:r w:rsidRPr="00221E40">
        <w:rPr>
          <w:rStyle w:val="FootnoteReference"/>
          <w:sz w:val="24"/>
          <w:lang w:val="hr-HR"/>
        </w:rPr>
        <w:footnoteRef/>
      </w:r>
      <w:r w:rsidR="00221E40" w:rsidRPr="00221E40">
        <w:rPr>
          <w:sz w:val="24"/>
          <w:lang w:val="hr-HR"/>
        </w:rPr>
        <w:t xml:space="preserve"> </w:t>
      </w:r>
      <w:r w:rsidR="00221E40" w:rsidRPr="00221E40">
        <w:rPr>
          <w:sz w:val="24"/>
          <w:lang w:val="hr-HR"/>
        </w:rPr>
        <w:tab/>
      </w:r>
      <w:r w:rsidRPr="00221E40">
        <w:rPr>
          <w:sz w:val="24"/>
          <w:lang w:val="hr-HR"/>
        </w:rPr>
        <w:t>SL C, C/2023/594, 27.10.2023.</w:t>
      </w:r>
    </w:p>
  </w:footnote>
  <w:footnote w:id="2">
    <w:p w:rsidR="00862215" w:rsidRPr="00221E40" w:rsidRDefault="00862215" w:rsidP="00221E40">
      <w:pPr>
        <w:pStyle w:val="FootnoteText"/>
        <w:ind w:left="567" w:hanging="567"/>
        <w:rPr>
          <w:sz w:val="24"/>
          <w:lang w:val="hr-HR"/>
        </w:rPr>
      </w:pPr>
      <w:r w:rsidRPr="00221E40">
        <w:rPr>
          <w:rStyle w:val="FootnoteReference"/>
          <w:sz w:val="24"/>
          <w:lang w:val="hr-HR"/>
        </w:rPr>
        <w:footnoteRef/>
      </w:r>
      <w:r w:rsidR="00221E40" w:rsidRPr="00221E40">
        <w:rPr>
          <w:sz w:val="24"/>
          <w:lang w:val="hr-HR"/>
        </w:rPr>
        <w:t xml:space="preserve"> </w:t>
      </w:r>
      <w:r w:rsidR="00221E40" w:rsidRPr="00221E40">
        <w:rPr>
          <w:sz w:val="24"/>
          <w:lang w:val="hr-HR"/>
        </w:rPr>
        <w:tab/>
      </w:r>
      <w:r w:rsidRPr="00221E40">
        <w:rPr>
          <w:sz w:val="24"/>
          <w:lang w:val="hr-HR"/>
        </w:rPr>
        <w:t>SL C, C/2023/112, 12.10.2023.</w:t>
      </w:r>
    </w:p>
  </w:footnote>
  <w:footnote w:id="3">
    <w:p w:rsidR="00862215" w:rsidRPr="00221E40" w:rsidRDefault="00862215" w:rsidP="00221E40">
      <w:pPr>
        <w:pStyle w:val="FootnoteText"/>
        <w:ind w:left="567" w:hanging="567"/>
        <w:rPr>
          <w:sz w:val="24"/>
          <w:lang w:val="hr-HR"/>
        </w:rPr>
      </w:pPr>
      <w:r w:rsidRPr="00221E40">
        <w:rPr>
          <w:rStyle w:val="FootnoteReference"/>
          <w:sz w:val="24"/>
          <w:lang w:val="hr-HR"/>
        </w:rPr>
        <w:footnoteRef/>
      </w:r>
      <w:r w:rsidR="00221E40" w:rsidRPr="00221E40">
        <w:rPr>
          <w:sz w:val="24"/>
          <w:lang w:val="hr-HR"/>
        </w:rPr>
        <w:t xml:space="preserve"> </w:t>
      </w:r>
      <w:r w:rsidR="00221E40" w:rsidRPr="00221E40">
        <w:rPr>
          <w:sz w:val="24"/>
          <w:lang w:val="hr-HR"/>
        </w:rPr>
        <w:tab/>
      </w:r>
      <w:r w:rsidR="004749F7">
        <w:rPr>
          <w:sz w:val="24"/>
          <w:lang w:val="hr-HR"/>
        </w:rPr>
        <w:t>SL L 193,</w:t>
      </w:r>
      <w:r w:rsidRPr="00221E40">
        <w:rPr>
          <w:sz w:val="24"/>
          <w:lang w:val="hr-HR"/>
        </w:rPr>
        <w:t xml:space="preserve"> 30.7.2018., str. 1.</w:t>
      </w:r>
    </w:p>
  </w:footnote>
  <w:footnote w:id="4">
    <w:p w:rsidR="00862215" w:rsidRPr="00221E40" w:rsidRDefault="00862215" w:rsidP="00221E40">
      <w:pPr>
        <w:pStyle w:val="FootnoteText"/>
        <w:ind w:left="567" w:hanging="567"/>
        <w:rPr>
          <w:sz w:val="24"/>
          <w:lang w:val="hr-HR"/>
        </w:rPr>
      </w:pPr>
      <w:r w:rsidRPr="00221E40">
        <w:rPr>
          <w:rStyle w:val="FootnoteReference"/>
          <w:sz w:val="24"/>
          <w:lang w:val="hr-HR"/>
        </w:rPr>
        <w:footnoteRef/>
      </w:r>
      <w:r w:rsidR="00221E40" w:rsidRPr="00221E40">
        <w:rPr>
          <w:sz w:val="24"/>
          <w:lang w:val="hr-HR"/>
        </w:rPr>
        <w:t xml:space="preserve"> </w:t>
      </w:r>
      <w:r w:rsidR="00221E40" w:rsidRPr="00221E40">
        <w:rPr>
          <w:sz w:val="24"/>
          <w:lang w:val="hr-HR"/>
        </w:rPr>
        <w:tab/>
      </w:r>
      <w:r w:rsidRPr="00221E40">
        <w:rPr>
          <w:sz w:val="24"/>
          <w:lang w:val="hr-HR"/>
        </w:rPr>
        <w:t>SL L 283, 31.10.2017., str. 1.</w:t>
      </w:r>
    </w:p>
  </w:footnote>
  <w:footnote w:id="5">
    <w:p w:rsidR="00862215" w:rsidRPr="00221E40" w:rsidRDefault="00862215" w:rsidP="00221E40">
      <w:pPr>
        <w:pStyle w:val="FootnoteText"/>
        <w:ind w:left="567" w:hanging="567"/>
        <w:rPr>
          <w:sz w:val="24"/>
          <w:szCs w:val="24"/>
          <w:lang w:val="hr-HR"/>
        </w:rPr>
      </w:pPr>
      <w:r w:rsidRPr="00221E40">
        <w:rPr>
          <w:rStyle w:val="FootnoteReference"/>
          <w:sz w:val="24"/>
          <w:lang w:val="hr-HR"/>
        </w:rPr>
        <w:footnoteRef/>
      </w:r>
      <w:r w:rsidR="00221E40" w:rsidRPr="00221E40">
        <w:rPr>
          <w:sz w:val="24"/>
          <w:lang w:val="hr-HR"/>
        </w:rPr>
        <w:t xml:space="preserve"> </w:t>
      </w:r>
      <w:r w:rsidR="00221E40" w:rsidRPr="00221E40">
        <w:rPr>
          <w:sz w:val="24"/>
          <w:lang w:val="hr-HR"/>
        </w:rPr>
        <w:tab/>
      </w:r>
      <w:r w:rsidRPr="00221E40">
        <w:rPr>
          <w:sz w:val="24"/>
          <w:lang w:val="hr-HR"/>
        </w:rPr>
        <w:t>SL L 122, 10.5.2019., str. 1.</w:t>
      </w:r>
    </w:p>
  </w:footnote>
  <w:footnote w:id="6">
    <w:p w:rsidR="00862215" w:rsidRPr="00221E40" w:rsidRDefault="00862215" w:rsidP="00221E40">
      <w:pPr>
        <w:pStyle w:val="FootnoteText"/>
        <w:ind w:left="567" w:hanging="567"/>
        <w:rPr>
          <w:sz w:val="24"/>
          <w:lang w:val="hr-HR"/>
        </w:rPr>
      </w:pPr>
      <w:r w:rsidRPr="00221E40">
        <w:rPr>
          <w:rStyle w:val="FootnoteReference"/>
          <w:sz w:val="24"/>
          <w:lang w:val="hr-HR"/>
        </w:rPr>
        <w:footnoteRef/>
      </w:r>
      <w:r w:rsidR="00221E40" w:rsidRPr="00221E40">
        <w:rPr>
          <w:sz w:val="24"/>
          <w:lang w:val="hr-HR"/>
        </w:rPr>
        <w:t xml:space="preserve"> </w:t>
      </w:r>
      <w:r w:rsidR="00221E40" w:rsidRPr="00221E40">
        <w:rPr>
          <w:sz w:val="24"/>
          <w:lang w:val="hr-HR"/>
        </w:rPr>
        <w:tab/>
      </w:r>
      <w:r w:rsidRPr="00221E40">
        <w:rPr>
          <w:sz w:val="24"/>
          <w:lang w:val="hr-HR"/>
        </w:rPr>
        <w:t>SL C, C/2023/594, 27.10.2023.</w:t>
      </w:r>
    </w:p>
  </w:footnote>
  <w:footnote w:id="7">
    <w:p w:rsidR="00862215" w:rsidRPr="00221E40" w:rsidRDefault="00862215" w:rsidP="00221E40">
      <w:pPr>
        <w:pStyle w:val="FootnoteText"/>
        <w:ind w:left="567" w:hanging="567"/>
        <w:rPr>
          <w:sz w:val="24"/>
          <w:lang w:val="hr-HR"/>
        </w:rPr>
      </w:pPr>
      <w:r w:rsidRPr="00221E40">
        <w:rPr>
          <w:rStyle w:val="FootnoteReference"/>
          <w:sz w:val="24"/>
          <w:lang w:val="hr-HR"/>
        </w:rPr>
        <w:footnoteRef/>
      </w:r>
      <w:r w:rsidR="00221E40" w:rsidRPr="00221E40">
        <w:rPr>
          <w:sz w:val="24"/>
          <w:lang w:val="hr-HR"/>
        </w:rPr>
        <w:t xml:space="preserve"> </w:t>
      </w:r>
      <w:r w:rsidR="00221E40" w:rsidRPr="00221E40">
        <w:rPr>
          <w:sz w:val="24"/>
          <w:lang w:val="hr-HR"/>
        </w:rPr>
        <w:tab/>
      </w:r>
      <w:r w:rsidRPr="00221E40">
        <w:rPr>
          <w:sz w:val="24"/>
          <w:lang w:val="hr-HR"/>
        </w:rPr>
        <w:t>SL C, C/2023/112, 12.10.2023.</w:t>
      </w:r>
    </w:p>
  </w:footnote>
  <w:footnote w:id="8">
    <w:p w:rsidR="00862215" w:rsidRPr="00221E40" w:rsidRDefault="00862215" w:rsidP="00221E40">
      <w:pPr>
        <w:pStyle w:val="FootnoteText"/>
        <w:ind w:left="567" w:hanging="567"/>
        <w:rPr>
          <w:sz w:val="24"/>
          <w:lang w:val="hr-HR"/>
        </w:rPr>
      </w:pPr>
      <w:r w:rsidRPr="00221E40">
        <w:rPr>
          <w:rStyle w:val="FootnoteReference"/>
          <w:sz w:val="24"/>
          <w:lang w:val="hr-HR"/>
        </w:rPr>
        <w:footnoteRef/>
      </w:r>
      <w:r w:rsidR="00221E40" w:rsidRPr="00221E40">
        <w:rPr>
          <w:sz w:val="24"/>
          <w:lang w:val="hr-HR"/>
        </w:rPr>
        <w:t xml:space="preserve"> </w:t>
      </w:r>
      <w:r w:rsidR="00221E40" w:rsidRPr="00221E40">
        <w:rPr>
          <w:sz w:val="24"/>
          <w:lang w:val="hr-HR"/>
        </w:rPr>
        <w:tab/>
      </w:r>
      <w:r w:rsidR="004749F7">
        <w:rPr>
          <w:sz w:val="24"/>
          <w:lang w:val="hr-HR"/>
        </w:rPr>
        <w:t>SL L 193,</w:t>
      </w:r>
      <w:r w:rsidRPr="00221E40">
        <w:rPr>
          <w:sz w:val="24"/>
          <w:lang w:val="hr-HR"/>
        </w:rPr>
        <w:t xml:space="preserve"> 30.7.2018., str. 1.</w:t>
      </w:r>
    </w:p>
  </w:footnote>
  <w:footnote w:id="9">
    <w:p w:rsidR="00862215" w:rsidRPr="00221E40" w:rsidRDefault="00862215" w:rsidP="00221E40">
      <w:pPr>
        <w:pStyle w:val="FootnoteText"/>
        <w:ind w:left="567" w:hanging="567"/>
        <w:rPr>
          <w:sz w:val="24"/>
          <w:lang w:val="hr-HR"/>
        </w:rPr>
      </w:pPr>
      <w:r w:rsidRPr="00221E40">
        <w:rPr>
          <w:rStyle w:val="FootnoteReference"/>
          <w:sz w:val="24"/>
          <w:lang w:val="hr-HR"/>
        </w:rPr>
        <w:footnoteRef/>
      </w:r>
      <w:r w:rsidR="00221E40" w:rsidRPr="00221E40">
        <w:rPr>
          <w:sz w:val="24"/>
          <w:lang w:val="hr-HR"/>
        </w:rPr>
        <w:t xml:space="preserve"> </w:t>
      </w:r>
      <w:r w:rsidR="00221E40" w:rsidRPr="00221E40">
        <w:rPr>
          <w:sz w:val="24"/>
          <w:lang w:val="hr-HR"/>
        </w:rPr>
        <w:tab/>
      </w:r>
      <w:r w:rsidRPr="00221E40">
        <w:rPr>
          <w:sz w:val="24"/>
          <w:lang w:val="hr-HR"/>
        </w:rPr>
        <w:t>SL L 283, 31.10.2017., str. 1.</w:t>
      </w:r>
    </w:p>
  </w:footnote>
  <w:footnote w:id="10">
    <w:p w:rsidR="00862215" w:rsidRPr="00221E40" w:rsidRDefault="00862215" w:rsidP="00221E40">
      <w:pPr>
        <w:pStyle w:val="FootnoteText"/>
        <w:ind w:left="567" w:hanging="567"/>
        <w:rPr>
          <w:sz w:val="24"/>
          <w:szCs w:val="24"/>
          <w:lang w:val="hr-HR"/>
        </w:rPr>
      </w:pPr>
      <w:r w:rsidRPr="00221E40">
        <w:rPr>
          <w:rStyle w:val="FootnoteReference"/>
          <w:sz w:val="24"/>
          <w:lang w:val="hr-HR"/>
        </w:rPr>
        <w:footnoteRef/>
      </w:r>
      <w:r w:rsidR="00221E40" w:rsidRPr="00221E40">
        <w:rPr>
          <w:sz w:val="24"/>
          <w:lang w:val="hr-HR"/>
        </w:rPr>
        <w:t xml:space="preserve"> </w:t>
      </w:r>
      <w:r w:rsidR="00221E40" w:rsidRPr="00221E40">
        <w:rPr>
          <w:sz w:val="24"/>
          <w:lang w:val="hr-HR"/>
        </w:rPr>
        <w:tab/>
      </w:r>
      <w:r w:rsidRPr="00221E40">
        <w:rPr>
          <w:sz w:val="24"/>
          <w:lang w:val="hr-HR"/>
        </w:rPr>
        <w:t>SL L 122, 10.5.2019., str. 1.</w:t>
      </w:r>
    </w:p>
  </w:footnote>
  <w:footnote w:id="11">
    <w:p w:rsidR="00862215" w:rsidRPr="00221E40" w:rsidRDefault="00862215" w:rsidP="00221E40">
      <w:pPr>
        <w:pStyle w:val="FootnoteText"/>
        <w:ind w:left="567" w:hanging="567"/>
        <w:rPr>
          <w:sz w:val="24"/>
          <w:lang w:val="hr-HR"/>
        </w:rPr>
      </w:pPr>
      <w:r w:rsidRPr="00221E40">
        <w:rPr>
          <w:rStyle w:val="FootnoteReference"/>
          <w:sz w:val="24"/>
          <w:lang w:val="hr-HR"/>
        </w:rPr>
        <w:footnoteRef/>
      </w:r>
      <w:r w:rsidR="00221E40" w:rsidRPr="00221E40">
        <w:rPr>
          <w:sz w:val="24"/>
          <w:shd w:val="clear" w:color="auto" w:fill="FFFFFF"/>
          <w:lang w:val="hr-HR"/>
        </w:rPr>
        <w:t xml:space="preserve"> </w:t>
      </w:r>
      <w:r w:rsidR="00221E40" w:rsidRPr="00221E40">
        <w:rPr>
          <w:sz w:val="24"/>
          <w:shd w:val="clear" w:color="auto" w:fill="FFFFFF"/>
          <w:lang w:val="hr-HR"/>
        </w:rPr>
        <w:tab/>
      </w:r>
      <w:r w:rsidRPr="00221E40">
        <w:rPr>
          <w:sz w:val="24"/>
          <w:shd w:val="clear" w:color="auto" w:fill="FFFFFF"/>
          <w:lang w:val="hr-HR"/>
        </w:rPr>
        <w:t>SL L 198, 28.7.2017., str.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E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E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E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HR"/>
    <w:docVar w:name="dvnumam" w:val="0"/>
    <w:docVar w:name="dvpe" w:val="753.489"/>
    <w:docVar w:name="dvrapporteur" w:val="Izvjestitelj: "/>
    <w:docVar w:name="dvtitre" w:val="Odluka Europskog parlamenta od .... 2024. o razrješnici za izvršenje proračuna Ureda europskog javnog tužitelja za financijsku godinu 2022.(2023/2139(DEC))"/>
  </w:docVars>
  <w:rsids>
    <w:rsidRoot w:val="00A165B9"/>
    <w:rsid w:val="00002272"/>
    <w:rsid w:val="00064002"/>
    <w:rsid w:val="000677B9"/>
    <w:rsid w:val="000831BA"/>
    <w:rsid w:val="000A42CC"/>
    <w:rsid w:val="000E7DD9"/>
    <w:rsid w:val="0010095E"/>
    <w:rsid w:val="00125B37"/>
    <w:rsid w:val="00187494"/>
    <w:rsid w:val="001F32AE"/>
    <w:rsid w:val="00221E40"/>
    <w:rsid w:val="002767FF"/>
    <w:rsid w:val="002B18FE"/>
    <w:rsid w:val="002B5493"/>
    <w:rsid w:val="00343214"/>
    <w:rsid w:val="00361C00"/>
    <w:rsid w:val="00395FA1"/>
    <w:rsid w:val="003E15D4"/>
    <w:rsid w:val="00411CCE"/>
    <w:rsid w:val="0041666E"/>
    <w:rsid w:val="00421060"/>
    <w:rsid w:val="00471C19"/>
    <w:rsid w:val="004749F7"/>
    <w:rsid w:val="004867E3"/>
    <w:rsid w:val="00494A28"/>
    <w:rsid w:val="004C0004"/>
    <w:rsid w:val="004C5D52"/>
    <w:rsid w:val="0050519A"/>
    <w:rsid w:val="00506826"/>
    <w:rsid w:val="005072A1"/>
    <w:rsid w:val="00514517"/>
    <w:rsid w:val="00545827"/>
    <w:rsid w:val="0054750D"/>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052D"/>
    <w:rsid w:val="007E22AD"/>
    <w:rsid w:val="00817416"/>
    <w:rsid w:val="00842779"/>
    <w:rsid w:val="00862215"/>
    <w:rsid w:val="00865F67"/>
    <w:rsid w:val="00881A7B"/>
    <w:rsid w:val="008840E5"/>
    <w:rsid w:val="00887B3E"/>
    <w:rsid w:val="008C2AC6"/>
    <w:rsid w:val="00930C23"/>
    <w:rsid w:val="0093193B"/>
    <w:rsid w:val="009509D8"/>
    <w:rsid w:val="00950B64"/>
    <w:rsid w:val="00981893"/>
    <w:rsid w:val="00A165B9"/>
    <w:rsid w:val="00A1687D"/>
    <w:rsid w:val="00A43E52"/>
    <w:rsid w:val="00A4678D"/>
    <w:rsid w:val="00A778C7"/>
    <w:rsid w:val="00AB441E"/>
    <w:rsid w:val="00AB6293"/>
    <w:rsid w:val="00AE0928"/>
    <w:rsid w:val="00AF3B82"/>
    <w:rsid w:val="00B12E95"/>
    <w:rsid w:val="00B22876"/>
    <w:rsid w:val="00B41197"/>
    <w:rsid w:val="00B558F0"/>
    <w:rsid w:val="00B948B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E0673"/>
  <w15:chartTrackingRefBased/>
  <w15:docId w15:val="{3EE0E61C-AEC2-4F0C-B7B4-A2CA9909F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622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62215"/>
    <w:pPr>
      <w:spacing w:before="480" w:after="240"/>
    </w:pPr>
  </w:style>
  <w:style w:type="paragraph" w:customStyle="1" w:styleId="PageHeading">
    <w:name w:val="PageHeading"/>
    <w:basedOn w:val="Normal"/>
    <w:rsid w:val="00862215"/>
    <w:pPr>
      <w:keepNext/>
      <w:spacing w:after="480"/>
      <w:jc w:val="center"/>
    </w:pPr>
    <w:rPr>
      <w:rFonts w:ascii="Arial" w:hAnsi="Arial" w:cs="Arial"/>
      <w:b/>
    </w:rPr>
  </w:style>
  <w:style w:type="paragraph" w:customStyle="1" w:styleId="NormalBold">
    <w:name w:val="NormalBold"/>
    <w:basedOn w:val="Normal"/>
    <w:rsid w:val="00862215"/>
    <w:rPr>
      <w:b/>
    </w:rPr>
  </w:style>
  <w:style w:type="paragraph" w:customStyle="1" w:styleId="NormalHanging12a">
    <w:name w:val="NormalHanging12a"/>
    <w:basedOn w:val="Normal"/>
    <w:link w:val="NormalHanging12aChar"/>
    <w:rsid w:val="00862215"/>
    <w:pPr>
      <w:spacing w:after="240"/>
      <w:ind w:left="567" w:hanging="567"/>
    </w:pPr>
  </w:style>
  <w:style w:type="paragraph" w:styleId="Header">
    <w:name w:val="header"/>
    <w:basedOn w:val="Normal"/>
    <w:link w:val="HeaderChar"/>
    <w:rsid w:val="00862215"/>
    <w:pPr>
      <w:tabs>
        <w:tab w:val="center" w:pos="4513"/>
        <w:tab w:val="right" w:pos="9026"/>
      </w:tabs>
    </w:pPr>
  </w:style>
  <w:style w:type="character" w:customStyle="1" w:styleId="HeaderChar">
    <w:name w:val="Header Char"/>
    <w:basedOn w:val="DefaultParagraphFont"/>
    <w:link w:val="Header"/>
    <w:rsid w:val="00862215"/>
    <w:rPr>
      <w:sz w:val="24"/>
      <w:lang w:val="hr-HR"/>
    </w:rPr>
  </w:style>
  <w:style w:type="paragraph" w:customStyle="1" w:styleId="EPFooter">
    <w:name w:val="EPFooter"/>
    <w:basedOn w:val="Normal"/>
    <w:rsid w:val="00862215"/>
    <w:pPr>
      <w:tabs>
        <w:tab w:val="center" w:pos="4535"/>
        <w:tab w:val="right" w:pos="9071"/>
      </w:tabs>
      <w:spacing w:before="240" w:after="240"/>
    </w:pPr>
    <w:rPr>
      <w:color w:val="010000"/>
      <w:sz w:val="22"/>
    </w:rPr>
  </w:style>
  <w:style w:type="paragraph" w:customStyle="1" w:styleId="Default">
    <w:name w:val="Default"/>
    <w:rsid w:val="00862215"/>
    <w:pPr>
      <w:autoSpaceDE w:val="0"/>
      <w:autoSpaceDN w:val="0"/>
      <w:adjustRightInd w:val="0"/>
    </w:pPr>
    <w:rPr>
      <w:rFonts w:ascii="Calibri" w:hAnsi="Calibri" w:cs="Calibri"/>
      <w:color w:val="000000"/>
      <w:sz w:val="24"/>
      <w:szCs w:val="24"/>
      <w:lang w:val="hr-HR"/>
    </w:rPr>
  </w:style>
  <w:style w:type="character" w:customStyle="1" w:styleId="NormalHanging12aChar">
    <w:name w:val="NormalHanging12a Char"/>
    <w:basedOn w:val="DefaultParagraphFont"/>
    <w:link w:val="NormalHanging12a"/>
    <w:rsid w:val="00862215"/>
    <w:rPr>
      <w:sz w:val="24"/>
      <w:lang w:val="hr-HR"/>
    </w:rPr>
  </w:style>
  <w:style w:type="paragraph" w:customStyle="1" w:styleId="Normal24a">
    <w:name w:val="Normal24a"/>
    <w:basedOn w:val="Normal"/>
    <w:rsid w:val="00862215"/>
    <w:pPr>
      <w:spacing w:after="480"/>
    </w:pPr>
  </w:style>
  <w:style w:type="paragraph" w:customStyle="1" w:styleId="NormalBoldCenter">
    <w:name w:val="NormalBoldCenter"/>
    <w:basedOn w:val="Normal"/>
    <w:rsid w:val="00862215"/>
    <w:pPr>
      <w:jc w:val="center"/>
    </w:pPr>
    <w:rPr>
      <w:b/>
    </w:rPr>
  </w:style>
  <w:style w:type="paragraph" w:customStyle="1" w:styleId="Normal12a">
    <w:name w:val="Normal12a"/>
    <w:basedOn w:val="Normal"/>
    <w:rsid w:val="00862215"/>
    <w:pPr>
      <w:spacing w:after="240"/>
    </w:pPr>
  </w:style>
  <w:style w:type="paragraph" w:customStyle="1" w:styleId="PageHeadingNotTOC">
    <w:name w:val="PageHeadingNotTOC"/>
    <w:basedOn w:val="Normal"/>
    <w:rsid w:val="00862215"/>
    <w:pPr>
      <w:keepNext/>
      <w:spacing w:after="480"/>
      <w:jc w:val="center"/>
    </w:pPr>
    <w:rPr>
      <w:rFonts w:ascii="Arial" w:hAnsi="Arial" w:cs="Arial"/>
      <w:b/>
    </w:rPr>
  </w:style>
  <w:style w:type="paragraph" w:customStyle="1" w:styleId="RollCallSymbols14pt">
    <w:name w:val="RollCallSymbols14pt"/>
    <w:basedOn w:val="Normal"/>
    <w:rsid w:val="0086221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62215"/>
    <w:pPr>
      <w:tabs>
        <w:tab w:val="center" w:pos="284"/>
        <w:tab w:val="left" w:pos="426"/>
      </w:tabs>
    </w:pPr>
    <w:rPr>
      <w:snapToGrid w:val="0"/>
      <w:lang w:eastAsia="en-US"/>
    </w:rPr>
  </w:style>
  <w:style w:type="paragraph" w:customStyle="1" w:styleId="RollCallVotes">
    <w:name w:val="RollCallVotes"/>
    <w:basedOn w:val="Normal"/>
    <w:rsid w:val="00862215"/>
    <w:pPr>
      <w:spacing w:before="120" w:after="120"/>
      <w:jc w:val="center"/>
    </w:pPr>
    <w:rPr>
      <w:b/>
      <w:bCs/>
      <w:snapToGrid w:val="0"/>
      <w:sz w:val="16"/>
      <w:lang w:eastAsia="en-US"/>
    </w:rPr>
  </w:style>
  <w:style w:type="paragraph" w:customStyle="1" w:styleId="RollCallTable">
    <w:name w:val="RollCallTable"/>
    <w:basedOn w:val="Normal"/>
    <w:rsid w:val="00862215"/>
    <w:pPr>
      <w:spacing w:before="120" w:after="120"/>
    </w:pPr>
    <w:rPr>
      <w:snapToGrid w:val="0"/>
      <w:sz w:val="16"/>
      <w:lang w:eastAsia="en-US"/>
    </w:rPr>
  </w:style>
  <w:style w:type="paragraph" w:styleId="Footer">
    <w:name w:val="footer"/>
    <w:basedOn w:val="Normal"/>
    <w:link w:val="FooterChar"/>
    <w:rsid w:val="004749F7"/>
    <w:pPr>
      <w:tabs>
        <w:tab w:val="center" w:pos="4513"/>
        <w:tab w:val="right" w:pos="9026"/>
      </w:tabs>
    </w:pPr>
  </w:style>
  <w:style w:type="character" w:customStyle="1" w:styleId="FooterChar">
    <w:name w:val="Footer Char"/>
    <w:basedOn w:val="DefaultParagraphFont"/>
    <w:link w:val="Footer"/>
    <w:rsid w:val="004749F7"/>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41525-ED3B-4703-845A-41183CBD6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8856</Words>
  <Characters>51825</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Karina Pesa</cp:lastModifiedBy>
  <cp:revision>3</cp:revision>
  <cp:lastPrinted>2004-11-19T15:42:00Z</cp:lastPrinted>
  <dcterms:created xsi:type="dcterms:W3CDTF">2024-05-23T08:24:00Z</dcterms:created>
  <dcterms:modified xsi:type="dcterms:W3CDTF">2024-10-31T07:34:00Z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P9_TA(2024)0237_</vt:lpwstr>
  </property>
  <property fmtid="{D5CDD505-2E9C-101B-9397-08002B2CF9AE}" pid="4" name="&lt;Type&gt;">
    <vt:lpwstr>RR</vt:lpwstr>
  </property>
</Properties>
</file>