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1243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12435" w:rsidRDefault="00455C50" w:rsidP="0010095E">
            <w:pPr>
              <w:pStyle w:val="EPName"/>
            </w:pPr>
            <w:r w:rsidRPr="00C12435">
              <w:t>Európsky parlament</w:t>
            </w:r>
          </w:p>
          <w:p w:rsidR="00751A4A" w:rsidRPr="00C1243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12435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12435" w:rsidRDefault="00187494" w:rsidP="0010095E">
            <w:pPr>
              <w:pStyle w:val="EPLogo"/>
            </w:pPr>
            <w:r w:rsidRPr="00C1243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12435" w:rsidRDefault="00D058B8" w:rsidP="004C5D52">
      <w:pPr>
        <w:pStyle w:val="LineTop"/>
      </w:pPr>
    </w:p>
    <w:p w:rsidR="00680577" w:rsidRPr="00C12435" w:rsidRDefault="00455C50" w:rsidP="00680577">
      <w:pPr>
        <w:pStyle w:val="EPBodyTA1"/>
      </w:pPr>
      <w:r w:rsidRPr="00C12435">
        <w:t>PRIJATÉ TEXTY</w:t>
      </w:r>
    </w:p>
    <w:p w:rsidR="00D058B8" w:rsidRPr="00C12435" w:rsidRDefault="00D058B8" w:rsidP="00D058B8">
      <w:pPr>
        <w:pStyle w:val="LineBottom"/>
      </w:pPr>
    </w:p>
    <w:p w:rsidR="00455C50" w:rsidRPr="00C12435" w:rsidRDefault="00455C50" w:rsidP="00455C50">
      <w:pPr>
        <w:pStyle w:val="ATHeading1"/>
      </w:pPr>
      <w:bookmarkStart w:id="0" w:name="TANumber"/>
      <w:r w:rsidRPr="00C12435">
        <w:t>P9_TA(2024)0</w:t>
      </w:r>
      <w:r w:rsidR="00C12435" w:rsidRPr="00C12435">
        <w:t>23</w:t>
      </w:r>
      <w:r w:rsidR="00EB60F8">
        <w:t>7</w:t>
      </w:r>
      <w:bookmarkEnd w:id="0"/>
    </w:p>
    <w:p w:rsidR="00455C50" w:rsidRPr="00C12435" w:rsidRDefault="00455C50" w:rsidP="00455C50">
      <w:pPr>
        <w:pStyle w:val="ATHeading2"/>
      </w:pPr>
      <w:bookmarkStart w:id="1" w:name="title"/>
      <w:r w:rsidRPr="00C12435">
        <w:t>Absolutórium za rok 2022: Európska prokuratúra (EPPO)</w:t>
      </w:r>
      <w:bookmarkEnd w:id="1"/>
    </w:p>
    <w:p w:rsidR="00455C50" w:rsidRPr="00C12435" w:rsidRDefault="00455C50" w:rsidP="00455C50">
      <w:pPr>
        <w:rPr>
          <w:i/>
          <w:vanish/>
        </w:rPr>
      </w:pPr>
      <w:r w:rsidRPr="00C12435">
        <w:rPr>
          <w:i/>
        </w:rPr>
        <w:fldChar w:fldCharType="begin"/>
      </w:r>
      <w:r w:rsidRPr="00C12435">
        <w:rPr>
          <w:i/>
        </w:rPr>
        <w:instrText xml:space="preserve"> TC"(</w:instrText>
      </w:r>
      <w:bookmarkStart w:id="2" w:name="DocNumber"/>
      <w:r w:rsidRPr="00C12435">
        <w:rPr>
          <w:i/>
        </w:rPr>
        <w:instrText>A9-0117/2024</w:instrText>
      </w:r>
      <w:bookmarkEnd w:id="2"/>
      <w:r w:rsidRPr="00C12435">
        <w:rPr>
          <w:i/>
        </w:rPr>
        <w:instrText xml:space="preserve"> - Spravodajca: Luke Ming Flanagan)"\l3 \n&gt; \* MERGEFORMAT </w:instrText>
      </w:r>
      <w:r w:rsidRPr="00C12435">
        <w:rPr>
          <w:i/>
        </w:rPr>
        <w:fldChar w:fldCharType="end"/>
      </w:r>
    </w:p>
    <w:p w:rsidR="00455C50" w:rsidRPr="00C12435" w:rsidRDefault="00455C50" w:rsidP="00455C50">
      <w:pPr>
        <w:rPr>
          <w:vanish/>
        </w:rPr>
      </w:pPr>
      <w:bookmarkStart w:id="3" w:name="Commission"/>
      <w:r w:rsidRPr="00C12435">
        <w:rPr>
          <w:vanish/>
        </w:rPr>
        <w:t>Výbor pre kontrolu rozpočtu</w:t>
      </w:r>
      <w:bookmarkEnd w:id="3"/>
    </w:p>
    <w:p w:rsidR="00455C50" w:rsidRPr="00C12435" w:rsidRDefault="00455C50" w:rsidP="00455C50">
      <w:pPr>
        <w:rPr>
          <w:vanish/>
        </w:rPr>
      </w:pPr>
      <w:bookmarkStart w:id="4" w:name="PE"/>
      <w:r w:rsidRPr="00C12435">
        <w:rPr>
          <w:vanish/>
        </w:rPr>
        <w:t>PE753.489</w:t>
      </w:r>
      <w:bookmarkEnd w:id="4"/>
    </w:p>
    <w:p w:rsidR="00455C50" w:rsidRPr="00C12435" w:rsidRDefault="00FD0901" w:rsidP="00455C50">
      <w:pPr>
        <w:pStyle w:val="ATHeading3"/>
      </w:pPr>
      <w:bookmarkStart w:id="5" w:name="Sujet"/>
      <w:r w:rsidRPr="00C12435">
        <w:t>1. R</w:t>
      </w:r>
      <w:r w:rsidR="00455C50" w:rsidRPr="00C12435">
        <w:t>ozhodnutie Európskeho parlamentu z</w:t>
      </w:r>
      <w:r w:rsidR="008D33B4" w:rsidRPr="00C12435">
        <w:t> 11</w:t>
      </w:r>
      <w:r w:rsidR="00455C50" w:rsidRPr="00C12435">
        <w:t>. apríla 2024 o absolutóriu za plnenie rozpočtu Európskej prokuratúry za rozpočtový rok 2022</w:t>
      </w:r>
      <w:bookmarkEnd w:id="5"/>
      <w:r w:rsidR="00455C50" w:rsidRPr="00C12435">
        <w:t xml:space="preserve"> </w:t>
      </w:r>
      <w:bookmarkStart w:id="6" w:name="References"/>
      <w:r w:rsidR="00455C50" w:rsidRPr="00C12435">
        <w:t>(2023/2139(DEC))</w:t>
      </w:r>
      <w:bookmarkEnd w:id="6"/>
    </w:p>
    <w:p w:rsidR="006E14C6" w:rsidRPr="00C12435" w:rsidRDefault="006E14C6" w:rsidP="006E14C6">
      <w:pPr>
        <w:pStyle w:val="EPComma"/>
      </w:pPr>
      <w:bookmarkStart w:id="7" w:name="TextBodyBegin"/>
      <w:bookmarkEnd w:id="7"/>
      <w:r w:rsidRPr="00C12435">
        <w:rPr>
          <w:i/>
          <w:iCs/>
        </w:rPr>
        <w:t>Európsky parlament,</w:t>
      </w:r>
    </w:p>
    <w:p w:rsidR="006E14C6" w:rsidRPr="00C12435" w:rsidRDefault="006E14C6" w:rsidP="006E14C6">
      <w:pPr>
        <w:pStyle w:val="NormalHanging12a"/>
      </w:pPr>
      <w:r w:rsidRPr="00C12435">
        <w:t>–</w:t>
      </w:r>
      <w:r w:rsidRPr="00C12435">
        <w:tab/>
        <w:t>so zreteľom na konečnú ročnú účtovnú závierku Európskej prokuratúry za rozpočtový rok 2022,</w:t>
      </w:r>
    </w:p>
    <w:p w:rsidR="006E14C6" w:rsidRPr="00C12435" w:rsidRDefault="006E14C6" w:rsidP="006E14C6">
      <w:pPr>
        <w:pStyle w:val="NormalHanging12a"/>
      </w:pPr>
      <w:r w:rsidRPr="00C12435">
        <w:t>–</w:t>
      </w:r>
      <w:r w:rsidRPr="00C12435">
        <w:tab/>
        <w:t>so zreteľom na výročnú správu Dvora audítorov o agentúrach EÚ za rozpočtový rok 2022 spolu s odpoveďami agentúr</w:t>
      </w:r>
      <w:r w:rsidRPr="00C12435">
        <w:rPr>
          <w:rStyle w:val="FootnoteReference"/>
        </w:rPr>
        <w:footnoteReference w:id="1"/>
      </w:r>
      <w:r w:rsidRPr="00C12435">
        <w:t>,</w:t>
      </w:r>
    </w:p>
    <w:p w:rsidR="006E14C6" w:rsidRPr="00C12435" w:rsidRDefault="006E14C6" w:rsidP="006E14C6">
      <w:pPr>
        <w:pStyle w:val="NormalHanging12a"/>
      </w:pPr>
      <w:r w:rsidRPr="00C12435">
        <w:t>–</w:t>
      </w:r>
      <w:r w:rsidRPr="00C12435">
        <w:tab/>
        <w:t>so zreteľom na vyhlásenie</w:t>
      </w:r>
      <w:r w:rsidRPr="00C12435">
        <w:rPr>
          <w:rStyle w:val="FootnoteReference"/>
        </w:rPr>
        <w:footnoteReference w:id="2"/>
      </w:r>
      <w:r w:rsidRPr="00C12435">
        <w:t xml:space="preserve"> o vierohodnosti vedenia účtov a zákonnosti a správnosti príslušných operácií, ktoré poskytol Dvor audítorov za rozpočtový rok 2022 v súlade s článkom 287 Zmluvy o fungovaní Európskej únie,</w:t>
      </w:r>
    </w:p>
    <w:p w:rsidR="006E14C6" w:rsidRPr="00C12435" w:rsidRDefault="006E14C6" w:rsidP="006E14C6">
      <w:pPr>
        <w:pStyle w:val="NormalHanging12a"/>
      </w:pPr>
      <w:r w:rsidRPr="00C12435">
        <w:t>–</w:t>
      </w:r>
      <w:r w:rsidRPr="00C12435">
        <w:tab/>
        <w:t>so zreteľom na odporúčanie Rady z 22. februára 2024 o udelení absolutória Európskej prokuratúre za plnenie rozpočtu za rozpočtový rok 2022 (</w:t>
      </w:r>
      <w:r w:rsidR="008D33B4" w:rsidRPr="00C12435">
        <w:t>06179</w:t>
      </w:r>
      <w:r w:rsidRPr="00C12435">
        <w:t>/2024 – C9</w:t>
      </w:r>
      <w:r w:rsidRPr="00C12435">
        <w:noBreakHyphen/>
      </w:r>
      <w:r w:rsidR="008D33B4" w:rsidRPr="00C12435">
        <w:t>0077</w:t>
      </w:r>
      <w:r w:rsidRPr="00C12435">
        <w:t>/2024),</w:t>
      </w:r>
    </w:p>
    <w:p w:rsidR="006E14C6" w:rsidRPr="00C12435" w:rsidRDefault="006E14C6" w:rsidP="006E14C6">
      <w:pPr>
        <w:pStyle w:val="NormalHanging12a"/>
      </w:pPr>
      <w:r w:rsidRPr="00C12435">
        <w:t>–</w:t>
      </w:r>
      <w:r w:rsidRPr="00C12435">
        <w:tab/>
        <w:t>so zreteľom na článok 319 Zmluvy o fungovaní Európskej únie,</w:t>
      </w:r>
    </w:p>
    <w:p w:rsidR="006E14C6" w:rsidRPr="00C12435" w:rsidRDefault="006E14C6" w:rsidP="006E14C6">
      <w:pPr>
        <w:pStyle w:val="NormalHanging12a"/>
      </w:pPr>
      <w:r w:rsidRPr="00C12435">
        <w:t>–</w:t>
      </w:r>
      <w:r w:rsidRPr="00C12435">
        <w:tab/>
        <w:t xml:space="preserve">so zreteľom na nariadenie Európskeho parlamentu a Rady (EÚ, </w:t>
      </w:r>
      <w:proofErr w:type="spellStart"/>
      <w:r w:rsidRPr="00C12435">
        <w:t>Euratom</w:t>
      </w:r>
      <w:proofErr w:type="spellEnd"/>
      <w:r w:rsidRPr="00C12435">
        <w:t xml:space="preserve">) 2018/1046 z 18. júla 2018 o rozpočtových pravidlách, ktoré sa vzťahujú na všeobecný rozpočet Únie, o zmene nariadení (EÚ) č. 1296/2013, (EÚ) č. 1301/2013, (EÚ) č. 1303/2013, (EÚ) č. 1304/2013, (EÚ) č. 1309/2013, (EÚ) č. 1316/2013, (EÚ) č. 223/2014, (EÚ) č. 283/2014 a rozhodnutia č. 541/2014/EÚ a o zrušení nariadenia (EÚ, </w:t>
      </w:r>
      <w:proofErr w:type="spellStart"/>
      <w:r w:rsidRPr="00C12435">
        <w:t>Euratom</w:t>
      </w:r>
      <w:proofErr w:type="spellEnd"/>
      <w:r w:rsidRPr="00C12435">
        <w:t>) č. 966/2012</w:t>
      </w:r>
      <w:r w:rsidRPr="00C12435">
        <w:rPr>
          <w:rStyle w:val="FootnoteReference"/>
        </w:rPr>
        <w:footnoteReference w:id="3"/>
      </w:r>
      <w:r w:rsidRPr="00C12435">
        <w:t>, a najmä na jeho článok 70,</w:t>
      </w:r>
    </w:p>
    <w:p w:rsidR="006E14C6" w:rsidRPr="00C12435" w:rsidRDefault="006E14C6" w:rsidP="006E14C6">
      <w:pPr>
        <w:pStyle w:val="NormalHanging12a"/>
      </w:pPr>
      <w:r w:rsidRPr="00C12435">
        <w:t>–</w:t>
      </w:r>
      <w:r w:rsidRPr="00C12435">
        <w:tab/>
        <w:t>so zreteľom na nariadenie Rady (EÚ) 2017/1939 z 12. októbra 2017, ktorým sa vykonáva posilnená spolupráca na účely zriadenia Európskej prokuratúry</w:t>
      </w:r>
      <w:r w:rsidRPr="00C12435">
        <w:rPr>
          <w:shd w:val="clear" w:color="auto" w:fill="FFFFFF"/>
        </w:rPr>
        <w:t xml:space="preserve"> (EPPO)</w:t>
      </w:r>
      <w:r w:rsidRPr="00C12435">
        <w:rPr>
          <w:rStyle w:val="FootnoteReference"/>
        </w:rPr>
        <w:footnoteReference w:id="4"/>
      </w:r>
      <w:r w:rsidRPr="00C12435">
        <w:t>, a najmä na jeho článok 94,</w:t>
      </w:r>
    </w:p>
    <w:p w:rsidR="006E14C6" w:rsidRPr="00C12435" w:rsidRDefault="006E14C6" w:rsidP="006E14C6">
      <w:pPr>
        <w:pStyle w:val="NormalHanging12a"/>
      </w:pPr>
      <w:r w:rsidRPr="00C12435">
        <w:t>–</w:t>
      </w:r>
      <w:r w:rsidRPr="00C12435">
        <w:tab/>
        <w:t xml:space="preserve">so zreteľom na delegované nariadenie Komisie (EÚ) 2019/715 z 18. decembra 2018 o rámcovom nariadení o rozpočtových pravidlách pre subjekty zriadené podľa Zmluvy o fungovaní Európskej únie a Zmluvy o </w:t>
      </w:r>
      <w:proofErr w:type="spellStart"/>
      <w:r w:rsidRPr="00C12435">
        <w:t>Euratome</w:t>
      </w:r>
      <w:proofErr w:type="spellEnd"/>
      <w:r w:rsidRPr="00C12435">
        <w:t xml:space="preserve"> a uvedené v článku 70 nariadenia </w:t>
      </w:r>
      <w:r w:rsidRPr="00C12435">
        <w:lastRenderedPageBreak/>
        <w:t xml:space="preserve">Európskeho parlamentu a Rady (EÚ, </w:t>
      </w:r>
      <w:proofErr w:type="spellStart"/>
      <w:r w:rsidRPr="00C12435">
        <w:t>Euratom</w:t>
      </w:r>
      <w:proofErr w:type="spellEnd"/>
      <w:r w:rsidRPr="00C12435">
        <w:t>) 2018/1046</w:t>
      </w:r>
      <w:r w:rsidRPr="00C12435">
        <w:rPr>
          <w:rStyle w:val="FootnoteReference"/>
        </w:rPr>
        <w:footnoteReference w:id="5"/>
      </w:r>
      <w:r w:rsidRPr="00C12435">
        <w:t>, a najmä na jeho článok 105,</w:t>
      </w:r>
    </w:p>
    <w:p w:rsidR="006E14C6" w:rsidRPr="00C12435" w:rsidRDefault="006E14C6" w:rsidP="006E14C6">
      <w:pPr>
        <w:pStyle w:val="NormalHanging12a"/>
      </w:pPr>
      <w:r w:rsidRPr="00C12435">
        <w:t>–</w:t>
      </w:r>
      <w:r w:rsidRPr="00C12435">
        <w:tab/>
        <w:t>so zreteľom na článok 100 a prílohu V</w:t>
      </w:r>
      <w:r w:rsidR="00FD0901" w:rsidRPr="00C12435">
        <w:t xml:space="preserve"> k </w:t>
      </w:r>
      <w:r w:rsidRPr="00C12435">
        <w:t>rokovacie</w:t>
      </w:r>
      <w:r w:rsidR="00FD0901" w:rsidRPr="00C12435">
        <w:t>mu</w:t>
      </w:r>
      <w:r w:rsidRPr="00C12435">
        <w:t xml:space="preserve"> poriadku,</w:t>
      </w:r>
    </w:p>
    <w:p w:rsidR="006E14C6" w:rsidRPr="00C12435" w:rsidRDefault="006E14C6" w:rsidP="006E14C6">
      <w:pPr>
        <w:pStyle w:val="NormalHanging12a"/>
      </w:pPr>
      <w:r w:rsidRPr="00C12435">
        <w:t>–</w:t>
      </w:r>
      <w:r w:rsidRPr="00C12435">
        <w:tab/>
        <w:t>so zreteľom na stanovisko Výboru pre právne veci,</w:t>
      </w:r>
    </w:p>
    <w:p w:rsidR="006E14C6" w:rsidRPr="00C12435" w:rsidRDefault="006E14C6" w:rsidP="006E14C6">
      <w:pPr>
        <w:pStyle w:val="NormalHanging12a"/>
      </w:pPr>
      <w:r w:rsidRPr="00C12435">
        <w:t>–</w:t>
      </w:r>
      <w:r w:rsidRPr="00C12435">
        <w:tab/>
        <w:t>so zreteľom na stanovisko Výboru pre občianske slobody, spravodlivosť a vnútorné veci,</w:t>
      </w:r>
    </w:p>
    <w:p w:rsidR="006E14C6" w:rsidRPr="00C12435" w:rsidRDefault="006E14C6" w:rsidP="006E14C6">
      <w:pPr>
        <w:pStyle w:val="NormalHanging12a"/>
      </w:pPr>
      <w:r w:rsidRPr="00C12435">
        <w:t>–</w:t>
      </w:r>
      <w:r w:rsidRPr="00C12435">
        <w:tab/>
        <w:t>so zreteľom na správu Výboru pre kontrolu rozpočtu (A9-0117/2024),</w:t>
      </w:r>
    </w:p>
    <w:p w:rsidR="006E14C6" w:rsidRPr="00C12435" w:rsidRDefault="006E14C6" w:rsidP="006E14C6">
      <w:pPr>
        <w:pStyle w:val="NormalHanging12a"/>
      </w:pPr>
      <w:r w:rsidRPr="00C12435">
        <w:t>1.</w:t>
      </w:r>
      <w:r w:rsidRPr="00C12435">
        <w:tab/>
        <w:t>udeľuje administratívnemu riaditeľovi Európskej prokuratúry absolutórium za plnenie rozpočtu Európskej prokuratúry za rozpočtový rok 2022;</w:t>
      </w:r>
    </w:p>
    <w:p w:rsidR="006E14C6" w:rsidRPr="00C12435" w:rsidRDefault="006E14C6" w:rsidP="006E14C6">
      <w:pPr>
        <w:pStyle w:val="NormalHanging12a"/>
      </w:pPr>
      <w:r w:rsidRPr="00C12435">
        <w:t>2.</w:t>
      </w:r>
      <w:r w:rsidRPr="00C12435">
        <w:tab/>
        <w:t>uvádza svoje poznámky v priloženom uznesení;</w:t>
      </w:r>
    </w:p>
    <w:p w:rsidR="006E14C6" w:rsidRPr="00C12435" w:rsidRDefault="006E14C6" w:rsidP="006E14C6">
      <w:pPr>
        <w:pStyle w:val="NormalHanging12a"/>
      </w:pPr>
      <w:r w:rsidRPr="00C12435">
        <w:t>3.</w:t>
      </w:r>
      <w:r w:rsidRPr="00C12435">
        <w:tab/>
        <w:t>poveruje svoju predsedníčku, aby postúpila toto rozhodnutie a uznesenie, ktoré je jeho neoddeliteľnou súčasťou, administratívnemu riaditeľovi Európskej prokuratúry, Európskej rade, Rade, Komisii a Dvoru audítorov a aby zabezpečila ich uverejnenie v </w:t>
      </w:r>
      <w:r w:rsidRPr="00C12435">
        <w:rPr>
          <w:i/>
          <w:iCs/>
        </w:rPr>
        <w:t>Úradnom vestníku Európskej únie</w:t>
      </w:r>
      <w:r w:rsidRPr="00C12435">
        <w:t xml:space="preserve"> (v sérii L).</w:t>
      </w:r>
    </w:p>
    <w:p w:rsidR="006E14C6" w:rsidRPr="00C12435" w:rsidRDefault="006E14C6" w:rsidP="006E14C6"/>
    <w:p w:rsidR="006E14C6" w:rsidRPr="00C12435" w:rsidRDefault="006E14C6" w:rsidP="006E14C6">
      <w:pPr>
        <w:pStyle w:val="PageHeading"/>
        <w:sectPr w:rsidR="006E14C6" w:rsidRPr="00C12435" w:rsidSect="00D561B7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6E14C6" w:rsidRPr="00C12435" w:rsidRDefault="006E14C6" w:rsidP="00FD0901">
      <w:pPr>
        <w:pStyle w:val="ATHeading3"/>
      </w:pPr>
      <w:bookmarkStart w:id="8" w:name="_Toc161992429"/>
      <w:r w:rsidRPr="00C12435">
        <w:lastRenderedPageBreak/>
        <w:t xml:space="preserve">2. </w:t>
      </w:r>
      <w:bookmarkEnd w:id="8"/>
      <w:r w:rsidR="00FD0901" w:rsidRPr="00C12435">
        <w:t>Rozhodnutie Európskeho parlamentu z</w:t>
      </w:r>
      <w:r w:rsidR="008D33B4" w:rsidRPr="00C12435">
        <w:t> 11</w:t>
      </w:r>
      <w:r w:rsidR="00FD0901" w:rsidRPr="00C12435">
        <w:t xml:space="preserve">. apríla 2024 </w:t>
      </w:r>
      <w:r w:rsidRPr="00C12435">
        <w:t>o účtovnej závierke Európskej prokuratúry za rozpočtový rok 2022</w:t>
      </w:r>
      <w:r w:rsidR="00FD0901" w:rsidRPr="00C12435">
        <w:t xml:space="preserve"> </w:t>
      </w:r>
      <w:r w:rsidRPr="00C12435">
        <w:t>(2023/2139(DEC))</w:t>
      </w:r>
    </w:p>
    <w:p w:rsidR="006E14C6" w:rsidRPr="00C12435" w:rsidRDefault="006E14C6" w:rsidP="006E14C6">
      <w:pPr>
        <w:pStyle w:val="EPComma"/>
      </w:pPr>
      <w:r w:rsidRPr="00C12435">
        <w:rPr>
          <w:i/>
          <w:iCs/>
        </w:rPr>
        <w:t>Európsky parlament,</w:t>
      </w:r>
    </w:p>
    <w:p w:rsidR="006E14C6" w:rsidRPr="00C12435" w:rsidRDefault="006E14C6" w:rsidP="006E14C6">
      <w:pPr>
        <w:pStyle w:val="NormalHanging12a"/>
      </w:pPr>
      <w:r w:rsidRPr="00C12435">
        <w:t>–</w:t>
      </w:r>
      <w:r w:rsidRPr="00C12435">
        <w:tab/>
        <w:t>so zreteľom na konečnú ročnú účtovnú závierku Európskej prokuratúry za rozpočtový rok 2022,</w:t>
      </w:r>
    </w:p>
    <w:p w:rsidR="006E14C6" w:rsidRPr="00C12435" w:rsidRDefault="006E14C6" w:rsidP="006E14C6">
      <w:pPr>
        <w:pStyle w:val="NormalHanging12a"/>
      </w:pPr>
      <w:r w:rsidRPr="00C12435">
        <w:t>–</w:t>
      </w:r>
      <w:r w:rsidRPr="00C12435">
        <w:tab/>
        <w:t>so zreteľom na výročnú správu Dvora audítorov o agentúrach EÚ za rozpočtový rok 2022 spolu s odpoveďami agentúr</w:t>
      </w:r>
      <w:r w:rsidRPr="00C12435">
        <w:rPr>
          <w:rStyle w:val="FootnoteReference"/>
        </w:rPr>
        <w:footnoteReference w:id="6"/>
      </w:r>
      <w:r w:rsidRPr="00C12435">
        <w:t>,</w:t>
      </w:r>
    </w:p>
    <w:p w:rsidR="006E14C6" w:rsidRPr="00C12435" w:rsidRDefault="006E14C6" w:rsidP="006E14C6">
      <w:pPr>
        <w:pStyle w:val="NormalHanging12a"/>
      </w:pPr>
      <w:r w:rsidRPr="00C12435">
        <w:t>–</w:t>
      </w:r>
      <w:r w:rsidRPr="00C12435">
        <w:tab/>
        <w:t>so zreteľom na vyhlásenie</w:t>
      </w:r>
      <w:r w:rsidRPr="00C12435">
        <w:rPr>
          <w:rStyle w:val="FootnoteReference"/>
        </w:rPr>
        <w:footnoteReference w:id="7"/>
      </w:r>
      <w:r w:rsidRPr="00C12435">
        <w:t xml:space="preserve"> o vierohodnosti vedenia účtov a zákonnosti a správnosti príslušných operácií, ktoré poskytol Dvor audítorov za rozpočtový rok 2022 v súlade s článkom 287 Zmluvy o fungovaní Európskej únie,</w:t>
      </w:r>
    </w:p>
    <w:p w:rsidR="006E14C6" w:rsidRPr="00C12435" w:rsidRDefault="006E14C6" w:rsidP="006E14C6">
      <w:pPr>
        <w:pStyle w:val="NormalHanging12a"/>
      </w:pPr>
      <w:r w:rsidRPr="00C12435">
        <w:t>–</w:t>
      </w:r>
      <w:r w:rsidRPr="00C12435">
        <w:tab/>
        <w:t>so zreteľom na odporúčanie Rady z 22. februára 2024 o udelení absolutória Európskej prokuratúre za plnenie rozpočtu za rozpočtový rok 2022 (</w:t>
      </w:r>
      <w:r w:rsidR="008D33B4" w:rsidRPr="00C12435">
        <w:t>06179</w:t>
      </w:r>
      <w:r w:rsidRPr="00C12435">
        <w:t>/2024 – C9</w:t>
      </w:r>
      <w:r w:rsidRPr="00C12435">
        <w:noBreakHyphen/>
      </w:r>
      <w:r w:rsidR="008D33B4" w:rsidRPr="00C12435">
        <w:t>0077</w:t>
      </w:r>
      <w:r w:rsidRPr="00C12435">
        <w:t>/2024),</w:t>
      </w:r>
    </w:p>
    <w:p w:rsidR="006E14C6" w:rsidRPr="00C12435" w:rsidRDefault="006E14C6" w:rsidP="006E14C6">
      <w:pPr>
        <w:pStyle w:val="NormalHanging12a"/>
      </w:pPr>
      <w:r w:rsidRPr="00C12435">
        <w:t>–</w:t>
      </w:r>
      <w:r w:rsidRPr="00C12435">
        <w:tab/>
        <w:t>so zreteľom na článok 319 Zmluvy o fungovaní Európskej únie,</w:t>
      </w:r>
    </w:p>
    <w:p w:rsidR="006E14C6" w:rsidRPr="00C12435" w:rsidRDefault="006E14C6" w:rsidP="006E14C6">
      <w:pPr>
        <w:pStyle w:val="NormalHanging12a"/>
      </w:pPr>
      <w:r w:rsidRPr="00C12435">
        <w:t>–</w:t>
      </w:r>
      <w:r w:rsidRPr="00C12435">
        <w:tab/>
        <w:t xml:space="preserve">so zreteľom na nariadenie Európskeho parlamentu a Rady (EÚ, </w:t>
      </w:r>
      <w:proofErr w:type="spellStart"/>
      <w:r w:rsidRPr="00C12435">
        <w:t>Euratom</w:t>
      </w:r>
      <w:proofErr w:type="spellEnd"/>
      <w:r w:rsidRPr="00C12435">
        <w:t xml:space="preserve">) 2018/1046 z 18. júla 2018 o rozpočtových pravidlách, ktoré sa vzťahujú na všeobecný rozpočet Únie, o zmene nariadení (EÚ) č. 1296/2013, (EÚ) č. 1301/2013, (EÚ) č. 1303/2013, (EÚ) č. 1304/2013, (EÚ) č. 1309/2013, (EÚ) č. 1316/2013, (EÚ) č. 223/2014, (EÚ) č. 283/2014 a rozhodnutia č. 541/2014/EÚ a o zrušení nariadenia (EÚ, </w:t>
      </w:r>
      <w:proofErr w:type="spellStart"/>
      <w:r w:rsidRPr="00C12435">
        <w:t>Euratom</w:t>
      </w:r>
      <w:proofErr w:type="spellEnd"/>
      <w:r w:rsidRPr="00C12435">
        <w:t>) č. 966/2012</w:t>
      </w:r>
      <w:r w:rsidRPr="00C12435">
        <w:rPr>
          <w:rStyle w:val="FootnoteReference"/>
        </w:rPr>
        <w:footnoteReference w:id="8"/>
      </w:r>
      <w:r w:rsidRPr="00C12435">
        <w:t>, a najmä na jeho článok 70,</w:t>
      </w:r>
    </w:p>
    <w:p w:rsidR="006E14C6" w:rsidRPr="00C12435" w:rsidRDefault="006E14C6" w:rsidP="006E14C6">
      <w:pPr>
        <w:pStyle w:val="NormalHanging12a"/>
      </w:pPr>
      <w:r w:rsidRPr="00C12435">
        <w:t>–</w:t>
      </w:r>
      <w:r w:rsidRPr="00C12435">
        <w:tab/>
        <w:t xml:space="preserve">so zreteľom na nariadenie Rady (EÚ) 2017/1939 z 12. októbra 2017, ktorým sa vykonáva posilnená spolupráca na účely zriadenia Európskej prokuratúry </w:t>
      </w:r>
      <w:r w:rsidRPr="00C12435">
        <w:rPr>
          <w:shd w:val="clear" w:color="auto" w:fill="FFFFFF"/>
        </w:rPr>
        <w:t>(EPPO)</w:t>
      </w:r>
      <w:r w:rsidRPr="00C12435">
        <w:rPr>
          <w:rStyle w:val="FootnoteReference"/>
        </w:rPr>
        <w:footnoteReference w:id="9"/>
      </w:r>
      <w:r w:rsidRPr="00C12435">
        <w:t>, a najmä na jeho článok 94,</w:t>
      </w:r>
    </w:p>
    <w:p w:rsidR="006E14C6" w:rsidRPr="00C12435" w:rsidRDefault="006E14C6" w:rsidP="006E14C6">
      <w:pPr>
        <w:pStyle w:val="NormalHanging12a"/>
      </w:pPr>
      <w:r w:rsidRPr="00C12435">
        <w:t>–</w:t>
      </w:r>
      <w:r w:rsidRPr="00C12435">
        <w:tab/>
        <w:t xml:space="preserve">so zreteľom na delegované nariadenie Komisie (EÚ) 2019/715 z 18. decembra 2018 o rámcovom nariadení o rozpočtových pravidlách pre subjekty zriadené podľa Zmluvy o fungovaní Európskej únie a Zmluvy o </w:t>
      </w:r>
      <w:proofErr w:type="spellStart"/>
      <w:r w:rsidRPr="00C12435">
        <w:t>Euratome</w:t>
      </w:r>
      <w:proofErr w:type="spellEnd"/>
      <w:r w:rsidRPr="00C12435">
        <w:t xml:space="preserve"> a uvedené v článku 70 nariadenia Európskeho parlamentu a Rady (EÚ, </w:t>
      </w:r>
      <w:proofErr w:type="spellStart"/>
      <w:r w:rsidRPr="00C12435">
        <w:t>Euratom</w:t>
      </w:r>
      <w:proofErr w:type="spellEnd"/>
      <w:r w:rsidRPr="00C12435">
        <w:t>) 2018/1046</w:t>
      </w:r>
      <w:r w:rsidRPr="00C12435">
        <w:rPr>
          <w:rStyle w:val="FootnoteReference"/>
        </w:rPr>
        <w:footnoteReference w:id="10"/>
      </w:r>
      <w:r w:rsidRPr="00C12435">
        <w:t>, a najmä na jeho článok 105,</w:t>
      </w:r>
    </w:p>
    <w:p w:rsidR="006E14C6" w:rsidRPr="00C12435" w:rsidRDefault="006E14C6" w:rsidP="006E14C6">
      <w:pPr>
        <w:pStyle w:val="NormalHanging12a"/>
      </w:pPr>
      <w:r w:rsidRPr="00C12435">
        <w:t>–</w:t>
      </w:r>
      <w:r w:rsidRPr="00C12435">
        <w:tab/>
        <w:t>so zreteľom na článok 100 a prílohu V</w:t>
      </w:r>
      <w:r w:rsidR="00FD0901" w:rsidRPr="00C12435">
        <w:t xml:space="preserve"> k </w:t>
      </w:r>
      <w:r w:rsidRPr="00C12435">
        <w:t>rokovacie</w:t>
      </w:r>
      <w:r w:rsidR="00FD0901" w:rsidRPr="00C12435">
        <w:t>mu</w:t>
      </w:r>
      <w:r w:rsidRPr="00C12435">
        <w:t xml:space="preserve"> poriadku,</w:t>
      </w:r>
    </w:p>
    <w:p w:rsidR="006E14C6" w:rsidRPr="00C12435" w:rsidRDefault="006E14C6" w:rsidP="006E14C6">
      <w:pPr>
        <w:pStyle w:val="NormalHanging12a"/>
      </w:pPr>
      <w:r w:rsidRPr="00C12435">
        <w:t>–</w:t>
      </w:r>
      <w:r w:rsidRPr="00C12435">
        <w:tab/>
        <w:t>so zreteľom na stanovisko Výboru pre právne veci,</w:t>
      </w:r>
    </w:p>
    <w:p w:rsidR="006E14C6" w:rsidRPr="00C12435" w:rsidRDefault="006E14C6" w:rsidP="006E14C6">
      <w:pPr>
        <w:pStyle w:val="NormalHanging12a"/>
      </w:pPr>
      <w:r w:rsidRPr="00C12435">
        <w:t>–</w:t>
      </w:r>
      <w:r w:rsidRPr="00C12435">
        <w:tab/>
        <w:t>so zreteľom na stanovisko Výboru pre občianske slobody, spravodlivosť a vnútorné veci,</w:t>
      </w:r>
    </w:p>
    <w:p w:rsidR="006E14C6" w:rsidRPr="00C12435" w:rsidRDefault="006E14C6" w:rsidP="006E14C6">
      <w:pPr>
        <w:pStyle w:val="NormalHanging12a"/>
      </w:pPr>
      <w:r w:rsidRPr="00C12435">
        <w:t>–</w:t>
      </w:r>
      <w:r w:rsidRPr="00C12435">
        <w:tab/>
        <w:t>so zreteľom na správu Výboru pre kontrolu rozpočtu (A9-0117/2024),</w:t>
      </w:r>
    </w:p>
    <w:p w:rsidR="006E14C6" w:rsidRPr="00C12435" w:rsidRDefault="006E14C6" w:rsidP="006E14C6">
      <w:pPr>
        <w:pStyle w:val="NormalHanging12a"/>
      </w:pPr>
      <w:r w:rsidRPr="00C12435">
        <w:t>1.</w:t>
      </w:r>
      <w:r w:rsidRPr="00C12435">
        <w:tab/>
        <w:t>schvaľuje účtovnú závierku Európskej prokuratúry za rozpočtový rok 2022;</w:t>
      </w:r>
    </w:p>
    <w:p w:rsidR="006E14C6" w:rsidRPr="00C12435" w:rsidRDefault="006E14C6" w:rsidP="006E14C6">
      <w:pPr>
        <w:pStyle w:val="NormalHanging12a"/>
      </w:pPr>
      <w:r w:rsidRPr="00C12435">
        <w:lastRenderedPageBreak/>
        <w:t>2.</w:t>
      </w:r>
      <w:r w:rsidRPr="00C12435">
        <w:tab/>
        <w:t xml:space="preserve">poveruje svoju predsedníčku, aby postúpila toto rozhodnutie administratívnemu riaditeľovi Európskej prokuratúry, Európskej rade, Rade, Komisii a Dvoru audítorov a aby zabezpečila jeho uverejnenie v </w:t>
      </w:r>
      <w:r w:rsidRPr="00C12435">
        <w:rPr>
          <w:i/>
          <w:iCs/>
        </w:rPr>
        <w:t>Úradnom vestníku Európskej únie</w:t>
      </w:r>
      <w:r w:rsidRPr="00C12435">
        <w:t xml:space="preserve"> (v sérii L).</w:t>
      </w:r>
    </w:p>
    <w:p w:rsidR="006E14C6" w:rsidRPr="00C12435" w:rsidRDefault="006E14C6" w:rsidP="006E14C6"/>
    <w:p w:rsidR="006E14C6" w:rsidRPr="00C12435" w:rsidRDefault="006E14C6" w:rsidP="006E14C6">
      <w:pPr>
        <w:pStyle w:val="PageHeading"/>
        <w:sectPr w:rsidR="006E14C6" w:rsidRPr="00C12435" w:rsidSect="00D561B7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:rsidR="006E14C6" w:rsidRPr="00C12435" w:rsidRDefault="006E14C6" w:rsidP="00FD0901">
      <w:pPr>
        <w:pStyle w:val="ATHeading3"/>
      </w:pPr>
      <w:bookmarkStart w:id="9" w:name="_Toc161992430"/>
      <w:r w:rsidRPr="00C12435">
        <w:lastRenderedPageBreak/>
        <w:t xml:space="preserve">3. </w:t>
      </w:r>
      <w:bookmarkEnd w:id="9"/>
      <w:r w:rsidR="00FD0901" w:rsidRPr="00C12435">
        <w:t>Uznesenie Európskeho parlamentu z</w:t>
      </w:r>
      <w:r w:rsidR="008D33B4" w:rsidRPr="00C12435">
        <w:t> 11</w:t>
      </w:r>
      <w:r w:rsidR="00FD0901" w:rsidRPr="00C12435">
        <w:t xml:space="preserve">. apríla 2024 </w:t>
      </w:r>
      <w:r w:rsidRPr="00C12435">
        <w:t xml:space="preserve">s poznámkami, ktoré </w:t>
      </w:r>
      <w:r w:rsidR="00FD0901" w:rsidRPr="00C12435">
        <w:t xml:space="preserve">je </w:t>
      </w:r>
      <w:r w:rsidRPr="00C12435">
        <w:t>neoddeliteľnou súčasťou rozhodnutia o absolutóriu za plnenie rozpočtu Európskej prokuratúry za rozpočtový rok 2022</w:t>
      </w:r>
      <w:r w:rsidR="00FD0901" w:rsidRPr="00C12435">
        <w:t xml:space="preserve"> </w:t>
      </w:r>
      <w:r w:rsidRPr="00C12435">
        <w:t>(2023/2139(DEC))</w:t>
      </w:r>
    </w:p>
    <w:p w:rsidR="006E14C6" w:rsidRPr="00C12435" w:rsidRDefault="006E14C6" w:rsidP="006E14C6">
      <w:pPr>
        <w:pStyle w:val="EPComma"/>
        <w:spacing w:before="240"/>
        <w:rPr>
          <w:szCs w:val="24"/>
        </w:rPr>
      </w:pPr>
      <w:r w:rsidRPr="00C12435">
        <w:rPr>
          <w:i/>
          <w:iCs/>
        </w:rPr>
        <w:t>Európsky parlament,</w:t>
      </w:r>
    </w:p>
    <w:p w:rsidR="006E14C6" w:rsidRPr="00C12435" w:rsidRDefault="006E14C6" w:rsidP="006E14C6">
      <w:pPr>
        <w:pStyle w:val="NormalHanging12a"/>
        <w:rPr>
          <w:szCs w:val="24"/>
        </w:rPr>
      </w:pPr>
      <w:r w:rsidRPr="00C12435">
        <w:t>–</w:t>
      </w:r>
      <w:r w:rsidRPr="00C12435">
        <w:tab/>
        <w:t>so zreteľom na svoje rozhodnutie o absolutóriu za plnenie rozpočtu Európskej prokuratúry za rozpočtový rok 2022,</w:t>
      </w:r>
    </w:p>
    <w:p w:rsidR="006E14C6" w:rsidRPr="00C12435" w:rsidRDefault="006E14C6" w:rsidP="006E14C6">
      <w:pPr>
        <w:pStyle w:val="NormalHanging12a"/>
        <w:rPr>
          <w:szCs w:val="24"/>
        </w:rPr>
      </w:pPr>
      <w:r w:rsidRPr="00C12435">
        <w:t>–</w:t>
      </w:r>
      <w:r w:rsidRPr="00C12435">
        <w:tab/>
        <w:t>so zreteľom na článok 100 a prílohu V</w:t>
      </w:r>
      <w:r w:rsidR="00FD0901" w:rsidRPr="00C12435">
        <w:t xml:space="preserve"> k</w:t>
      </w:r>
      <w:r w:rsidRPr="00C12435">
        <w:t xml:space="preserve"> rokovacie</w:t>
      </w:r>
      <w:r w:rsidR="00FD0901" w:rsidRPr="00C12435">
        <w:t>mu</w:t>
      </w:r>
      <w:r w:rsidRPr="00C12435">
        <w:t xml:space="preserve"> poriadku,</w:t>
      </w:r>
    </w:p>
    <w:p w:rsidR="006E14C6" w:rsidRPr="00C12435" w:rsidRDefault="006E14C6" w:rsidP="006E14C6">
      <w:pPr>
        <w:pStyle w:val="NormalHanging12a"/>
        <w:rPr>
          <w:szCs w:val="24"/>
        </w:rPr>
      </w:pPr>
      <w:r w:rsidRPr="00C12435">
        <w:t>–</w:t>
      </w:r>
      <w:r w:rsidRPr="00C12435">
        <w:tab/>
        <w:t>so zreteľom na stanovisko Výboru pre právne veci,</w:t>
      </w:r>
    </w:p>
    <w:p w:rsidR="006E14C6" w:rsidRPr="00C12435" w:rsidRDefault="006E14C6" w:rsidP="006E14C6">
      <w:pPr>
        <w:pStyle w:val="NormalHanging12a"/>
        <w:rPr>
          <w:szCs w:val="24"/>
        </w:rPr>
      </w:pPr>
      <w:r w:rsidRPr="00C12435">
        <w:t>–</w:t>
      </w:r>
      <w:r w:rsidRPr="00C12435">
        <w:tab/>
        <w:t>so zreteľom na stanovisko Výboru pre občianske slobody, spravodlivosť a vnútorné veci,</w:t>
      </w:r>
    </w:p>
    <w:p w:rsidR="006E14C6" w:rsidRPr="00C12435" w:rsidRDefault="006E14C6" w:rsidP="006E14C6">
      <w:pPr>
        <w:pStyle w:val="NormalHanging12a"/>
        <w:rPr>
          <w:rStyle w:val="HideTWBExt"/>
          <w:rFonts w:ascii="Times New Roman" w:hAnsi="Times New Roman"/>
          <w:noProof w:val="0"/>
          <w:vanish w:val="0"/>
          <w:color w:val="auto"/>
          <w:sz w:val="24"/>
          <w:szCs w:val="24"/>
        </w:rPr>
      </w:pPr>
      <w:r w:rsidRPr="00C12435">
        <w:t>–</w:t>
      </w:r>
      <w:r w:rsidRPr="00C12435">
        <w:tab/>
        <w:t>so zreteľom na správu Výboru pre kontrolu rozpočtu (A9-0117/2024),</w:t>
      </w:r>
    </w:p>
    <w:p w:rsidR="006E14C6" w:rsidRPr="00C12435" w:rsidRDefault="006E14C6" w:rsidP="006E14C6">
      <w:pPr>
        <w:pStyle w:val="NormalHanging12a"/>
        <w:rPr>
          <w:szCs w:val="24"/>
        </w:rPr>
      </w:pPr>
      <w:r w:rsidRPr="00C12435">
        <w:t>A.</w:t>
      </w:r>
      <w:r w:rsidRPr="00C12435">
        <w:tab/>
        <w:t>keďže Európska prokuratúra (EPPO) je novou nezávislou prokuratúrou Únie a zodpovedá za vyšetrovanie a stíhanie trestných činov proti finančným záujmom Únie a za stíhanie páchateľov a spolupáchateľov trestných činov stanovených v smernici Európskeho parlamentu a Rady (EÚ) 2017/1371 z 5. júla 2017 o boji proti podvodom, ktoré poškodzujú finančné záujmy Únie, prostredníctvom trestného práva</w:t>
      </w:r>
      <w:r w:rsidRPr="00C12435">
        <w:rPr>
          <w:rStyle w:val="FootnoteReference"/>
          <w:szCs w:val="24"/>
        </w:rPr>
        <w:footnoteReference w:id="11"/>
      </w:r>
      <w:r w:rsidRPr="00C12435">
        <w:t xml:space="preserve"> a uvedených v nariadení Rady (EÚ) 2017/1939 z 12. októbra 2017, ktorým sa vykonáva posilnená spolupráca na účely zriadenia Európskej prokuratúry;</w:t>
      </w:r>
    </w:p>
    <w:p w:rsidR="006E14C6" w:rsidRPr="00C12435" w:rsidRDefault="006E14C6" w:rsidP="006E14C6">
      <w:pPr>
        <w:pStyle w:val="NormalHanging12a"/>
        <w:rPr>
          <w:color w:val="000000"/>
          <w:szCs w:val="24"/>
        </w:rPr>
      </w:pPr>
      <w:r w:rsidRPr="00C12435">
        <w:t xml:space="preserve">B. </w:t>
      </w:r>
      <w:r w:rsidRPr="00C12435">
        <w:tab/>
      </w:r>
      <w:r w:rsidRPr="00C12435">
        <w:rPr>
          <w:color w:val="000000"/>
        </w:rPr>
        <w:t xml:space="preserve">keďže právomoc Európskej prokuratúry zahŕňa niekoľko druhov podvodov a patrí medzi </w:t>
      </w:r>
      <w:proofErr w:type="spellStart"/>
      <w:r w:rsidRPr="00C12435">
        <w:rPr>
          <w:color w:val="000000"/>
        </w:rPr>
        <w:t>ne</w:t>
      </w:r>
      <w:proofErr w:type="spellEnd"/>
      <w:r w:rsidRPr="00C12435">
        <w:rPr>
          <w:color w:val="000000"/>
        </w:rPr>
        <w:t xml:space="preserve"> podvod s DPH so škodou nad 10 miliónov EUR, pranie špinavých peňazí, korupcia a iné, v tomto ohľade Európska prokuratúra vykonáva funkciu prokurátora na príslušných súdoch zúčastnených členských štátov, až kým nie je vec právoplatne ukončená;</w:t>
      </w:r>
    </w:p>
    <w:p w:rsidR="006E14C6" w:rsidRPr="00C12435" w:rsidRDefault="006E14C6" w:rsidP="006E14C6">
      <w:pPr>
        <w:pStyle w:val="NormalHanging12a"/>
        <w:rPr>
          <w:szCs w:val="24"/>
        </w:rPr>
      </w:pPr>
      <w:r w:rsidRPr="00C12435">
        <w:rPr>
          <w:color w:val="000000"/>
        </w:rPr>
        <w:t xml:space="preserve">C. </w:t>
      </w:r>
      <w:r w:rsidRPr="00C12435">
        <w:rPr>
          <w:color w:val="000000"/>
        </w:rPr>
        <w:tab/>
        <w:t>keďže Európska prokuratúra je jednou zo zložiek štruktúry Európskej únie na boj proti podvodom a jej činnosť je koordinovaná a komplementárna s činnosťami ostatných zložiek uvedenej štruktúry s cieľom dosiahnuť konečný výsledok, ktorý je väčší ako súčet jej častí;</w:t>
      </w:r>
    </w:p>
    <w:p w:rsidR="006E14C6" w:rsidRPr="00C12435" w:rsidRDefault="006E14C6" w:rsidP="006E14C6">
      <w:pPr>
        <w:pStyle w:val="NormalHanging12a"/>
        <w:rPr>
          <w:szCs w:val="24"/>
        </w:rPr>
      </w:pPr>
      <w:r w:rsidRPr="00C12435">
        <w:t>D.</w:t>
      </w:r>
      <w:r w:rsidRPr="00C12435">
        <w:tab/>
        <w:t xml:space="preserve">keďže Európska prokuratúra zasahuje v situácii, keď tieto trestné činy mohli vyšetrovať a stíhať len vnútroštátne orgány, ale ich výhradné práva sa zastavili na hraniciach ich krajiny a iné organizácie, napríklad </w:t>
      </w:r>
      <w:proofErr w:type="spellStart"/>
      <w:r w:rsidRPr="00C12435">
        <w:t>Eurojust</w:t>
      </w:r>
      <w:proofErr w:type="spellEnd"/>
      <w:r w:rsidRPr="00C12435">
        <w:t xml:space="preserve">, OLAF a </w:t>
      </w:r>
      <w:proofErr w:type="spellStart"/>
      <w:r w:rsidRPr="00C12435">
        <w:t>Europol</w:t>
      </w:r>
      <w:proofErr w:type="spellEnd"/>
      <w:r w:rsidRPr="00C12435">
        <w:t>, nemali potrebné právomoci na vykonávanie príslušných vyšetrovaní a trestných stíhaní;</w:t>
      </w:r>
    </w:p>
    <w:p w:rsidR="006E14C6" w:rsidRPr="00C12435" w:rsidRDefault="006E14C6" w:rsidP="006E14C6">
      <w:pPr>
        <w:pStyle w:val="NormalHanging12a"/>
        <w:rPr>
          <w:szCs w:val="24"/>
        </w:rPr>
      </w:pPr>
      <w:r w:rsidRPr="00C12435">
        <w:t xml:space="preserve">E. </w:t>
      </w:r>
      <w:r w:rsidRPr="00C12435">
        <w:tab/>
        <w:t>keďže procedurálne akty Európskej prokuratúry podliehajú súdnemu preskúmaniu vnútroštátnymi súdmi a Súdny dvor Európskej únie (ďalej len „Súdny dvor“) má prostredníctvom prejudiciálnych konaní alebo súdneho preskúmania týchto aktov zvyškové právomoci na zabezpečenie jednotného uplatňovania práva EÚ;</w:t>
      </w:r>
    </w:p>
    <w:p w:rsidR="006E14C6" w:rsidRPr="00C12435" w:rsidRDefault="006E14C6" w:rsidP="006E14C6">
      <w:pPr>
        <w:pStyle w:val="NormalHanging12a"/>
        <w:rPr>
          <w:color w:val="000000"/>
          <w:szCs w:val="24"/>
        </w:rPr>
      </w:pPr>
      <w:r w:rsidRPr="00C12435">
        <w:t xml:space="preserve">F. </w:t>
      </w:r>
      <w:r w:rsidRPr="00C12435">
        <w:tab/>
      </w:r>
      <w:r w:rsidRPr="00C12435">
        <w:rPr>
          <w:color w:val="000000"/>
        </w:rPr>
        <w:t xml:space="preserve">keďže Európska prokuratúra sa skladá z ústrednej úrovne so sídlom v Luxemburgu, ktorú tvorí hlavný európsky prokurátor, 22 európskych prokurátorov (jeden za každú zúčastnenú krajinu EÚ) a administratívny riaditeľ, a z decentralizovanej (vnútroštátnej) </w:t>
      </w:r>
      <w:r w:rsidRPr="00C12435">
        <w:rPr>
          <w:color w:val="000000"/>
        </w:rPr>
        <w:lastRenderedPageBreak/>
        <w:t>úrovne, ktorú tvoria európski delegovaní prokurátori (EDP) v 22 zúčastnených členských štátoch EÚ;</w:t>
      </w:r>
    </w:p>
    <w:p w:rsidR="006E14C6" w:rsidRPr="00C12435" w:rsidRDefault="006E14C6" w:rsidP="006E14C6">
      <w:pPr>
        <w:spacing w:after="240"/>
        <w:ind w:left="567" w:hanging="567"/>
        <w:rPr>
          <w:color w:val="000000"/>
          <w:szCs w:val="24"/>
        </w:rPr>
      </w:pPr>
      <w:r w:rsidRPr="00C12435">
        <w:rPr>
          <w:color w:val="000000"/>
        </w:rPr>
        <w:t xml:space="preserve">G. </w:t>
      </w:r>
      <w:r w:rsidRPr="00C12435">
        <w:rPr>
          <w:color w:val="000000"/>
        </w:rPr>
        <w:tab/>
        <w:t>keďže na ústrednej úrovni hlavný európsky prokurátor a 22 európskych prokurátorov tvorí kolégium Európskej prokuratúry, ktoré dohliada na vyšetrovania a trestné stíhania vykonávané európskymi delegovanými prokurátormi na vnútroštátnej úrovni, ktorí pôsobia úplne nezávisle od svojich vnútroštátnych orgánov;</w:t>
      </w:r>
    </w:p>
    <w:p w:rsidR="006E14C6" w:rsidRPr="00C12435" w:rsidRDefault="006E14C6" w:rsidP="006E14C6">
      <w:pPr>
        <w:spacing w:after="240"/>
        <w:ind w:left="567" w:hanging="567"/>
        <w:rPr>
          <w:color w:val="000000"/>
          <w:szCs w:val="24"/>
        </w:rPr>
      </w:pPr>
      <w:r w:rsidRPr="00C12435">
        <w:rPr>
          <w:color w:val="000000"/>
        </w:rPr>
        <w:t xml:space="preserve">H. </w:t>
      </w:r>
      <w:r w:rsidRPr="00C12435">
        <w:rPr>
          <w:color w:val="000000"/>
        </w:rPr>
        <w:tab/>
        <w:t>keďže podľa článku 93 nariadenia (EÚ) 2017/1939 administratívny riaditeľ Európskej prokuratúry, ktorý koná ako povoľujúci úradník prokuratúry, plní rozpočet prokuratúry na vlastnú zodpovednosť a v rámci limitov schválených v rozpočte a každý rok zasiela rozpočtovému orgánu všetky informácie týkajúce sa zistení všetkých postupov hodnotenia;</w:t>
      </w:r>
    </w:p>
    <w:p w:rsidR="006E14C6" w:rsidRPr="00C12435" w:rsidRDefault="006E14C6" w:rsidP="006E14C6">
      <w:pPr>
        <w:spacing w:after="240"/>
        <w:ind w:left="567" w:hanging="567"/>
        <w:rPr>
          <w:color w:val="000000"/>
          <w:szCs w:val="24"/>
        </w:rPr>
      </w:pPr>
      <w:r w:rsidRPr="00C12435">
        <w:rPr>
          <w:color w:val="000000"/>
        </w:rPr>
        <w:t>I.</w:t>
      </w:r>
      <w:r w:rsidRPr="00C12435">
        <w:rPr>
          <w:color w:val="000000"/>
        </w:rPr>
        <w:tab/>
        <w:t>keďže v súlade s článkom 50 ods. 2 rozpočtových pravidiel Európskej prokuratúry účtovník Komisie pôsobí aj ako účtovník Európskej prokuratúry a je zodpovedný za prípravu ročnej účtovnej závierky, ktorá sa konsoliduje s účtovnou závierkou Únie;</w:t>
      </w:r>
    </w:p>
    <w:p w:rsidR="006E14C6" w:rsidRPr="00C12435" w:rsidRDefault="006E14C6" w:rsidP="006E14C6">
      <w:pPr>
        <w:spacing w:after="240"/>
        <w:ind w:left="567" w:hanging="567"/>
        <w:rPr>
          <w:color w:val="000000"/>
          <w:szCs w:val="24"/>
        </w:rPr>
      </w:pPr>
      <w:r w:rsidRPr="00C12435">
        <w:rPr>
          <w:color w:val="000000"/>
        </w:rPr>
        <w:t>J.</w:t>
      </w:r>
      <w:r w:rsidRPr="00C12435">
        <w:rPr>
          <w:color w:val="000000"/>
        </w:rPr>
        <w:tab/>
        <w:t>keďže podľa súčasného rámca Dvor audítorov kontroluje konečnú ročnú účtovnú závierku a je na Rade, aby odporučila, a na Európskom parlamente, aby rozhodol, či udelí administratívnemu riaditeľovi prokuratúry absolutórium za plnenie rozpočtu za daný rozpočtový rok;</w:t>
      </w:r>
    </w:p>
    <w:p w:rsidR="006E14C6" w:rsidRPr="00C12435" w:rsidRDefault="006E14C6" w:rsidP="006E14C6">
      <w:pPr>
        <w:spacing w:after="240"/>
        <w:ind w:left="567" w:hanging="567"/>
        <w:rPr>
          <w:color w:val="000000"/>
          <w:szCs w:val="24"/>
        </w:rPr>
      </w:pPr>
      <w:r w:rsidRPr="00C12435">
        <w:rPr>
          <w:color w:val="000000"/>
        </w:rPr>
        <w:t xml:space="preserve">K. </w:t>
      </w:r>
      <w:r w:rsidRPr="00C12435">
        <w:rPr>
          <w:color w:val="000000"/>
        </w:rPr>
        <w:tab/>
        <w:t>keďže Európska prokuratúra začala svoju operačnú činnosť 1. júna 2021 a od 24. júna je autonómna, pokiaľ ide o plnenie vlastného rozpočtu, a že tento krátky časový rámec umožňuje len obmedzenú porovnávaciu analýzu a identifikáciu trendov;</w:t>
      </w:r>
    </w:p>
    <w:p w:rsidR="006E14C6" w:rsidRPr="00C12435" w:rsidRDefault="006E14C6" w:rsidP="006E14C6">
      <w:pPr>
        <w:spacing w:after="240"/>
        <w:ind w:left="567" w:hanging="567"/>
        <w:rPr>
          <w:szCs w:val="24"/>
        </w:rPr>
      </w:pPr>
      <w:r w:rsidRPr="00C12435">
        <w:rPr>
          <w:color w:val="000000"/>
        </w:rPr>
        <w:t xml:space="preserve">L. </w:t>
      </w:r>
      <w:r w:rsidRPr="00C12435">
        <w:rPr>
          <w:color w:val="000000"/>
        </w:rPr>
        <w:tab/>
        <w:t>keďže pravidlá riadenia zdrojov Európskej prokuratúry a súvisiacich výdavkov treba prispôsobiť osobitostiam trestného stíhania a vyšetrovacích činností a o príslušných ustanoveniach nariadenia o rozpočtových pravidlách sa diskutuje v rámci prepracovaného znenia uvedeného nariadenia, ako aj v širšom kontexte medzi Európskou prokuratúrou a Komisiou;</w:t>
      </w:r>
    </w:p>
    <w:p w:rsidR="006E14C6" w:rsidRPr="00C12435" w:rsidRDefault="006E14C6" w:rsidP="006E14C6">
      <w:pPr>
        <w:pStyle w:val="NormalHanging12a"/>
        <w:rPr>
          <w:szCs w:val="24"/>
        </w:rPr>
      </w:pPr>
      <w:r w:rsidRPr="00C12435">
        <w:t>1</w:t>
      </w:r>
      <w:r w:rsidRPr="00C12435">
        <w:rPr>
          <w:color w:val="0000FF"/>
        </w:rPr>
        <w:t>.</w:t>
      </w:r>
      <w:r w:rsidRPr="00C12435">
        <w:rPr>
          <w:color w:val="0000FF"/>
        </w:rPr>
        <w:tab/>
      </w:r>
      <w:r w:rsidRPr="00C12435">
        <w:t>víta kladné stanovisko Európskeho dvora audítorov k spoľahlivosti účtovnej závierky Európskej prokuratúry za rok končiaci sa 31. decembra 2022 a k zákonnosti a správnosti príslušných príjmov a platieb;</w:t>
      </w:r>
    </w:p>
    <w:p w:rsidR="006E14C6" w:rsidRPr="00C12435" w:rsidRDefault="006E14C6" w:rsidP="006E14C6">
      <w:pPr>
        <w:pStyle w:val="NormalHanging12a"/>
        <w:rPr>
          <w:b/>
          <w:i/>
          <w:szCs w:val="24"/>
        </w:rPr>
      </w:pPr>
      <w:r w:rsidRPr="00C12435">
        <w:t>2.</w:t>
      </w:r>
      <w:r w:rsidRPr="00C12435">
        <w:tab/>
        <w:t xml:space="preserve">pripomína silnú podporu </w:t>
      </w:r>
      <w:r w:rsidR="00FD0901" w:rsidRPr="00C12435">
        <w:rPr>
          <w:color w:val="000000"/>
        </w:rPr>
        <w:t xml:space="preserve">Európskeho </w:t>
      </w:r>
      <w:r w:rsidR="00FD0901" w:rsidRPr="00C12435">
        <w:t>p</w:t>
      </w:r>
      <w:r w:rsidRPr="00C12435">
        <w:t>arlamentu týkajúcu sa zriadenia Európskej prokuratúry; uznáva významnú úlohu Európskej prokuratúry ako nezávislého orgánu Únie a zdôrazňuje jej osobitnú zodpovednosť, ktorá z toho vyplýva voči ostatným inštitúciám a širokej verejnosti v oblastiach týkajúcich sa právneho systému; vysoko rešpektuje a oceňuje prácu, ktorú Európska prokuratúra vykonáva pri vyšetrovaní, stíhaní a dosahovaní spravodlivosti za trestné činy poškodzujúce rozpočet Únie a finančné záujmy Únie, ako sú podvody, korupcia a závažné cezhraničné podvody v oblasti DPH; uznáva dôležitú úlohu, ktorú Európska prokuratúra zohráva pri prispievaní k ochrane finančných záujmov Únie, a najmä rozpočtu Únie; pripomína, že z jedinečnej úlohy Európskej prokuratúry v rámci na presadzovanie práva Únie ako prokuratúry vyplýva pre Európsku prokuratúru povinnosť vyšetrovať všetky záležitosti, ktoré patria do jej právomoci, ak sa o nich dozvie;</w:t>
      </w:r>
    </w:p>
    <w:p w:rsidR="006E14C6" w:rsidRPr="00C12435" w:rsidRDefault="006E14C6" w:rsidP="006E14C6">
      <w:pPr>
        <w:spacing w:after="240"/>
        <w:ind w:left="567" w:hanging="567"/>
        <w:rPr>
          <w:b/>
          <w:i/>
          <w:color w:val="000000"/>
          <w:szCs w:val="24"/>
        </w:rPr>
      </w:pPr>
      <w:r w:rsidRPr="00C12435">
        <w:rPr>
          <w:b/>
          <w:i/>
          <w:color w:val="000000"/>
        </w:rPr>
        <w:t>Rozpočtové a finančné riadenie</w:t>
      </w:r>
    </w:p>
    <w:p w:rsidR="006E14C6" w:rsidRPr="00C12435" w:rsidRDefault="006E14C6" w:rsidP="006E14C6">
      <w:pPr>
        <w:spacing w:after="240"/>
        <w:ind w:left="567" w:hanging="567"/>
        <w:rPr>
          <w:szCs w:val="24"/>
        </w:rPr>
      </w:pPr>
      <w:r w:rsidRPr="00C12435">
        <w:lastRenderedPageBreak/>
        <w:t>3.</w:t>
      </w:r>
      <w:r w:rsidRPr="00C12435">
        <w:tab/>
        <w:t>konštatuje, že celkový konečný rozpočet pridelený Európskej prokuratúre na rok 2022 bol 51,2 milióna EUR, čo predstavuje zníženie pôvodnej dotácie vo výške 57,1 milióna EUR a značné zvýšenie z 35,4 milióna EUR pridelených v roku 2021; poznamenáva, že vrátená suma 5,9 milióna EUR (čo predstavuje 10 % pôvodného rozpočtu na rok 2022) predstavuje zlepšenie v porovnaní s rokom 2021, keď sa do rozpočtu Únie vrátilo 9,5 milióna EUR (čo predstavuje 21 % pôvodného rozpočtu na rok 2021); konštatuje, že takáto suma bola v roku 2022 postupne vrátená, pretože bola jednak nadhodnotená vzhľadom na skutočné potreby (v prípade jazykových služieb bola o 65 % vyššia), nebolo možné ju použiť na úhradu mimoriadne nákladných vyšetrovaní zúčastnených členských štátov, napríklad v zmysle článku 91 ods. 6 nariadenia (EÚ) 2017/1939 (toto bolo zakázané nariadením o rozpočtových pravidlách, kým nebola v roku 2023 udelená výnimka), a napokon z dôvodu oneskoreného začatia výberu a prijímania nových zamestnancov (ktoré mali byť naplánované v roku 2021, ale mohli sa uskutočniť až neskôr, keď bol prijatý rozpočet na rok 2022);</w:t>
      </w:r>
    </w:p>
    <w:p w:rsidR="006E14C6" w:rsidRPr="00C12435" w:rsidRDefault="006E14C6" w:rsidP="006E14C6">
      <w:pPr>
        <w:spacing w:after="240"/>
        <w:ind w:left="567" w:hanging="567"/>
        <w:rPr>
          <w:szCs w:val="24"/>
        </w:rPr>
      </w:pPr>
      <w:r w:rsidRPr="00C12435">
        <w:t xml:space="preserve">4. </w:t>
      </w:r>
      <w:r w:rsidRPr="00C12435">
        <w:tab/>
        <w:t>konštatuje, že rozpočtovú výkonnosť Európskej prokuratúry je možné porovnať len za obdobie po dosiahnutí jej finančnej autonómie, ktoré sa začalo v júni 2021; víta uspokojivú úroveň plnenia rozpočtu vo výške 98,1 % viazaných rozpočtových prostriedkov (oproti 97,4 % v roku 2021) a 76,6 % platobných rozpočtových prostriedkov (oproti 78,2 % v roku 2021); oceňuje, že celková miera plnenia platieb v roku 2022 napredovala, pričom podiel vyplatených rozpočtových prostriedkov predstavoval 76,6 % v porovnaní so 71 % v roku 2021; konštatuje, že priemerný lehota na úhradu sa v roku 2022 zvýšila na 23,8 dňa v porovnaní s 21,0 dňa v roku 2021, a chápe, že tento trend súvisí s výrazným nárastom žiadostí o platbu spracovaných v danom roku (2 316 žiadostí o platbu v roku 2022 oproti 657 v roku 2021 predstavuje nárast o 252 %); opätovne nabáda Európsku prokuratúru, aby ďalej vykonávala modul elektronickej fakturácie, ktorý sa zaviedol v roku 2023, s cieľom znížiť</w:t>
      </w:r>
      <w:r w:rsidRPr="00C12435">
        <w:rPr>
          <w:shd w:val="clear" w:color="auto" w:fill="FFFFFF"/>
        </w:rPr>
        <w:t xml:space="preserve"> administratívnu záťaž, lehotu splatnosti a celkové náklady na spracovanie;</w:t>
      </w:r>
    </w:p>
    <w:p w:rsidR="006E14C6" w:rsidRPr="00C12435" w:rsidRDefault="006E14C6" w:rsidP="006E14C6">
      <w:pPr>
        <w:spacing w:after="240"/>
        <w:ind w:left="567" w:hanging="567"/>
        <w:rPr>
          <w:bCs/>
          <w:szCs w:val="24"/>
        </w:rPr>
      </w:pPr>
      <w:r w:rsidRPr="00C12435">
        <w:t>5.</w:t>
      </w:r>
      <w:r w:rsidRPr="00C12435">
        <w:tab/>
        <w:t>konštatuje, že Európska prokuratúra po dosiahnutí finančnej autonómie v júni 2021 uprednostnila operačné výdavky súvisiace s opatreniami v oblasti vyšetrovania, stíhania a bezpečnosti, čím obmedzila neoperačné výdavky na základné požiadavky na dodržiavanie súladu a základné podporné služby;</w:t>
      </w:r>
    </w:p>
    <w:p w:rsidR="006E14C6" w:rsidRPr="00C12435" w:rsidRDefault="006E14C6" w:rsidP="006E14C6">
      <w:pPr>
        <w:spacing w:after="240"/>
        <w:ind w:left="567" w:hanging="567"/>
        <w:rPr>
          <w:szCs w:val="24"/>
        </w:rPr>
      </w:pPr>
      <w:r w:rsidRPr="00C12435">
        <w:t>6.</w:t>
      </w:r>
      <w:r w:rsidRPr="00C12435">
        <w:tab/>
        <w:t xml:space="preserve">poukazuje na rastúci trend vo viacerých riadkoch operačných výdavkov; konštatuje, že odmena európskych delegovaných prokurátorov dosiahla 8,7 milióna EUR a predstavuje hlavné operačné výdavky z dôvodu zvýšenia počtu európskych delegovaných prokurátorov v roku 2022; poznamenáva, že náklady na misie a operatívne zasadnutia predstavovali 5,2 % operačných výdavkov (1,1 milióna EUR) v porovnaní s 2,9 % v roku 2021 a v prípade samotných misií došlo v roku 2022 k zvýšeniu (po tom, ako Európska prokuratúra dosiahla finančnú autonómiu) o 170 % v porovnaní s rokom 2021 v dôsledku zvýšenia počtu zamestnancov a vonkajších činností v prvom celom roku fungovania; takisto poznamenáva, že 2,8 milióna EUR bolo vyčlenených na prekladateľské služby, čo predstavuje 14 % operačných výdavkov v porovnaní so 7,6 % v roku 2021; uznáva potrebu dodatočných zdrojov na preklad vzhľadom na očakávaný nárast počtu vyšetrovaní v nadchádzajúcich rokoch; žiada Európsku prokuratúru, aby informovala </w:t>
      </w:r>
      <w:r w:rsidR="00FD0901" w:rsidRPr="00C12435">
        <w:rPr>
          <w:color w:val="000000"/>
        </w:rPr>
        <w:t xml:space="preserve">Európsky </w:t>
      </w:r>
      <w:r w:rsidR="00FD0901" w:rsidRPr="00C12435">
        <w:t>p</w:t>
      </w:r>
      <w:r w:rsidRPr="00C12435">
        <w:t>arlament o svojich plánoch na ďalšie rozšírenie využívania automatizovaných prekladateľských služieb prostredníctvom interne vyvinutého „prekladateľského portálu“ a intenzívnejšieho využívania vnútroštátnych súdnych prekladateľov, ktorých platia zúčastnené členské štáty;</w:t>
      </w:r>
    </w:p>
    <w:p w:rsidR="006E14C6" w:rsidRPr="00C12435" w:rsidRDefault="006E14C6" w:rsidP="006E14C6">
      <w:pPr>
        <w:spacing w:after="240"/>
        <w:ind w:left="567" w:hanging="567"/>
        <w:rPr>
          <w:szCs w:val="24"/>
        </w:rPr>
      </w:pPr>
      <w:r w:rsidRPr="00C12435">
        <w:lastRenderedPageBreak/>
        <w:t>7.</w:t>
      </w:r>
      <w:r w:rsidRPr="00C12435">
        <w:tab/>
        <w:t>konštatuje, že je ťažké odhadnúť výdavky súvisiace s činnosťami Európskej prokuratúry, a to vzhľadom na úroveň odhaľovania podvodov, typológiu a povahu prípadov, efektívnosť Európskej prokuratúry pri vedení vyšetrovaní a trestných stíhaní, pričom treba zohľadniť ich povinný charakter, ako aj postupy a obmedzenia vnútroštátnych justičných systémov, neexistenciu pevnej korelácie medzi počtom vyšetrovaní a ich nákladmi a v neposlednom rade rozsah finančných záujmov Únie, ktoré sa majú chrániť, a to vrátane plánov Poľska a Švédska pripojiť sa k Európskej prokuratúre; konštatuje tiež, že vzhľadom na bezprecedentný spôsob vykonávania a samotný objem zdrojov je ťažké odhadnúť prognózu výdavkov na zaťaženosť v súvislosti s Mechanizmom na podporu obnovy a odolnosti;</w:t>
      </w:r>
    </w:p>
    <w:p w:rsidR="006E14C6" w:rsidRPr="00C12435" w:rsidRDefault="006E14C6" w:rsidP="006E14C6">
      <w:pPr>
        <w:pStyle w:val="NormalHanging12a"/>
        <w:rPr>
          <w:szCs w:val="24"/>
        </w:rPr>
      </w:pPr>
      <w:r w:rsidRPr="00C12435">
        <w:t>8.</w:t>
      </w:r>
      <w:r w:rsidRPr="00C12435">
        <w:tab/>
        <w:t>pripomína svoju výzvu, aby sa vplyv zavedenia Mechanizmu na podporu obnovy a odolnosti zohľadnil v prognóze, ktorú má Európska prokuratúra oznámiť Komisii v rámci rozpočtového postupu; súhlasí s názorom, že pracovné zaťaženie Európskej prokuratúry, ktoré bolo spočiatku podcenené, sa výrazne zvýšilo a v nadchádzajúcich rokoch sa bude naďalej zvyšovať, najmä pokiaľ ide o počet prípadov súvisiacich s Mechanizmom na podporu obnovy a odolnosti (v roku 2022 bolo otvorených len 15 prípadov, ale v roku 2023 bude vykonávanie vrcholiť, takže sa otvorí viac prípadov), a že väčší počet prípadov vo fáze súdneho konania si bude vyžadovať iné zameranie ako prípady vo fáze vyšetrovania;</w:t>
      </w:r>
    </w:p>
    <w:p w:rsidR="006E14C6" w:rsidRPr="00C12435" w:rsidRDefault="006E14C6" w:rsidP="006E14C6">
      <w:pPr>
        <w:pStyle w:val="NormalHanging12a"/>
        <w:rPr>
          <w:b/>
          <w:i/>
          <w:szCs w:val="24"/>
        </w:rPr>
      </w:pPr>
      <w:r w:rsidRPr="00C12435">
        <w:t>9.</w:t>
      </w:r>
      <w:r w:rsidRPr="00C12435">
        <w:tab/>
        <w:t xml:space="preserve">uznáva, že Európska prokuratúra jasne prispieva k európskej pridanej hodnote, pokiaľ ide o koordináciu a spoluprácu s členskými štátmi pri vyšetrovaní a stíhaní trestných činov proti finančným záujmom Únie, a že Európska prokuratúra v tejto súvislosti dosahuje ciele stanovené v nariadení (EÚ) 2017/1939 z 12. októbra 2017; očakáva, že členské štáty budú dodržiavať zákonné povinnosti a oznamovať Európskej prokuratúre všetky príslušné prípady; so znepokojením konštatuje, že v niekoľkých prípadoch členské štáty vyhlásili trestné činy poškodzujúce finančné záujmy Únie za vnútroštátne prípady, ktoré patria do právomoci Európskej prokuratúry; konštatuje, že otázky právomoci medzi vnútroštátnymi orgánmi a európskymi delegovanými prokurátormi sa objavili vo viacerých prípadoch vo viacerých krajinách; uvedomuje si, že podľa článku 25 ods. 6 nariadenia (EÚ) 2017/1939 má o prípadoch nezhody týkajúcej sa právomocí Európskej prokuratúry rozhodovať ten istý vnútroštátny súdny orgán, ktorý je zodpovedný za určenie príslušného orgánu pre trestné stíhanie na vnútroštátnej úrovni; vyjadruje poľutovanie nad tým, že v mnohých zúčastnených členských štátoch nie sú platné postupy a vnútroštátne orgány poverené rozhodnutiami o takýchto prípadoch týkajúcich sa kompetenčných sporov stanovené v súlade s nariadením (EÚ) 2017/1939, zdôrazňuje, že v prípadoch kompetenčných sporov medzi Európskou prokuratúrou a vnútroštátnym orgánom prokuratúry by vnútroštátny orgán príslušný rozhodovať o pridelení právomoci mohol dospieť k záveru, bez toho, aby požiadal Súdny dvor o prejudiciálne rozhodnutie, aby skôr vydal rozhodnutie, ktoré je pre Európsku prokuratúru záväzné, a poukazuje na to, že je to v rozpore s duchom nariadenia (EÚ) 2017/1939, v ktorom sa uvádza, že Súdny dvor má v súlade s článkom 267 ZFEÚ právomoc vydať prejudiciálne rozhodnutie o výklade ustanovenia o kompetenčných sporoch medzi Európskou prokuratúrou a vnútroštátnymi orgánmi; domnieva sa, že súčasnej situácii chýba právna zrozumiteľnosť; nabáda všetky členské štáty, aby s Európskou prokuratúrou užšie spolupracovali; zdôrazňuje, že právomoc Európskej prokuratúry je jasne uvedená v článku 22 ods. 1 a 2 a v článku 23 a že všetky členské štáty by mali dodržiavať nariadenie (EÚ) 2017/1939; konštatuje, že ak majú členské štáty pochybnosti o právomoci Európskej prokuratúry v konkrétnom prípade, existuje možnosť predložiť Súdnemu dvoru prejudiciálnu otázku na základe článku 267 ZFEÚ a </w:t>
      </w:r>
      <w:r w:rsidRPr="00C12435">
        <w:lastRenderedPageBreak/>
        <w:t>článku 42 ods. 2 písm. c) nariadenia (EÚ) 2017/1939; naliehavo vyzýva Komisiu, aby v prípade porušenia nariadenia (EÚ) 2017/1939 predložila vec Súdnemu dvoru; so znepokojením konštatuje, že otázka právomoci môže viesť k zastaveniu vyšetrovania; vyjadruje znepokojenie nad potenciálnou stratou dôkazov, keď sa prípady prerušia; vyzýva Komisiu, aby pre hodnotiacu správu, ktorá sa predloží v roku 2026, zhromaždila informácie o preradení prípadov týkajúcich sa konfliktov právomocí;</w:t>
      </w:r>
    </w:p>
    <w:p w:rsidR="006E14C6" w:rsidRPr="00C12435" w:rsidRDefault="006E14C6" w:rsidP="006E14C6">
      <w:pPr>
        <w:pStyle w:val="NormalHanging12a"/>
        <w:rPr>
          <w:szCs w:val="24"/>
        </w:rPr>
      </w:pPr>
      <w:r w:rsidRPr="00C12435">
        <w:t>10.</w:t>
      </w:r>
      <w:r w:rsidRPr="00C12435">
        <w:tab/>
        <w:t>konštatuje, že v roku 2022 sa z 15 aktívnych prípadov týkajúcich sa Mechanizmu na podporu obnovy a odolnosti uvedených vo výročnej správe Európskej prokuratúry vyskytlo 9 prípadov v Taliansku, 2 v Portugalsku, 3 v Rumunsku a 1 prípad v Chorvátsku; dôrazne nabáda Európsku prokuratúru, aby hľadala modely podvodov v krajinách, v ktorých sa vyskytol viac ako jeden prípad týkajúci sa Mechanizmu na podporu obnovy a odolnosti, a aby o týchto modeloch informovala úrad OLAF a pracovnú skupinu pre obnovu a odolnosť s cieľom v prvom rade znížiť výskyt podvodov;</w:t>
      </w:r>
    </w:p>
    <w:p w:rsidR="006E14C6" w:rsidRPr="00C12435" w:rsidRDefault="006E14C6" w:rsidP="006E14C6">
      <w:pPr>
        <w:pStyle w:val="NormalHanging12a"/>
        <w:rPr>
          <w:szCs w:val="24"/>
        </w:rPr>
      </w:pPr>
      <w:r w:rsidRPr="00C12435">
        <w:t>11.</w:t>
      </w:r>
      <w:r w:rsidRPr="00C12435">
        <w:tab/>
        <w:t>konštatuje, že Európska prokuratúra v súčasnosti vedie približne 170 prebiehajúcich vyšetrovaní vo viac ako 7 krajinách v prípadoch, ktoré sa týkajú Mechanizmu na podporu obnovy a odolnosti, a že škody v týchto prebiehajúcich vyšetrovaniach sa v súčasnosti odhadujú na 530 miliónov EUR; konštatuje, že Európska prokuratúra odhaduje, že počet nových prebiehajúcich vyšetrovaní týkajúcich sa finančných prostriedkov na obnovu a odolnosť sa bude zvyšovať spolu s počtom krajín, ktoré sú príjemcami prostriedkov z Mechanizmu na podporu obnovy a odolnosti, a vyzýva Európsku prokuratúru, aby podľa toho plánovala svoj rozpočet a kapacity;</w:t>
      </w:r>
    </w:p>
    <w:p w:rsidR="006E14C6" w:rsidRPr="00C12435" w:rsidRDefault="006E14C6" w:rsidP="006E14C6">
      <w:pPr>
        <w:pStyle w:val="NormalHanging12a"/>
        <w:rPr>
          <w:szCs w:val="24"/>
        </w:rPr>
      </w:pPr>
      <w:r w:rsidRPr="00C12435">
        <w:t>12.</w:t>
      </w:r>
      <w:r w:rsidRPr="00C12435">
        <w:tab/>
        <w:t>pokiaľ ide o objem zdrojov pridelených Európskej prokuratúre, zdôrazňuje, že pridelené rozpočtové a ľudské zdroje by mali byť primerané na to, aby umožnili efektívne a úspešné vykonávanie jej mandátu a normálne riadenie súvisiacich administratívnych postupov; vyzýva Komisiu, aby v úzkej spolupráci s Európskou prokuratúrou preskúmala rozpočtový rámec Európskej prokuratúry s cieľom nájsť primerané spôsoby jej podpory pri jej práci s vedomím, že v súvislosti s rastúcim počtom zložitých prípadov budú potrebné dodatočné zdroje, ktoré by nemali závisieť od revízie nariadenia (EÚ) 2017/1939 a/alebo jej mandátu; konštatuje, že aj v tejto súvislosti sa očakáva čoraz väčší počet právnych výziev, čo spochybňuje výklad právneho rámca Európskej prokuratúry a jeho integráciu do systémov súdnictva členských štátov alebo pred Súdnym dvorom;</w:t>
      </w:r>
    </w:p>
    <w:p w:rsidR="006E14C6" w:rsidRPr="00C12435" w:rsidRDefault="006E14C6" w:rsidP="006E14C6">
      <w:pPr>
        <w:spacing w:after="240"/>
        <w:ind w:left="567" w:hanging="567"/>
        <w:rPr>
          <w:szCs w:val="24"/>
        </w:rPr>
      </w:pPr>
      <w:r w:rsidRPr="00C12435">
        <w:t xml:space="preserve">13. </w:t>
      </w:r>
      <w:r w:rsidRPr="00C12435">
        <w:tab/>
        <w:t>pokiaľ ide o využívanie zdrojov pridelených Európskej prokuratúre, chápe, že Európska prokuratúra priebežne aktualizuje a reviduje svoje vnútorné rozpočtové pravidlá, ktoré upravujú finančné aspekty jej operácií; víta v tejto súvislosti prebiehajúci dialóg s Komisiou a uvedomuje si, že v súlade s návrhmi Komisie sa nedávnym rozhodnutím kolégia Európskej prokuratúry zmenili jej rozpočtové pravidlá, keď sa doplnila možnosť uzatvárať dohody s príslušnými orgánmi členských štátov a uzatvárať zmluvy bez použitia postupu verejného obstarávania, ak obstarávanie nie je možné;</w:t>
      </w:r>
    </w:p>
    <w:p w:rsidR="006E14C6" w:rsidRPr="00C12435" w:rsidRDefault="006E14C6" w:rsidP="006E14C6">
      <w:pPr>
        <w:spacing w:after="240"/>
        <w:ind w:left="567" w:hanging="567"/>
        <w:rPr>
          <w:szCs w:val="24"/>
        </w:rPr>
      </w:pPr>
      <w:r w:rsidRPr="00C12435">
        <w:t xml:space="preserve">14. </w:t>
      </w:r>
      <w:r w:rsidRPr="00C12435">
        <w:tab/>
        <w:t>chápe, že v roku 2022 bola uzavretá pilotná rámcová dohoda o úhrade žiadostí predložených v zmysle článku 91 ods. 6 nariadenia (EÚ) 2017/1939 s cieľom pokryť mimoriadne nákladné vyšetrovacie opatrenia vykonávané na vnútroštátnej úrovni v mene Európskej prokuratúry;</w:t>
      </w:r>
    </w:p>
    <w:p w:rsidR="006E14C6" w:rsidRPr="00C12435" w:rsidRDefault="006E14C6" w:rsidP="006E14C6">
      <w:pPr>
        <w:spacing w:after="240"/>
        <w:ind w:left="567" w:hanging="567"/>
        <w:rPr>
          <w:szCs w:val="24"/>
        </w:rPr>
      </w:pPr>
      <w:r w:rsidRPr="00C12435">
        <w:t>15.</w:t>
      </w:r>
      <w:r w:rsidRPr="00C12435">
        <w:tab/>
        <w:t xml:space="preserve">poukazuje na potrebu umožniť riadne vykonávanie článku 91 ods. 6 nariadenia (EÚ) </w:t>
      </w:r>
      <w:r w:rsidRPr="00C12435">
        <w:lastRenderedPageBreak/>
        <w:t xml:space="preserve">2017/1939, zdôrazňuje, že je potrebné zohľadniť osobitosti výdavkov na trestné stíhanie a vyšetrovanie (vrátane výnimočných prípadov operatívnych výdavkov Európskej prokuratúry upravených v článku 91 ods. 6); vyjadruje poľutovanie nad tým, že návrh predložený na rokovaniach o prepracovanom znení v rámci </w:t>
      </w:r>
      <w:proofErr w:type="spellStart"/>
      <w:r w:rsidRPr="00C12435">
        <w:t>trialógu</w:t>
      </w:r>
      <w:proofErr w:type="spellEnd"/>
      <w:r w:rsidRPr="00C12435">
        <w:t xml:space="preserve"> bol stiahnutý; zastáva názor, že Komisia by mala v dialógu s Európskou prokuratúrou preskúmať alternatívne možnosti, ktoré by umožnili účinné a efektívne vykonávanie tohto ustanovenia;</w:t>
      </w:r>
    </w:p>
    <w:p w:rsidR="006E14C6" w:rsidRPr="00C12435" w:rsidRDefault="006E14C6" w:rsidP="006E14C6">
      <w:pPr>
        <w:spacing w:after="240"/>
        <w:ind w:left="567" w:hanging="567"/>
        <w:rPr>
          <w:szCs w:val="24"/>
        </w:rPr>
      </w:pPr>
      <w:r w:rsidRPr="00C12435">
        <w:t xml:space="preserve">16. </w:t>
      </w:r>
      <w:r w:rsidRPr="00C12435">
        <w:tab/>
        <w:t>zdôrazňuje, že legislatívny finančný výkaz za rok 2017 už nebol po začatí operačnej činnosti Európskej prokuratúry vhodný na daný účel, pretože bolo značne podhodnotené pracovné zaťaženie, a že sa nenavrhla žiadna aktualizácia; v tejto súvislosti sa domnieva, že nevykonanie preskúmania rozpočtu Európskej prokuratúry v polovici obdobia bráni Európskej prokuratúre získať prehľad o zdrojoch, ktoré sú k dispozícii na budúce činnosti už existujúcich prípadov, a predvídať prípravné činnosti súvisiace s plnením rozpočtu pred ukončením procesu prijímania rozpočtu;</w:t>
      </w:r>
    </w:p>
    <w:p w:rsidR="006E14C6" w:rsidRPr="00C12435" w:rsidRDefault="006E14C6" w:rsidP="006E14C6">
      <w:pPr>
        <w:spacing w:after="240"/>
        <w:ind w:left="567" w:hanging="567"/>
        <w:rPr>
          <w:szCs w:val="24"/>
        </w:rPr>
      </w:pPr>
      <w:r w:rsidRPr="00C12435">
        <w:t xml:space="preserve">17. </w:t>
      </w:r>
      <w:r w:rsidRPr="00C12435">
        <w:tab/>
        <w:t>opakuje svoj názor, že absencia strednodobého rámca zdrojov pre Európsku prokuratúru, pokiaľ ide o rozpočet aj personál, v čase, keď je potrebné rýchlo rozbehnúť operácie a vytvoriť administratívne základy, obmedzuje možnosti, ktoré by mali byť k dispozícii na dosiahnutie maximálnej flexibility pri rozvoji organizačnej infraštruktúry pre taký inovatívny projekt, akým je Európska prokuratúra;</w:t>
      </w:r>
    </w:p>
    <w:p w:rsidR="006E14C6" w:rsidRPr="00C12435" w:rsidRDefault="006E14C6" w:rsidP="006E14C6">
      <w:pPr>
        <w:pStyle w:val="NormalHanging12a"/>
        <w:rPr>
          <w:szCs w:val="24"/>
        </w:rPr>
      </w:pPr>
      <w:r w:rsidRPr="00C12435">
        <w:t>18.</w:t>
      </w:r>
      <w:r w:rsidRPr="00C12435">
        <w:tab/>
        <w:t>uvedomuje si, že Európska prokuratúra sa usiluje o spoluprácu a koordináciu s členskými štátmi, pokiaľ ide o spôsob, akým by sa mali podvody ovplyvňujúce Mechanizmus na podporu obnovy a odolnosti oznamovať Európskej prokuratúre a riešiť na úrovni vyšetrovania a vo fáze trestného stíhania, a ako by Európska prokuratúra mohla v tejto súvislosti účinne zasiahnuť; domnieva sa, že zapojenie Európskej prokuratúry do vyšetrovania a stíhania prípadov podvodov poškodzujúcich finančné prostriedky Mechanizmu na podporu obnovy a odolnosti je nevyhnutné na ochranu finančných záujmov Únie; pripomína, že Európska prokuratúra je nezávislý orgán Únie, a opakuje svoju výzvu Komisii, aby Európskej prokuratúre poskytla vhodné usmernenia k tomu, ako podporovať a upevňovať prijímanie nápravných opatrení, ktoré nasleduje po nezávislom vyšetrovaní a stíhaní Európskou prokuratúrou, pokiaľ ide o podvody ovplyvňujúce Mechanizmus na podporu obnovy a odolnosti, a aby informovala rozpočtový orgán o dostupných možnostiach;</w:t>
      </w:r>
    </w:p>
    <w:p w:rsidR="006E14C6" w:rsidRPr="00C12435" w:rsidRDefault="006E14C6" w:rsidP="006E14C6">
      <w:pPr>
        <w:spacing w:after="240"/>
        <w:ind w:left="567" w:hanging="567"/>
        <w:rPr>
          <w:b/>
          <w:i/>
          <w:color w:val="000000" w:themeColor="text1"/>
          <w:szCs w:val="24"/>
        </w:rPr>
      </w:pPr>
      <w:r w:rsidRPr="00C12435">
        <w:rPr>
          <w:b/>
          <w:i/>
          <w:color w:val="000000" w:themeColor="text1"/>
        </w:rPr>
        <w:t>Vnútorné riadenie, výkonnosť a vnútorná kontrola</w:t>
      </w:r>
    </w:p>
    <w:p w:rsidR="006E14C6" w:rsidRPr="00C12435" w:rsidRDefault="006E14C6" w:rsidP="006E14C6">
      <w:pPr>
        <w:pStyle w:val="NormalHanging12a"/>
        <w:rPr>
          <w:szCs w:val="24"/>
        </w:rPr>
      </w:pPr>
      <w:r w:rsidRPr="00C12435">
        <w:t>19.</w:t>
      </w:r>
      <w:r w:rsidRPr="00C12435">
        <w:tab/>
        <w:t xml:space="preserve">berie na vedomie nárast počtu oznámení o trestných činoch, ktoré boli predložené Európskej prokuratúre (3 318 v roku 2022 oproti 2 832 v roku 2021), a z toho vyplývajúci nárast začatých vyšetrovaní (865 v roku 2022 s odhadovanými škodami vo výške 9,9 miliardy EUR oproti 576 v roku 2021 s odhadovanými škodami vo výške 5,4 miliardy EUR); konštatuje, že počet uzavretých prípadov (251 v roku 2022 v porovnaní s 57 v roku 2021) a počet obžalôb (87 v roku 2022 oproti 5 v roku 2021) spolu s príkazmi na zaistenie, ktoré získala Európska prokuratúra, len v roku 2022 dosiahol 359,1 milióna EUR (v porovnaní s požadovanými 516 miliónmi EUR); konštatuje, že v roku 2022 bolo na Dvore audítorov uzavretých 20 prípadov, a považuje za dôležité, aby Európska prokuratúra systematicky podávala správy o následných opatreniach v týchto prípadoch z hľadiska prijatých finančných opatrení (konfiškácia a/alebo vymáhanie) s cieľom lepšie pochopiť vplyv činností Európskej prokuratúry; vyzýva Komisiu, aby preskúmala najvhodnejšie spôsoby, ako pomôcť Európskej prokuratúre pri </w:t>
      </w:r>
      <w:r w:rsidRPr="00C12435">
        <w:lastRenderedPageBreak/>
        <w:t xml:space="preserve">monitorovaní a následných činnostiach tak, aby zdroje Európskej prokuratúry neboli odklonené od jej úloh v oblasti vyšetrovania a trestného stíhania; nabáda Európsku prokuratúru, aby, ak je to možné a vhodné, lepšie spolupracovala s inými zložkami štruktúry boja proti podvodom, ako sú </w:t>
      </w:r>
      <w:proofErr w:type="spellStart"/>
      <w:r w:rsidRPr="00C12435">
        <w:t>Eurojust</w:t>
      </w:r>
      <w:proofErr w:type="spellEnd"/>
      <w:r w:rsidRPr="00C12435">
        <w:t xml:space="preserve"> a </w:t>
      </w:r>
      <w:proofErr w:type="spellStart"/>
      <w:r w:rsidRPr="00C12435">
        <w:t>Europol</w:t>
      </w:r>
      <w:proofErr w:type="spellEnd"/>
      <w:r w:rsidRPr="00C12435">
        <w:t>, alebo aby prostredníctvom úradu OLAF využívala koordinačné útvary pre boj proti podvodom (AFCOS) zriadené v členských štátoch;</w:t>
      </w:r>
    </w:p>
    <w:p w:rsidR="006E14C6" w:rsidRPr="00C12435" w:rsidRDefault="006E14C6" w:rsidP="006E14C6">
      <w:pPr>
        <w:pStyle w:val="Default"/>
        <w:spacing w:after="240"/>
        <w:ind w:left="567" w:hanging="567"/>
        <w:rPr>
          <w:rFonts w:ascii="Times New Roman" w:hAnsi="Times New Roman" w:cs="Times New Roman"/>
          <w:color w:val="auto"/>
        </w:rPr>
      </w:pPr>
      <w:r w:rsidRPr="00C12435">
        <w:rPr>
          <w:rFonts w:ascii="Times New Roman" w:hAnsi="Times New Roman"/>
          <w:color w:val="auto"/>
        </w:rPr>
        <w:t xml:space="preserve">20. </w:t>
      </w:r>
      <w:r w:rsidRPr="00C12435">
        <w:rPr>
          <w:rFonts w:ascii="Times New Roman" w:hAnsi="Times New Roman"/>
          <w:color w:val="auto"/>
        </w:rPr>
        <w:tab/>
        <w:t>vyzýva Európsku prokuratúru, aby zaviedla systém na monitorovanie zvyšovania efektívnosti, úspor času a nákladov, a oceňuje zavedenie systému riadenia kvality s cieľom optimalizovať kľúčové procesy a zvýšiť výkonnosť organizácie, kvalitu služieb a nákladovú efektívnosť; chápe, že niektoré postupy boli prepracované s cieľom znížiť zbytočnú administratívnu záťaž a prepúšťanie;</w:t>
      </w:r>
    </w:p>
    <w:p w:rsidR="006E14C6" w:rsidRPr="00C12435" w:rsidRDefault="006E14C6" w:rsidP="006E14C6">
      <w:pPr>
        <w:pStyle w:val="Default"/>
        <w:spacing w:after="240"/>
        <w:ind w:left="567" w:hanging="567"/>
        <w:rPr>
          <w:rFonts w:ascii="Times New Roman" w:hAnsi="Times New Roman" w:cs="Times New Roman"/>
          <w:bCs/>
          <w:color w:val="000000" w:themeColor="text1"/>
        </w:rPr>
      </w:pPr>
      <w:r w:rsidRPr="00C12435">
        <w:rPr>
          <w:rFonts w:ascii="Times New Roman" w:hAnsi="Times New Roman"/>
          <w:color w:val="auto"/>
        </w:rPr>
        <w:t xml:space="preserve">21. </w:t>
      </w:r>
      <w:r w:rsidRPr="00C12435">
        <w:rPr>
          <w:rFonts w:ascii="Times New Roman" w:hAnsi="Times New Roman"/>
          <w:color w:val="auto"/>
        </w:rPr>
        <w:tab/>
        <w:t xml:space="preserve">uvedomuje si, že Európska prokuratúra uplatňuje v rámci svojich činností prístup založený na riziku so zameraním na identifikáciu vysokorizikových oblastí; </w:t>
      </w:r>
      <w:r w:rsidRPr="00C12435">
        <w:rPr>
          <w:rFonts w:ascii="Times New Roman" w:hAnsi="Times New Roman"/>
        </w:rPr>
        <w:t>víta prijatie politiky Európskej prokuratúry v oblasti administratívnej vnútornej kontroly a vyzýva vedenie Európskej prokuratúry, aby monitorovalo účinné vykonávanie 17 zásad vnútornej kontroly s cieľom overiť, či sa neustále prispôsobujú trendu organizačného rastu Európskej prokuratúry;</w:t>
      </w:r>
      <w:r w:rsidRPr="00C12435">
        <w:rPr>
          <w:rFonts w:ascii="Times New Roman" w:hAnsi="Times New Roman"/>
          <w:color w:val="000000" w:themeColor="text1"/>
        </w:rPr>
        <w:t xml:space="preserve"> v tejto súvislosti oceňuje nedávno vykonané posúdenie, ktorého výsledkom bol plán vykonávania zameraný na zistené nedostatky; poukazuje na to, že ako hlavné zvyšné vysokorizikové oblasti boli identifikované tie, ktoré vznikli pre nedostatok zdrojov (keď je Európska prokuratúra nútená vybrať si medzi činnosťami, ktoré sú v rovnakej miere nevyhnutné na plnenie jej mandátu, alebo ak nie je k dispozícii primerané uistenie o dodržiavaní všetkých administratívnych noriem);</w:t>
      </w:r>
    </w:p>
    <w:p w:rsidR="006E14C6" w:rsidRPr="00C12435" w:rsidRDefault="006E14C6" w:rsidP="006E14C6">
      <w:pPr>
        <w:spacing w:after="240"/>
        <w:ind w:left="567" w:hanging="567"/>
        <w:rPr>
          <w:color w:val="000000" w:themeColor="text1"/>
          <w:szCs w:val="24"/>
        </w:rPr>
      </w:pPr>
      <w:r w:rsidRPr="00C12435">
        <w:rPr>
          <w:color w:val="000000" w:themeColor="text1"/>
        </w:rPr>
        <w:t xml:space="preserve">22. </w:t>
      </w:r>
      <w:r w:rsidRPr="00C12435">
        <w:rPr>
          <w:color w:val="000000" w:themeColor="text1"/>
        </w:rPr>
        <w:tab/>
        <w:t>víta prijatie kľúčových ukazovateľov výkonnosti (KPI) pre operačné aj administratívne činnosti, ktoré sú spojené s ročným a viacročným pracovným programom; konštatuje, že hlavné KPI pre operačné činnosti neobsahujú žiadny konkrétny odkaz na sumy vymožené z rozpočtu Únie, ktorých ochrana je v konečnom dôsledku dôvodom existencie štruktúry boja proti podvodom, ktorej dôležitou zložkou je Európska prokuratúra; žiada Európsku prokuratúru, aby prijala ukazovatele súvisiace s plnením tejto dôležitej úlohy;</w:t>
      </w:r>
    </w:p>
    <w:p w:rsidR="006E14C6" w:rsidRPr="00C12435" w:rsidRDefault="006E14C6" w:rsidP="006E14C6">
      <w:pPr>
        <w:pStyle w:val="Default"/>
        <w:widowControl w:val="0"/>
        <w:autoSpaceDE/>
        <w:autoSpaceDN/>
        <w:adjustRightInd/>
        <w:spacing w:after="240"/>
        <w:ind w:left="567" w:hanging="567"/>
        <w:rPr>
          <w:rFonts w:ascii="Times New Roman" w:hAnsi="Times New Roman" w:cs="Times New Roman"/>
          <w:bCs/>
          <w:color w:val="000000" w:themeColor="text1"/>
        </w:rPr>
      </w:pPr>
      <w:r w:rsidRPr="00C12435">
        <w:rPr>
          <w:rFonts w:ascii="Times New Roman" w:hAnsi="Times New Roman"/>
          <w:color w:val="000000" w:themeColor="text1"/>
        </w:rPr>
        <w:t xml:space="preserve">23. </w:t>
      </w:r>
      <w:r w:rsidRPr="00C12435">
        <w:rPr>
          <w:rFonts w:ascii="Times New Roman" w:hAnsi="Times New Roman"/>
          <w:color w:val="000000" w:themeColor="text1"/>
        </w:rPr>
        <w:tab/>
        <w:t>oceňuje, že kolégium Európskej prokuratúry prijalo v roku 2022 chartu vnútorného auditu, ktorú vypracovalo oddelenie vnútorného auditu, a plán auditu založený na riziku, v ktorých sa určujú priority vnútorného auditu na roky 2022 – 2024; nabáda Útvar pre vnútorný audit a oddelenie vnútorného auditu, aby koordinovali svoje činnosti s cieľom poskytovať Európskej prokuratúre poradenstvo a pomáhať jej pri vytváraní vlastných hlavných procesov a dosahovaní jej cieľov;</w:t>
      </w:r>
    </w:p>
    <w:p w:rsidR="006E14C6" w:rsidRPr="00C12435" w:rsidRDefault="006E14C6" w:rsidP="006E14C6">
      <w:pPr>
        <w:pStyle w:val="NormalHanging12a"/>
        <w:rPr>
          <w:szCs w:val="24"/>
        </w:rPr>
      </w:pPr>
      <w:r w:rsidRPr="00C12435">
        <w:t>24.</w:t>
      </w:r>
      <w:r w:rsidRPr="00C12435">
        <w:tab/>
        <w:t xml:space="preserve">požaduje lepší systém monitorovania výsledkov a sledovania finančného vplyvu práce Európskej prokuratúry; upozorňuje na potrebu väčšieho množstva súhrnných údajov o prípadoch, aby bolo možné lepšie identifikovať trendy v podvodoch; podporuje pokračujúcu koordináciu s </w:t>
      </w:r>
      <w:proofErr w:type="spellStart"/>
      <w:r w:rsidRPr="00C12435">
        <w:t>Europolom</w:t>
      </w:r>
      <w:proofErr w:type="spellEnd"/>
      <w:r w:rsidRPr="00C12435">
        <w:t xml:space="preserve"> v tejto oblasti;</w:t>
      </w:r>
    </w:p>
    <w:p w:rsidR="006E14C6" w:rsidRPr="00C12435" w:rsidRDefault="006E14C6" w:rsidP="006E14C6">
      <w:pPr>
        <w:spacing w:after="240"/>
        <w:ind w:left="567" w:hanging="567"/>
        <w:rPr>
          <w:color w:val="000000" w:themeColor="text1"/>
          <w:szCs w:val="24"/>
        </w:rPr>
      </w:pPr>
      <w:r w:rsidRPr="00C12435">
        <w:rPr>
          <w:color w:val="000000" w:themeColor="text1"/>
        </w:rPr>
        <w:t xml:space="preserve">25. </w:t>
      </w:r>
      <w:r w:rsidRPr="00C12435">
        <w:rPr>
          <w:color w:val="000000" w:themeColor="text1"/>
        </w:rPr>
        <w:tab/>
        <w:t>poznamenáva, že cieľom Európskej prokuratúry je dosiahnuť úplný súlad s normami Únie v oblasti riadenia verejnej správy, a pripomína, že medzi takéto základné požiadavky patrí aj prijatie komplexného plánu na zabezpečenie kontinuity činností;</w:t>
      </w:r>
    </w:p>
    <w:p w:rsidR="006E14C6" w:rsidRPr="00C12435" w:rsidRDefault="006E14C6" w:rsidP="006E14C6">
      <w:pPr>
        <w:pStyle w:val="NormalHanging12a"/>
        <w:rPr>
          <w:b/>
          <w:i/>
          <w:color w:val="000000" w:themeColor="text1"/>
          <w:szCs w:val="24"/>
        </w:rPr>
      </w:pPr>
      <w:r w:rsidRPr="00C12435">
        <w:rPr>
          <w:b/>
          <w:i/>
          <w:color w:val="000000" w:themeColor="text1"/>
        </w:rPr>
        <w:t>Ľudské zdroje, rovnosť a dobré pracovné podmienky zamestnancov</w:t>
      </w:r>
    </w:p>
    <w:p w:rsidR="006E14C6" w:rsidRPr="00C12435" w:rsidRDefault="006E14C6" w:rsidP="006E14C6">
      <w:pPr>
        <w:pStyle w:val="NormalHanging12a"/>
        <w:rPr>
          <w:color w:val="000000" w:themeColor="text1"/>
          <w:szCs w:val="24"/>
        </w:rPr>
      </w:pPr>
      <w:r w:rsidRPr="00C12435">
        <w:rPr>
          <w:color w:val="000000" w:themeColor="text1"/>
        </w:rPr>
        <w:lastRenderedPageBreak/>
        <w:t xml:space="preserve">26. </w:t>
      </w:r>
      <w:r w:rsidRPr="00C12435">
        <w:rPr>
          <w:color w:val="000000" w:themeColor="text1"/>
        </w:rPr>
        <w:tab/>
        <w:t>berie na vedomie stúpajúci trend v nábore zamestnancov, ktorých počet sa zvýšil z 58 v roku 2020 na 122 v roku 2021 a na 217 zamestnancov do konca roka 2022; uvedomuje si, že na rok 2022 Európska prokuratúra požiadala 171 dočasných zamestnancov, 48 zmluvných zamestnancov a 29 vyslaných národných expertov, čo predstavuje celkovo 248 pracovných miest (v porovnaní so situáciou v roku 2021, keď celkovo 130 pracovných miest bolo rozdelených medzi 95 dočasných zamestnancov a 35 zmluvných zamestnancov); konštatuje, že rozpočtový orgán umožnil vytvorenie 100 % požadovaných pracovných miest;</w:t>
      </w:r>
    </w:p>
    <w:p w:rsidR="006E14C6" w:rsidRPr="00C12435" w:rsidRDefault="006E14C6" w:rsidP="006E14C6">
      <w:pPr>
        <w:spacing w:after="240"/>
        <w:ind w:left="567" w:hanging="567"/>
        <w:rPr>
          <w:bCs/>
          <w:color w:val="000000" w:themeColor="text1"/>
          <w:szCs w:val="24"/>
        </w:rPr>
      </w:pPr>
      <w:r w:rsidRPr="00C12435">
        <w:rPr>
          <w:color w:val="000000" w:themeColor="text1"/>
        </w:rPr>
        <w:t xml:space="preserve">27. </w:t>
      </w:r>
      <w:r w:rsidRPr="00C12435">
        <w:rPr>
          <w:color w:val="000000" w:themeColor="text1"/>
        </w:rPr>
        <w:tab/>
        <w:t>poukazuje na to, že v roku 2022 úsilie Európskej prokuratúry zamerané na nábor kvalifikovaných zamestnancov prostredníctvom rýchlych postupov viedlo k prijatiu 85 štatutárnych zamestnancov na ústredí a 22 EDP na vnútroštátnych zastúpeniach; konštatuje, že keďže na konci roka 2022 bolo obsadených 217 z 248 rozpočtovaných pozícií, miera obsadenosti pracovných miest obsadených dočasnými zamestnancami, zmluvnými zamestnancami a vyslanými národnými expertmi sa znížila na 87,5 % (v porovnaní s 94 % v roku 2021), zatiaľ čo v prípade EDP sa miera obsadenosti zvýšila na 82,1 % (obsadených bolo 115 zo 140 rozpočtovaných pracovných miest) v porovnaní so 68 % v roku 2021 (obsadených bolo len 95 zo 140 rozpočtovaných pracovných miest), čím sa celková miera obsadenosti zvýšila na 85,56 % (v porovnaní s 81 % v roku 2021);</w:t>
      </w:r>
    </w:p>
    <w:p w:rsidR="006E14C6" w:rsidRPr="00C12435" w:rsidRDefault="006E14C6" w:rsidP="006E14C6">
      <w:pPr>
        <w:pStyle w:val="NormalHanging12a"/>
        <w:rPr>
          <w:b/>
          <w:i/>
          <w:szCs w:val="24"/>
        </w:rPr>
      </w:pPr>
      <w:r w:rsidRPr="00C12435">
        <w:t>28.</w:t>
      </w:r>
      <w:r w:rsidRPr="00C12435">
        <w:tab/>
        <w:t>zdôrazňuje, že pri návšteve Európskej prokuratúry počas služobnej cesty Výboru pre kontrolu rozpočtu v Luxemburgu v roku 2023 Európska prokuratúra poukázala na naliehavú potrebu väčšieho počtu právnych expertov na zvládnutie veľkého počtu vyšetrovaní; konštatuje, že v roku 2022 prebiehalo viac ako 1 117 vyšetrovaní (štatistika Európskej prokuratúry 2022); uznáva, že Komisia už bola v tejto oblasti aktívna, ale žiada, aby sa naplnili ďalšie kapacity, najmä vzhľadom na nahromadenie nevyriešených prípadov a dodatočné prípady súvisiace s Mechanizmom na podporu obnovy a odolnosti a rozsiahlymi podvodmi v oblasti DPH; poukazuje na to, že Komisia možno podcenila potreby a kapacity; berie na vedomie, že GR pre rozpočet a Komisia zatiaľ splnia požiadavky Európskej prokuratúry;</w:t>
      </w:r>
    </w:p>
    <w:p w:rsidR="006E14C6" w:rsidRPr="00C12435" w:rsidRDefault="006E14C6" w:rsidP="006E14C6">
      <w:pPr>
        <w:spacing w:after="240"/>
        <w:ind w:left="567" w:hanging="567"/>
        <w:rPr>
          <w:bCs/>
          <w:color w:val="000000" w:themeColor="text1"/>
          <w:szCs w:val="24"/>
        </w:rPr>
      </w:pPr>
      <w:r w:rsidRPr="00C12435">
        <w:rPr>
          <w:color w:val="000000" w:themeColor="text1"/>
        </w:rPr>
        <w:t xml:space="preserve">29. </w:t>
      </w:r>
      <w:r w:rsidRPr="00C12435">
        <w:rPr>
          <w:color w:val="000000" w:themeColor="text1"/>
        </w:rPr>
        <w:tab/>
        <w:t>chápe, že vzhľadom na vyšší počet operačných zamestnancov sa očakáva posilnenie administratívnych a ústredných podporných funkcií a že ďalší nábor bude mať zásadný význam aj v oblasti digitálnych a bezpečnostných služieb; oceňuje, že dodatočné operačné potreby boli zahrnuté do jednotného programového dokumentu Európskej prokuratúry na roky 2024 – 2026 a rozpočtových požiadavkách na rok 2024;</w:t>
      </w:r>
    </w:p>
    <w:p w:rsidR="006E14C6" w:rsidRPr="00C12435" w:rsidRDefault="006E14C6" w:rsidP="006E14C6">
      <w:pPr>
        <w:spacing w:after="240"/>
        <w:ind w:left="567" w:hanging="567"/>
        <w:rPr>
          <w:bCs/>
          <w:color w:val="000000" w:themeColor="text1"/>
          <w:szCs w:val="24"/>
        </w:rPr>
      </w:pPr>
      <w:r w:rsidRPr="00C12435">
        <w:rPr>
          <w:color w:val="000000" w:themeColor="text1"/>
        </w:rPr>
        <w:t xml:space="preserve">30. </w:t>
      </w:r>
      <w:r w:rsidRPr="00C12435">
        <w:rPr>
          <w:color w:val="000000" w:themeColor="text1"/>
        </w:rPr>
        <w:tab/>
        <w:t>uvedomuje si, že luxemburský trh práce je veľmi konkurenčný a že podmienky, ktoré ponúka administratíva Únie, nie sú v porovnaní s miestnym trhom atraktívne (v priebehu roka sa uplatňuje rozdielna indexácia platov), ani primerane nezohľadňujú vysoké životné náklady (najmä v oblasti bývania); chápe, že táto zložitá situácia má ešte vážnejší dopad na stážistov a zmluvných zamestnancov, a preto sa pozície zmluvných zamestnancov postupne rušia v prospech dočasných zamestnancov, ktorí majú výhodnejšie zmluvy; konštatuje, že prilákanie a udržanie zamestnancov bolo v roku 2022 ešte komplikovanejšie v dôsledku miery inflácie a zvýšených životných nákladov a že údaje o odmenách nemajú taký pozitívny vplyv ako mimo administratívy Únie, kde vnútroštátna indexácia miezd zabezpečila trvalú ochranu kúpnej sily občanov;</w:t>
      </w:r>
    </w:p>
    <w:p w:rsidR="006E14C6" w:rsidRPr="00C12435" w:rsidRDefault="006E14C6" w:rsidP="006E14C6">
      <w:pPr>
        <w:pStyle w:val="NormalHanging12a"/>
        <w:rPr>
          <w:szCs w:val="24"/>
        </w:rPr>
      </w:pPr>
      <w:r w:rsidRPr="00C12435">
        <w:t>31.</w:t>
      </w:r>
      <w:r w:rsidRPr="00C12435">
        <w:tab/>
        <w:t xml:space="preserve">konštatuje, že Európska prokuratúra sa stala menej príťažlivou ako ostatné štyri inštitúcie Únie pôsobiace v Luxemburgu, pretože nemôže ponúknuť cestu k ku kariére úradníka Únie; zdôrazňuje, že je potrebné, aby Európska prokuratúra ponúkla atraktívne </w:t>
      </w:r>
      <w:r w:rsidRPr="00C12435">
        <w:lastRenderedPageBreak/>
        <w:t>mzdy zmluvným a dočasným zamestnancom, ktorí sú konkurencieschopní s ponukou v súkromnom sektore vrátane právnych služieb a IT služieb, s cieľom prilákať najlepšie a najjasnejšie talenty s medzinárodnými skúsenosťami; zdôrazňuje, že súčasné platy a rozpočet bude možno potrebné upraviť tak, aby túto skutočnosť odrážali;</w:t>
      </w:r>
    </w:p>
    <w:p w:rsidR="006E14C6" w:rsidRPr="00C12435" w:rsidRDefault="006E14C6" w:rsidP="006E14C6">
      <w:pPr>
        <w:pStyle w:val="NormalHanging12a"/>
        <w:rPr>
          <w:szCs w:val="24"/>
        </w:rPr>
      </w:pPr>
      <w:r w:rsidRPr="00C12435">
        <w:t>32.</w:t>
      </w:r>
      <w:r w:rsidRPr="00C12435">
        <w:tab/>
        <w:t>konštatuje, že na konci roka 2022 bola celková geografická a rodová rovnováha pri 217 zamestnancoch primeraná (122 mužov a 95 žien); víta skutočnosť, že sa nepretržite sleduje rozdelenie prijímaných pracovníkov Európskej prokuratúry podľa štátnej príslušnosti v záujme zabezpečenia rovnováhy, najmä vzhľadom na nerovnomerné rozdelenie uchádzačov; poznamenáva však, že rodové rozdelenie členov vyššieho a stredného manažmentu (štyri ku jednej) je stále neoptimálne, a opakuje, že tento aspekt by sa mal zlepšiť v rámci celkovej stratégie rozmanitosti, ktorá by okrem iného mala primerane podporovať nábor osôb so zdravotným postihnutím; opakuje svoju žiadosť adresovanú Európskej prokuratúre, aby vzhľadom na minuloročné zvýšenie počtu zamestnancov bezodkladne prijala svoju chartu o rozmanitosti a začlenení;</w:t>
      </w:r>
    </w:p>
    <w:p w:rsidR="006E14C6" w:rsidRPr="00C12435" w:rsidRDefault="006E14C6" w:rsidP="006E14C6">
      <w:pPr>
        <w:spacing w:after="240"/>
        <w:ind w:left="567" w:hanging="567"/>
        <w:rPr>
          <w:bCs/>
          <w:color w:val="000000" w:themeColor="text1"/>
          <w:szCs w:val="24"/>
        </w:rPr>
      </w:pPr>
      <w:r w:rsidRPr="00C12435">
        <w:rPr>
          <w:color w:val="000000" w:themeColor="text1"/>
        </w:rPr>
        <w:t xml:space="preserve">33. </w:t>
      </w:r>
      <w:r w:rsidRPr="00C12435">
        <w:rPr>
          <w:color w:val="000000" w:themeColor="text1"/>
        </w:rPr>
        <w:tab/>
        <w:t>poznamenáva, že do konca roka 2022 bolo do vyšetrovacích činností nasadených 275 z 332 zamestnancov (82,83 % v porovnaní s 86 % v roku 2021, t. j. 186 zamestnancov) (dočasní zamestnanci, zmluvní zamestnanci, vyslaní národní experti a európski dozorní úradníci pre ochranu údajov EDPS), zatiaľ čo 57 zamestnancov zastávalo funkcie administratívnej podpory a kontroly (17,17 %) a 9 vyšetrovacích pracovných miest zostalo neobsadených;</w:t>
      </w:r>
    </w:p>
    <w:p w:rsidR="006E14C6" w:rsidRPr="00C12435" w:rsidRDefault="006E14C6" w:rsidP="006E14C6">
      <w:pPr>
        <w:pStyle w:val="NormalHanging12a"/>
        <w:rPr>
          <w:b/>
          <w:i/>
          <w:szCs w:val="24"/>
        </w:rPr>
      </w:pPr>
      <w:r w:rsidRPr="00C12435">
        <w:t>34.</w:t>
      </w:r>
      <w:r w:rsidRPr="00C12435">
        <w:tab/>
        <w:t>konštatuje, že vymenovanie európskych delegovaných prokurátorov je spoločnou zodpovednosťou Európskej prokuratúry a členských štátov; zdôrazňuje, že postup vymenovania musí byť vždy v súlade s článkom 17 nariadenia (EÚ) 2017/1939 a so zásadou vnútroštátnej procesnej autonómie;</w:t>
      </w:r>
    </w:p>
    <w:p w:rsidR="006E14C6" w:rsidRPr="00C12435" w:rsidRDefault="006E14C6" w:rsidP="006E14C6">
      <w:pPr>
        <w:spacing w:after="240"/>
        <w:ind w:left="567" w:hanging="567"/>
        <w:rPr>
          <w:color w:val="000000" w:themeColor="text1"/>
          <w:szCs w:val="24"/>
        </w:rPr>
      </w:pPr>
      <w:r w:rsidRPr="00C12435">
        <w:rPr>
          <w:color w:val="000000" w:themeColor="text1"/>
        </w:rPr>
        <w:t xml:space="preserve">35. </w:t>
      </w:r>
      <w:r w:rsidRPr="00C12435">
        <w:rPr>
          <w:color w:val="000000" w:themeColor="text1"/>
        </w:rPr>
        <w:tab/>
        <w:t>vyjadruje potešenie nad zvýšeným počtom EDPS prijatých vo viacerých členských štátoch; uvedomuje si, že účasť kvalifikovaných kandidátov by sa mohla zvýšiť a proces vymenovania by mohol byť selektívnejší, ak by sa prijala jasná kariérna perspektíva a priaznivejšia administratívna disciplína v oblasti sociálneho zabezpečenia a zdravotného poistenia; domnieva sa, že vytvorenie osobitného štatútu EDPS, ako naznačuje povaha ich súdnej funkcie, by zvýšilo atraktívnosť týchto pracovných miest; vyzýva Európsku prokuratúru a Komisiu, aby v záujme dosiahnutia tohto výsledku preskúmali všetky možné riešenia na posilnenie svojho dialógu, a to pri zohľadnení možných prínosov z hľadiska spôsobilostí a operačnej efektívnosti; opakuje svoj názor, že túto situáciu považuje za ďalší dôvod na preskúmanie nariadenia (EÚ) 2017/1939 a štatútu Európskej prokuratúry;</w:t>
      </w:r>
    </w:p>
    <w:p w:rsidR="006E14C6" w:rsidRPr="00C12435" w:rsidRDefault="006E14C6" w:rsidP="006E14C6">
      <w:pPr>
        <w:spacing w:after="240"/>
        <w:ind w:left="567" w:hanging="567"/>
        <w:rPr>
          <w:color w:val="000000" w:themeColor="text1"/>
          <w:szCs w:val="24"/>
        </w:rPr>
      </w:pPr>
      <w:r w:rsidRPr="00C12435">
        <w:rPr>
          <w:color w:val="000000" w:themeColor="text1"/>
        </w:rPr>
        <w:t xml:space="preserve">36. </w:t>
      </w:r>
      <w:r w:rsidRPr="00C12435">
        <w:rPr>
          <w:color w:val="000000" w:themeColor="text1"/>
        </w:rPr>
        <w:tab/>
        <w:t>konštatuje, že Európska prokuratúra stále zamestnáva externých poskytovateľov služieb pracujúcich na mieste (39 zamestnancov v roku 2022); uvedomuje si, že v roku 2022 musela Európska prokuratúra opäť pristúpiť k využívaniu dočasných zamestnancov na vykonávanie finančných transakcií, čo je v rozpore s jej vlastnými rozpočtovými pravidlami; chápe, že toto rozhodnutie, ktoré bolo transparentne oznámené, vyplývalo z potreby zamestnať dostupných štatutárnych zamestnancov, aby mohli plniť úlohy v oblasti vyšetrovania a trestného stíhania; poznamenáva však, že Európska prokuratúra sa v nadväznosti na zvýšenie počtu zamestnancov prestala spoliehať na dočasných zamestnancov, pokiaľ ide o spracovanie finančných transakcií;</w:t>
      </w:r>
    </w:p>
    <w:p w:rsidR="006E14C6" w:rsidRPr="00C12435" w:rsidRDefault="006E14C6" w:rsidP="006E14C6">
      <w:pPr>
        <w:spacing w:after="240"/>
        <w:ind w:left="567" w:hanging="567"/>
        <w:rPr>
          <w:color w:val="000000" w:themeColor="text1"/>
          <w:szCs w:val="24"/>
        </w:rPr>
      </w:pPr>
      <w:r w:rsidRPr="00C12435">
        <w:rPr>
          <w:color w:val="000000" w:themeColor="text1"/>
        </w:rPr>
        <w:t xml:space="preserve">37. </w:t>
      </w:r>
      <w:r w:rsidRPr="00C12435">
        <w:rPr>
          <w:color w:val="000000" w:themeColor="text1"/>
        </w:rPr>
        <w:tab/>
        <w:t xml:space="preserve">berie na vedomie zvýšené náklady na kurzy odbornej prípravy v roku 2022 a chápe, že </w:t>
      </w:r>
      <w:r w:rsidRPr="00C12435">
        <w:rPr>
          <w:color w:val="000000" w:themeColor="text1"/>
        </w:rPr>
        <w:lastRenderedPageBreak/>
        <w:t xml:space="preserve">to viedlo k intenzívnejšiemu využívaniu platformy EU </w:t>
      </w:r>
      <w:proofErr w:type="spellStart"/>
      <w:r w:rsidRPr="00C12435">
        <w:rPr>
          <w:color w:val="000000" w:themeColor="text1"/>
        </w:rPr>
        <w:t>Learn</w:t>
      </w:r>
      <w:proofErr w:type="spellEnd"/>
      <w:r w:rsidRPr="00C12435">
        <w:rPr>
          <w:color w:val="000000" w:themeColor="text1"/>
        </w:rPr>
        <w:t>, ktorej náklady sa takmer zdvojnásobili;</w:t>
      </w:r>
    </w:p>
    <w:p w:rsidR="006E14C6" w:rsidRPr="00C12435" w:rsidRDefault="006E14C6" w:rsidP="006E14C6">
      <w:pPr>
        <w:spacing w:after="240"/>
        <w:ind w:left="567" w:hanging="567"/>
        <w:rPr>
          <w:bCs/>
          <w:color w:val="000000" w:themeColor="text1"/>
          <w:szCs w:val="24"/>
        </w:rPr>
      </w:pPr>
      <w:bookmarkStart w:id="10" w:name="_heading=h.3znysh7"/>
      <w:bookmarkEnd w:id="10"/>
      <w:r w:rsidRPr="00C12435">
        <w:rPr>
          <w:color w:val="000000" w:themeColor="text1"/>
        </w:rPr>
        <w:t xml:space="preserve">38. </w:t>
      </w:r>
      <w:r w:rsidRPr="00C12435">
        <w:rPr>
          <w:color w:val="000000" w:themeColor="text1"/>
        </w:rPr>
        <w:tab/>
        <w:t xml:space="preserve">zdôrazňuje, že pružné formy organizácie práce a režim </w:t>
      </w:r>
      <w:proofErr w:type="spellStart"/>
      <w:r w:rsidRPr="00C12435">
        <w:rPr>
          <w:color w:val="000000" w:themeColor="text1"/>
        </w:rPr>
        <w:t>telepráce</w:t>
      </w:r>
      <w:proofErr w:type="spellEnd"/>
      <w:r w:rsidRPr="00C12435">
        <w:rPr>
          <w:color w:val="000000" w:themeColor="text1"/>
        </w:rPr>
        <w:t xml:space="preserve"> v súčasnosti upravuje rozhodnutie kolégia Európskej prokuratúry o pracovnom čase, ktoré bolo prijaté v októbri 2021 a vzťahuje sa len na prokurátorov a administratívneho riaditeľa, a rozhodnutie kolégia Európskej prokuratúry, ktoré bolo prijaté v decembri 2022 a vzťahuje sa na ostatných zamestnancov; zdôrazňuje, že obe rozhodnutia sú v platnosti a uplatňujú sa súčasne na príslušných adresátov;</w:t>
      </w:r>
    </w:p>
    <w:p w:rsidR="006E14C6" w:rsidRPr="00C12435" w:rsidRDefault="006E14C6" w:rsidP="006E14C6">
      <w:pPr>
        <w:spacing w:after="240"/>
        <w:ind w:left="567" w:hanging="567"/>
        <w:rPr>
          <w:color w:val="000000" w:themeColor="text1"/>
          <w:szCs w:val="24"/>
        </w:rPr>
      </w:pPr>
      <w:r w:rsidRPr="00C12435">
        <w:rPr>
          <w:color w:val="000000" w:themeColor="text1"/>
        </w:rPr>
        <w:t xml:space="preserve">39. </w:t>
      </w:r>
      <w:r w:rsidRPr="00C12435">
        <w:rPr>
          <w:color w:val="000000" w:themeColor="text1"/>
        </w:rPr>
        <w:tab/>
        <w:t xml:space="preserve">chápe, že prvé rozhodnutie je reštriktívnejšie a prispôsobuje pracovný čas a súvisiace možnosti pre úrovne riadenia požiadavkám Európskej prokuratúry s cieľom zaručiť konzistentnosť a kontinuitu rozhodovacích procesov, zatiaľ čo druhé rozhodnutie sa zameriava na optimalizáciu rovnováhy medzi súkromným a pracovným a súkromným životom; konštatuje, že podobné rozlíšenie sa uplatňuje v prípade režimu </w:t>
      </w:r>
      <w:proofErr w:type="spellStart"/>
      <w:r w:rsidRPr="00C12435">
        <w:rPr>
          <w:color w:val="000000" w:themeColor="text1"/>
        </w:rPr>
        <w:t>telepráce</w:t>
      </w:r>
      <w:proofErr w:type="spellEnd"/>
      <w:r w:rsidRPr="00C12435">
        <w:rPr>
          <w:color w:val="000000" w:themeColor="text1"/>
        </w:rPr>
        <w:t xml:space="preserve">, v rámci ktorého je manažment oprávnený vykonávať </w:t>
      </w:r>
      <w:proofErr w:type="spellStart"/>
      <w:r w:rsidRPr="00C12435">
        <w:rPr>
          <w:color w:val="000000" w:themeColor="text1"/>
        </w:rPr>
        <w:t>teleprácu</w:t>
      </w:r>
      <w:proofErr w:type="spellEnd"/>
      <w:r w:rsidRPr="00C12435">
        <w:rPr>
          <w:color w:val="000000" w:themeColor="text1"/>
        </w:rPr>
        <w:t xml:space="preserve"> najviac 60 dní v kalendárnom roku, zatiaľ čo ostatní zamestnanci môžu vykonávať </w:t>
      </w:r>
      <w:proofErr w:type="spellStart"/>
      <w:r w:rsidRPr="00C12435">
        <w:rPr>
          <w:color w:val="000000" w:themeColor="text1"/>
        </w:rPr>
        <w:t>teleprácu</w:t>
      </w:r>
      <w:proofErr w:type="spellEnd"/>
      <w:r w:rsidRPr="00C12435">
        <w:rPr>
          <w:color w:val="000000" w:themeColor="text1"/>
        </w:rPr>
        <w:t xml:space="preserve"> v rozsahu 20 % až 60 % týždenného pracovného času; konštatuje, že obe skupiny zamestnancov môžu vykonávať </w:t>
      </w:r>
      <w:proofErr w:type="spellStart"/>
      <w:r w:rsidRPr="00C12435">
        <w:rPr>
          <w:color w:val="000000" w:themeColor="text1"/>
        </w:rPr>
        <w:t>teleprácu</w:t>
      </w:r>
      <w:proofErr w:type="spellEnd"/>
      <w:r w:rsidRPr="00C12435">
        <w:rPr>
          <w:color w:val="000000" w:themeColor="text1"/>
        </w:rPr>
        <w:t xml:space="preserve"> zo zahraničia maximálne 10 pracovných dní; nabáda Európsku prokuratúru, aby konzultovala so svojimi zamestnancami prostredníctvom prieskumu, ktorého cieľom bude overiť úroveň spokojnosti, a aby konzultovala s výborom zamestnancov akékoľvek ďalšie rozhodnutia, ktoré sa majú prijať v tejto veci;</w:t>
      </w:r>
    </w:p>
    <w:p w:rsidR="006E14C6" w:rsidRPr="00C12435" w:rsidRDefault="006E14C6" w:rsidP="006E14C6">
      <w:pPr>
        <w:pStyle w:val="NormalHanging12a"/>
        <w:rPr>
          <w:color w:val="000000" w:themeColor="text1"/>
          <w:szCs w:val="24"/>
        </w:rPr>
      </w:pPr>
      <w:r w:rsidRPr="00C12435">
        <w:rPr>
          <w:color w:val="000000" w:themeColor="text1"/>
        </w:rPr>
        <w:t xml:space="preserve">40. </w:t>
      </w:r>
      <w:r w:rsidRPr="00C12435">
        <w:rPr>
          <w:color w:val="000000" w:themeColor="text1"/>
        </w:rPr>
        <w:tab/>
        <w:t>poznamenáva, že nebol hlásený žiadny prípad vyhorenia ani obťažovania a že počet prípadov dlhodobej práceneschopnosti je veľmi nízky; víta prijatie štruktúrovaného postupu oznamovania prípadov obťažovania zo strany hlavného európskeho prokurátora a európskych prokurátorov, ako aj jeho sprístupnenie všetkým zamestnancom;</w:t>
      </w:r>
    </w:p>
    <w:p w:rsidR="006E14C6" w:rsidRPr="00C12435" w:rsidRDefault="006E14C6" w:rsidP="006E14C6">
      <w:pPr>
        <w:pStyle w:val="NormalHanging12a"/>
        <w:rPr>
          <w:szCs w:val="24"/>
        </w:rPr>
      </w:pPr>
      <w:r w:rsidRPr="00C12435">
        <w:t>41.</w:t>
      </w:r>
      <w:r w:rsidRPr="00C12435">
        <w:tab/>
        <w:t xml:space="preserve">víta, že dobré pracovné podmienky zamestnancov budú predstavovať kľúčový rozmer širšieho zavádzania rámca riadenia ľudských zdrojov a že Európska prokuratúra na </w:t>
      </w:r>
      <w:proofErr w:type="spellStart"/>
      <w:r w:rsidRPr="00C12435">
        <w:t>ne</w:t>
      </w:r>
      <w:proofErr w:type="spellEnd"/>
      <w:r w:rsidRPr="00C12435">
        <w:t xml:space="preserve"> bude vyčleňovať čoraz viac zdrojov; dôrazne nabáda Európsku prokuratúru, aby zosúladila svoje súčasné a budúce politiky v oblasti začleňovania, obťažovania a rovnosti a aby medzi svojimi zamestnancami pravidelne uskutočňovala prieskumy, v rámci ktorých by sa podľa možnosti uplatňovalo partnerské preskúmanie s inými zložkami štruktúry boja proti podvodom (</w:t>
      </w:r>
      <w:proofErr w:type="spellStart"/>
      <w:r w:rsidRPr="00C12435">
        <w:t>Eurojust</w:t>
      </w:r>
      <w:proofErr w:type="spellEnd"/>
      <w:r w:rsidRPr="00C12435">
        <w:t>, OLAF atď.) a vo všeobecnosti by sa podporovala rozmanitosť, aby sa pracovisko stalo atraktívnejším pre uchádzačov s osobitnými potrebami;</w:t>
      </w:r>
    </w:p>
    <w:p w:rsidR="006E14C6" w:rsidRPr="00C12435" w:rsidRDefault="006E14C6" w:rsidP="006E14C6">
      <w:pPr>
        <w:pStyle w:val="NormalHanging12a"/>
        <w:rPr>
          <w:szCs w:val="24"/>
        </w:rPr>
      </w:pPr>
      <w:r w:rsidRPr="00C12435">
        <w:t>42.</w:t>
      </w:r>
      <w:r w:rsidRPr="00C12435">
        <w:tab/>
        <w:t>konštatuje, že v roku 2022 neboli prijatí žiadni stážisti, ale že prípravné práce na vytvorenie podmienok pre budúce zložky riadenia ľudských zdrojov zahŕňali stáž; schvaľuje návrh a realizáciu pilotného programu stáží začiatkom roka 2023, ktorého výsledky sa v súčasnosti skúmajú s cieľom realizovať program stáží od roku 2024; zdôrazňuje, že problémy spojené so životnými nákladmi v Luxembursku predstavujú značnú prekážku pre potenciálnych stážistov; tvrdí, že stáž by mala byť platená, aby bola v súlade s uznesením Európskeho parlamentu zo 14. júna 2023 o kvalitných stážach v Únii (2020/2005</w:t>
      </w:r>
      <w:r w:rsidR="00E55302">
        <w:t>(</w:t>
      </w:r>
      <w:bookmarkStart w:id="11" w:name="_GoBack"/>
      <w:bookmarkEnd w:id="11"/>
      <w:r w:rsidRPr="00C12435">
        <w:t>INL), v ktorom sa presadzuje, aby boli všetci stážisti v Európe platení;</w:t>
      </w:r>
    </w:p>
    <w:p w:rsidR="006E14C6" w:rsidRPr="00C12435" w:rsidRDefault="006E14C6" w:rsidP="006E14C6">
      <w:pPr>
        <w:spacing w:after="240"/>
        <w:ind w:left="567" w:hanging="567"/>
        <w:rPr>
          <w:b/>
          <w:i/>
          <w:color w:val="000000"/>
          <w:szCs w:val="24"/>
        </w:rPr>
      </w:pPr>
      <w:r w:rsidRPr="00C12435">
        <w:rPr>
          <w:b/>
          <w:i/>
          <w:color w:val="000000"/>
        </w:rPr>
        <w:t>Etický rámec a transparentnosť</w:t>
      </w:r>
    </w:p>
    <w:p w:rsidR="006E14C6" w:rsidRPr="00C12435" w:rsidRDefault="006E14C6" w:rsidP="006E14C6">
      <w:pPr>
        <w:spacing w:after="240"/>
        <w:ind w:left="567" w:hanging="567"/>
        <w:rPr>
          <w:color w:val="000000" w:themeColor="text1"/>
          <w:szCs w:val="24"/>
        </w:rPr>
      </w:pPr>
      <w:r w:rsidRPr="00C12435">
        <w:rPr>
          <w:color w:val="000000" w:themeColor="text1"/>
        </w:rPr>
        <w:t xml:space="preserve">43. </w:t>
      </w:r>
      <w:r w:rsidRPr="00C12435">
        <w:rPr>
          <w:color w:val="000000" w:themeColor="text1"/>
        </w:rPr>
        <w:tab/>
        <w:t xml:space="preserve">konštatuje, že v kódexe správania Európskej prokuratúry sa uvádzajú očakávané normy </w:t>
      </w:r>
      <w:r w:rsidRPr="00C12435">
        <w:rPr>
          <w:color w:val="000000" w:themeColor="text1"/>
        </w:rPr>
        <w:lastRenderedPageBreak/>
        <w:t>správania zamestnancov na všetkých úrovniach a že v roku 2022 sa etické rozhodovacie procesy posilnili vykonávaním osobitných usmernení na riešenie etických dilem a prijímanie etických rozhodnutí o vonkajších činnostiach a prijímaní darov a pohostenia;</w:t>
      </w:r>
    </w:p>
    <w:p w:rsidR="006E14C6" w:rsidRPr="00C12435" w:rsidRDefault="006E14C6" w:rsidP="006E14C6">
      <w:pPr>
        <w:pStyle w:val="Default"/>
        <w:spacing w:after="240"/>
        <w:ind w:left="567" w:hanging="567"/>
        <w:rPr>
          <w:rFonts w:ascii="Times New Roman" w:hAnsi="Times New Roman" w:cs="Times New Roman"/>
          <w:bCs/>
          <w:color w:val="000000" w:themeColor="text1"/>
        </w:rPr>
      </w:pPr>
      <w:r w:rsidRPr="00C12435">
        <w:rPr>
          <w:rFonts w:ascii="Times New Roman" w:hAnsi="Times New Roman"/>
          <w:color w:val="000000" w:themeColor="text1"/>
        </w:rPr>
        <w:t xml:space="preserve">44. </w:t>
      </w:r>
      <w:r w:rsidRPr="00C12435">
        <w:rPr>
          <w:rFonts w:ascii="Times New Roman" w:hAnsi="Times New Roman"/>
          <w:color w:val="000000" w:themeColor="text1"/>
        </w:rPr>
        <w:tab/>
        <w:t>konštatuje, že pre zamestnancov Európskej prokuratúry sa organizujú pravidelné školenia (dvakrát mesačne) o etickom rámci Európskej prokuratúry, kódexe dobrého úradného postupu a stratégii boja proti podvodom a že v roku 2022 bol uverejnený osobitný intranetový oddiel o etickom rámci Európskej prokuratúry; v tejto súvislosti poznamenáva, že súčasná účasť zamestnancov na kurzoch zameraných na zvyšovanie informovanosti sa javí obmedzená (v roku 2022 sa na kurzoch odbornej prípravy zúčastnilo celkovo 69 zamestnancov); žiada Európsku prokuratúru, aby preskúmala realizovateľné možnosti zamerané na zvýšenie účasti; vyjadruje poľutovanie nad tým, že sa ešte nezačal prieskum, ktorého cieľom je zvýšiť informovanosť zamestnancov o etike, a nabáda Európsku prokuratúru, aby zintenzívnila dialóg so zamestnancami prostredníctvom prieskumov a podpory ich účasti na pravidelných všeobecných zhromaždeniach;</w:t>
      </w:r>
    </w:p>
    <w:p w:rsidR="006E14C6" w:rsidRPr="00C12435" w:rsidRDefault="006E14C6" w:rsidP="006E14C6">
      <w:pPr>
        <w:pStyle w:val="NormalHanging12a"/>
        <w:rPr>
          <w:szCs w:val="24"/>
        </w:rPr>
      </w:pPr>
      <w:r w:rsidRPr="00C12435">
        <w:t>45.</w:t>
      </w:r>
      <w:r w:rsidRPr="00C12435">
        <w:tab/>
        <w:t>konštatuje, že v roku 2022 neboli zistené žiadne existujúce prípady konfliktu záujmov; víta politiku v oblasti konfliktu záujmov, ktorá sa v súčasnosti pripravuje; konštatuje, že pre členov kolégia Európskej prokuratúry, EDPS a zamestnancov operačného oddelenia boli stanovené osobitné pravidlá týkajúce sa konfliktu záujmov; poznamenáva, že v kódexe profesijných noriem pre zamestnancov Európskej prokuratúry zodpovedných za plnenie rozpočtu a v listine úloh a povinností povoľujúcich úradníkov vymenovaných delegovaním sa stanovujú pravidlá uplatniteľné v situáciách možných konfliktov záujmov; konštatuje však, že hoci Európska prokuratúra dodržiava všeobecné ustanovenie článku 16 služobného poriadku, neprijala cielenú politiku týkajúcu sa efektu otáčavých dverí; vyzýva Európsku prokuratúru, aby takúto politiku prijala;</w:t>
      </w:r>
    </w:p>
    <w:p w:rsidR="006E14C6" w:rsidRPr="00C12435" w:rsidRDefault="006E14C6" w:rsidP="006E14C6">
      <w:pPr>
        <w:pStyle w:val="Default"/>
        <w:spacing w:after="240"/>
        <w:ind w:left="567" w:hanging="567"/>
        <w:rPr>
          <w:rFonts w:ascii="Times New Roman" w:hAnsi="Times New Roman" w:cs="Times New Roman"/>
          <w:color w:val="000000" w:themeColor="text1"/>
        </w:rPr>
      </w:pPr>
      <w:r w:rsidRPr="00C12435">
        <w:rPr>
          <w:rFonts w:ascii="Times New Roman" w:hAnsi="Times New Roman"/>
          <w:color w:val="000000" w:themeColor="text1"/>
        </w:rPr>
        <w:t xml:space="preserve">46. </w:t>
      </w:r>
      <w:r w:rsidRPr="00C12435">
        <w:rPr>
          <w:rFonts w:ascii="Times New Roman" w:hAnsi="Times New Roman"/>
          <w:color w:val="000000" w:themeColor="text1"/>
        </w:rPr>
        <w:tab/>
        <w:t>konštatuje, že v roku 2022 pracovník vnútornej kontroly Európskej prokuratúry preskúmal akčný plán stratégie Európskej prokuratúry pre boj proti podvodom na roky 2021 – 2022, v nadväznosti na ktorý bola 1. marca 2023 prijatá aktualizovaná verzia (stratégia boja proti podvodom na roky 2023 – 2025), ktorá sa zameriava na nedostatky a vznikajúce riziká zistené počas prvého roka vykonávania;</w:t>
      </w:r>
    </w:p>
    <w:p w:rsidR="006E14C6" w:rsidRPr="00C12435" w:rsidRDefault="006E14C6" w:rsidP="006E14C6">
      <w:pPr>
        <w:pStyle w:val="NormalHanging12a"/>
        <w:rPr>
          <w:szCs w:val="24"/>
        </w:rPr>
      </w:pPr>
      <w:r w:rsidRPr="00C12435">
        <w:t>47.</w:t>
      </w:r>
      <w:r w:rsidRPr="00C12435">
        <w:tab/>
        <w:t>zdôrazňuje, že osobitný postup na oznamovanie protispoločenskej činnosti a boj proti odvetným opatreniam ešte nie je formalizovaný, hoci sa vypracúval v roku 2023, a že v súčasnosti sa v rozpočtových pravidlách Európskej prokuratúry uvádzajú pokyny týkajúce sa opatrení, ktoré majú zamestnanci alebo iní úradníci vrátane národných expertov vyslaných do Európskej prokuratúry dodržiavať; zdôrazňuje, že politika oznamovania protispoločenskej činnosti a boja proti odvetným opatreniam by sa mala čo najskôr formalizovať, aby sa zabezpečilo bezpečné a chránené pracovisko; naliehavo vyzýva, aby bol takýto mechanizmus starostlivo naplánovaný a štruktúrovaný tak, aby sa oddelili skutoční oznamovatelia od tých, ktorí vznášajú falošné obvinenia; tvrdí, že by sa mala zabezpečiť ochrana pre tých, ktorí sú neprávom obvinení alebo ohováraní, a nabáda na vypracovanie noriem podobných tým, ktoré v tejto súvislosti uplatňujú iné inštitúcie Únie;</w:t>
      </w:r>
    </w:p>
    <w:p w:rsidR="006E14C6" w:rsidRPr="00C12435" w:rsidRDefault="006E14C6" w:rsidP="006E14C6">
      <w:pPr>
        <w:pStyle w:val="NormalHanging12a"/>
        <w:rPr>
          <w:szCs w:val="24"/>
        </w:rPr>
      </w:pPr>
      <w:r w:rsidRPr="00C12435">
        <w:rPr>
          <w:b/>
          <w:i/>
        </w:rPr>
        <w:t>Digitalizácia, kybernetická bezpečnosť a ochrana údajov</w:t>
      </w:r>
    </w:p>
    <w:p w:rsidR="006E14C6" w:rsidRPr="00C12435" w:rsidRDefault="006E14C6" w:rsidP="006E14C6">
      <w:pPr>
        <w:pStyle w:val="Default"/>
        <w:spacing w:after="240"/>
        <w:ind w:left="567" w:hanging="567"/>
        <w:rPr>
          <w:rFonts w:ascii="Times New Roman" w:hAnsi="Times New Roman" w:cs="Times New Roman"/>
          <w:color w:val="000000" w:themeColor="text1"/>
        </w:rPr>
      </w:pPr>
      <w:r w:rsidRPr="00C12435">
        <w:rPr>
          <w:rFonts w:ascii="Times New Roman" w:hAnsi="Times New Roman"/>
          <w:color w:val="000000" w:themeColor="text1"/>
        </w:rPr>
        <w:t xml:space="preserve">48. </w:t>
      </w:r>
      <w:r w:rsidRPr="00C12435">
        <w:rPr>
          <w:rFonts w:ascii="Times New Roman" w:hAnsi="Times New Roman"/>
          <w:color w:val="000000" w:themeColor="text1"/>
        </w:rPr>
        <w:tab/>
        <w:t xml:space="preserve">chápe, že Komisia nebude môcť Európskej prokuratúre v druhej polovici roka 2024 prostredníctvom svojho Generálneho riaditeľstva pre informatiku (premenované </w:t>
      </w:r>
      <w:r w:rsidRPr="00C12435">
        <w:rPr>
          <w:rFonts w:ascii="Times New Roman" w:hAnsi="Times New Roman"/>
          <w:color w:val="000000" w:themeColor="text1"/>
        </w:rPr>
        <w:lastRenderedPageBreak/>
        <w:t>Generálne riaditeľstvo pre digitálne služby) poskytovať služby digitálneho pracoviska, a to z dôvodu zmeny informačných systémov Komisie a politiky v oblasti IT, ktorá obmedzuje poskytovanie služieb digitálneho pracoviska len na útvary Komisie; konštatuje, že Európska prokuratúra chcela pôvodne uprednostniť zdroje na vytváranie a fungovanie základných digitálnych služieb spojených s jej operačnými činnosťami, ako je jej systém správy prípadov, pričom uznáva, že digitálne služby Európskej prokuratúry, ktoré sa aspoň čiastočne líšia od digitálnych služieb Komisie, by si v strednodobom horizonte vyžadovali individuálny prístup; konštatuje, že zamýšľané prerušenie služieb zo strany Komisie by mohlo vytvoriť ďalší problém pre organizáciu Európskej prokuratúry v kľúčovej fáze konsolidácie jej zriadenia; vyzýva Komisiu, aby uľahčila prechod Európskej prokuratúry na uspokojivú úroveň digitálnej autonómie v rámci jej základných služieb;</w:t>
      </w:r>
    </w:p>
    <w:p w:rsidR="006E14C6" w:rsidRPr="00C12435" w:rsidRDefault="006E14C6" w:rsidP="006E14C6">
      <w:pPr>
        <w:pStyle w:val="NormalHanging12a"/>
        <w:rPr>
          <w:szCs w:val="24"/>
        </w:rPr>
      </w:pPr>
      <w:r w:rsidRPr="00C12435">
        <w:t>49.</w:t>
      </w:r>
      <w:r w:rsidRPr="00C12435">
        <w:tab/>
        <w:t>dôrazne vyzýva, aby sa poskytovanie IT služieb Komisie neprerušilo, kým Európska prokuratúra nebude mať spoľahlivý IT systém, aby sa zabránilo strate údajov, najmä vyšetrovacích spisov; zdôrazňuje, že v tejto oblasti je potrebná jasná komunikácia a prevádzková koordinácia na najvyššej úrovni medzi Komisiou a Európskou prokuratúrou; zdôrazňuje, že plynulý a nepretržitý prechod medzi systémami je kľúčový pre kontinuitu pracovných postupov, spoľahlivosť údajov a fungujúce prevádzkové štruktúry;</w:t>
      </w:r>
    </w:p>
    <w:p w:rsidR="006E14C6" w:rsidRPr="00C12435" w:rsidRDefault="006E14C6" w:rsidP="006E14C6">
      <w:pPr>
        <w:pStyle w:val="NormalHanging12a"/>
        <w:rPr>
          <w:szCs w:val="24"/>
        </w:rPr>
      </w:pPr>
      <w:r w:rsidRPr="00C12435">
        <w:t>50.</w:t>
      </w:r>
      <w:r w:rsidRPr="00C12435">
        <w:tab/>
        <w:t>konštatuje, že Európska prokuratúra naráža na prekážky súvisiace so spracovaním nedigitalizovaných dokumentov, ktoré v rámci vyšetrovania zhromažďujú vnútroštátne orgány a súkromné strany; vyzýva členské štáty, aby digitalizovali svoje dokumenty a postupy, čo by Európskej prokuratúre umožnilo zvýšiť si nákladovú efektívnosť;</w:t>
      </w:r>
    </w:p>
    <w:p w:rsidR="006E14C6" w:rsidRPr="00C12435" w:rsidRDefault="006E14C6" w:rsidP="006E14C6">
      <w:pPr>
        <w:pStyle w:val="NormalHanging12a"/>
        <w:rPr>
          <w:color w:val="000000" w:themeColor="text1"/>
          <w:szCs w:val="24"/>
        </w:rPr>
      </w:pPr>
      <w:r w:rsidRPr="00C12435">
        <w:rPr>
          <w:color w:val="000000" w:themeColor="text1"/>
        </w:rPr>
        <w:t xml:space="preserve">51. </w:t>
      </w:r>
      <w:r w:rsidRPr="00C12435">
        <w:rPr>
          <w:color w:val="000000" w:themeColor="text1"/>
        </w:rPr>
        <w:tab/>
        <w:t>chápe, že súčasnou výzvou v oblasti digitalizácie je zlepšenie automatizovaných vyhľadávaní a úloh s cieľom zvýšiť výkonnosť a použiteľnosť systému správy prípadov Európskej prokuratúry, ktorý je nevyhnutný na to, aby Európska prokuratúra získala celkový prehľad o zločineckých sieťach a identifikovala prepojenia medzi prípadmi; konštatuje, že na zabezpečenie efektívnej reakcie na zvýšené fyzické a kybernetické hrozby pre ústredné a decentralizované úrovne Európskej prokuratúry treba znížiť outsourcing a posilniť bezpečnosť;</w:t>
      </w:r>
    </w:p>
    <w:p w:rsidR="006E14C6" w:rsidRPr="00C12435" w:rsidRDefault="006E14C6" w:rsidP="006E14C6">
      <w:pPr>
        <w:pStyle w:val="NormalHanging12a"/>
        <w:rPr>
          <w:color w:val="000000" w:themeColor="text1"/>
          <w:szCs w:val="24"/>
        </w:rPr>
      </w:pPr>
      <w:r w:rsidRPr="00C12435">
        <w:rPr>
          <w:color w:val="000000" w:themeColor="text1"/>
        </w:rPr>
        <w:t xml:space="preserve">52. </w:t>
      </w:r>
      <w:r w:rsidRPr="00C12435">
        <w:rPr>
          <w:color w:val="000000" w:themeColor="text1"/>
        </w:rPr>
        <w:tab/>
        <w:t xml:space="preserve">berie na vedomie zvýšený rozpočet investovaný do IT projektov v roku 2022 (11,3 milióna EUR oproti 6,1 milióna EUR v roku 2021 v období finančnej autonómie); oceňuje najmä pozornosť venovanú zriadeniu a vykonávaniu systému správy prípadov Európskej prokuratúry, od ktorého sa očakáva, že zabezpečí </w:t>
      </w:r>
      <w:proofErr w:type="spellStart"/>
      <w:r w:rsidRPr="00C12435">
        <w:rPr>
          <w:color w:val="000000" w:themeColor="text1"/>
        </w:rPr>
        <w:t>interoperabilitu</w:t>
      </w:r>
      <w:proofErr w:type="spellEnd"/>
      <w:r w:rsidRPr="00C12435">
        <w:rPr>
          <w:color w:val="000000" w:themeColor="text1"/>
        </w:rPr>
        <w:t xml:space="preserve"> s 22 členskými štátmi;</w:t>
      </w:r>
      <w:r w:rsidRPr="00C12435">
        <w:rPr>
          <w:color w:val="0000FF"/>
        </w:rPr>
        <w:t xml:space="preserve"> </w:t>
      </w:r>
      <w:r w:rsidRPr="00C12435">
        <w:rPr>
          <w:color w:val="000000" w:themeColor="text1"/>
        </w:rPr>
        <w:t xml:space="preserve">chápe, že efektívnosť existujúcich nástrojov z hľadiska </w:t>
      </w:r>
      <w:proofErr w:type="spellStart"/>
      <w:r w:rsidRPr="00C12435">
        <w:rPr>
          <w:color w:val="000000" w:themeColor="text1"/>
        </w:rPr>
        <w:t>interoperability</w:t>
      </w:r>
      <w:proofErr w:type="spellEnd"/>
      <w:r w:rsidRPr="00C12435">
        <w:rPr>
          <w:color w:val="000000" w:themeColor="text1"/>
        </w:rPr>
        <w:t xml:space="preserve"> nie je optimálna a že iba prijatie minimálnych spoločných dohôd o výmene údajov a zavedenie nástrojov justičnej </w:t>
      </w:r>
      <w:proofErr w:type="spellStart"/>
      <w:r w:rsidRPr="00C12435">
        <w:rPr>
          <w:color w:val="000000" w:themeColor="text1"/>
        </w:rPr>
        <w:t>interoperability</w:t>
      </w:r>
      <w:proofErr w:type="spellEnd"/>
      <w:r w:rsidRPr="00C12435">
        <w:rPr>
          <w:color w:val="000000" w:themeColor="text1"/>
        </w:rPr>
        <w:t xml:space="preserve"> umožní účinnú výmenu informácií a spoluprácu prostredníctvom rôznych platforiem, ktoré budú používať jednotlivé členské štáty; nabáda Európsku prokuratúru, aby pokračovala v koordinácii s členskými štátmi a v spolupráci s príslušnými inštitúciami, orgánmi, úradmi a agentúrami pri navrhovaní spoločného modelu výmeny informácií, keďže v súčasnosti je pozitívna a negatívna lustrácia založená na dvojstranných modeloch;</w:t>
      </w:r>
    </w:p>
    <w:p w:rsidR="006E14C6" w:rsidRPr="00C12435" w:rsidRDefault="006E14C6" w:rsidP="006E14C6">
      <w:pPr>
        <w:pStyle w:val="NormalHanging12a"/>
        <w:rPr>
          <w:szCs w:val="24"/>
        </w:rPr>
      </w:pPr>
      <w:r w:rsidRPr="00C12435">
        <w:t>53.</w:t>
      </w:r>
      <w:r w:rsidRPr="00C12435">
        <w:tab/>
        <w:t xml:space="preserve">zdôrazňuje zvýšenú hrozbu pre štrukturálnu integritu Európskej prokuratúry v oblasti IT, ktorá vyplýva z agresívnosti organizovanej trestnej činnosti, proti ktorej Európska prokuratúra bojuje, a ktorá vyžaduje zvýšenie fyzickej a digitálnej bezpečnosti; podporuje zámer Európskej prokuratúry vybudovať svoje vlastné kapacity v oblasti </w:t>
      </w:r>
      <w:r w:rsidRPr="00C12435">
        <w:lastRenderedPageBreak/>
        <w:t>kybernetickej bezpečnosti s cieľom doplniť služby CERT-EU a služby GR DIGIT a spolupracovať s nimi; podporuje žiadosť Európskej prokuratúry o pridelenie dodatočných zdrojov na ochranu kybernetickej bezpečnosti; vyzýva zamestnancov Európskej prokuratúry, aby aktívne poukazovali na potrebu dodatočnej infraštruktúry kybernetickej bezpečnosti alebo odbornej prípravy týkajúcej sa kybernetickej bezpečnosti v rámci samotnej organizácie, ako aj v komunikácii s</w:t>
      </w:r>
      <w:r w:rsidR="00FD0901" w:rsidRPr="00C12435">
        <w:t> </w:t>
      </w:r>
      <w:r w:rsidR="00FD0901" w:rsidRPr="00C12435">
        <w:rPr>
          <w:color w:val="000000"/>
        </w:rPr>
        <w:t xml:space="preserve">Európskym </w:t>
      </w:r>
      <w:r w:rsidR="00FD0901" w:rsidRPr="00C12435">
        <w:t>p</w:t>
      </w:r>
      <w:r w:rsidRPr="00C12435">
        <w:t>arlamentom a Komisiou prostredníctvom príslušných kanálov;</w:t>
      </w:r>
    </w:p>
    <w:p w:rsidR="006E14C6" w:rsidRPr="00C12435" w:rsidRDefault="006E14C6" w:rsidP="006E14C6">
      <w:pPr>
        <w:pStyle w:val="NormalHanging12a"/>
        <w:rPr>
          <w:bCs/>
          <w:color w:val="000000" w:themeColor="text1"/>
          <w:szCs w:val="24"/>
        </w:rPr>
      </w:pPr>
      <w:r w:rsidRPr="00C12435">
        <w:rPr>
          <w:color w:val="000000" w:themeColor="text1"/>
        </w:rPr>
        <w:t xml:space="preserve">54. </w:t>
      </w:r>
      <w:r w:rsidRPr="00C12435">
        <w:rPr>
          <w:color w:val="000000" w:themeColor="text1"/>
        </w:rPr>
        <w:tab/>
        <w:t>oceňuje, že Európska prokuratúra vyvinula vlastný ekosystém správy prípadov, ktorého všetky zložky sú umiestnené v dátovom stredisku Európskej prokuratúry a spravujú ich zamestnanci Európskej prokuratúry, čím sa zaručuje kontrola, uchovávanie a vlastníctvo systémov a spracúvaných údajov zo strany Európskej prokuratúry;</w:t>
      </w:r>
    </w:p>
    <w:p w:rsidR="006E14C6" w:rsidRPr="00C12435" w:rsidRDefault="006E14C6" w:rsidP="006E14C6">
      <w:pPr>
        <w:pStyle w:val="NormalHanging12a"/>
        <w:rPr>
          <w:szCs w:val="24"/>
        </w:rPr>
      </w:pPr>
      <w:r w:rsidRPr="00C12435">
        <w:t>55.</w:t>
      </w:r>
      <w:r w:rsidRPr="00C12435">
        <w:tab/>
        <w:t>uznáva, že Európska prokuratúra potrebuje moderné vybavenie, kybernetickú bezpečnosť a IT systémy na riešenie čoraz zložitejších trestných činov, ktoré často zahŕňajú digitálne prvky; berie na vedomie prezentáciu Európskej prokuratúry počas služobnej cesty Výboru pre kontrolu rozpočtu v Luxemburgu v októbri 2023 o neustálom náraste počtu trestných činov s digitálnymi prvkami, ako sú aj počítačové menové podvody;</w:t>
      </w:r>
    </w:p>
    <w:p w:rsidR="006E14C6" w:rsidRPr="00C12435" w:rsidRDefault="006E14C6" w:rsidP="006E14C6">
      <w:pPr>
        <w:pStyle w:val="NormalHanging12a"/>
        <w:rPr>
          <w:b/>
          <w:i/>
          <w:szCs w:val="24"/>
        </w:rPr>
      </w:pPr>
      <w:r w:rsidRPr="00C12435">
        <w:t>56.</w:t>
      </w:r>
      <w:r w:rsidRPr="00C12435">
        <w:tab/>
        <w:t>vyzýva GR Komisie pre digitálne služby a Európsku prokuratúru, aby pre Európsku prokuratúru vytvorili ľahko identifikovateľné e-mailové adresy, ktoré nebudú zavádzajúce, pretože v súčasnosti môže byť identifikátor „ext.ec“ v e-mailových adresách mätúca pre zamestnancov iných inštitúcií a v externej komunikácii, keďže týmto identifikátorom sa zvyčajne označujú len externí konzultanti a znižuje legitímnosť zamestnancov Európskej prokuratúry používajúcich e-mailovú adresu;</w:t>
      </w:r>
    </w:p>
    <w:p w:rsidR="006E14C6" w:rsidRPr="00C12435" w:rsidRDefault="006E14C6" w:rsidP="006E14C6">
      <w:pPr>
        <w:pStyle w:val="NormalHanging12a"/>
        <w:rPr>
          <w:szCs w:val="24"/>
        </w:rPr>
      </w:pPr>
      <w:r w:rsidRPr="00C12435">
        <w:t xml:space="preserve">57. </w:t>
      </w:r>
      <w:r w:rsidRPr="00C12435">
        <w:tab/>
        <w:t>nabáda útvary Európskej prokuratúry a európskych delegovaných prokurátorov, aby pokračovali vo svojej práci koordinovaným spôsobom a aby zabezpečili účinný dohľad nad spracúvaním údajov, ktoré zbierajú, a aby zároveň zaručili dodržiavanie práv jednotlivcov na ochranu údajov;</w:t>
      </w:r>
    </w:p>
    <w:p w:rsidR="006E14C6" w:rsidRPr="00C12435" w:rsidRDefault="006E14C6" w:rsidP="006E14C6">
      <w:pPr>
        <w:spacing w:after="240"/>
        <w:ind w:left="567" w:hanging="567"/>
        <w:rPr>
          <w:b/>
          <w:i/>
          <w:color w:val="000000" w:themeColor="text1"/>
          <w:szCs w:val="24"/>
        </w:rPr>
      </w:pPr>
      <w:r w:rsidRPr="00C12435">
        <w:rPr>
          <w:b/>
          <w:i/>
          <w:color w:val="000000" w:themeColor="text1"/>
        </w:rPr>
        <w:t>Budovy a bezpečnosť</w:t>
      </w:r>
    </w:p>
    <w:p w:rsidR="006E14C6" w:rsidRPr="00C12435" w:rsidRDefault="006E14C6" w:rsidP="006E14C6">
      <w:pPr>
        <w:pStyle w:val="NormalHanging12a"/>
        <w:rPr>
          <w:color w:val="000000" w:themeColor="text1"/>
          <w:szCs w:val="24"/>
        </w:rPr>
      </w:pPr>
      <w:r w:rsidRPr="00C12435">
        <w:rPr>
          <w:color w:val="000000" w:themeColor="text1"/>
        </w:rPr>
        <w:t xml:space="preserve">58. </w:t>
      </w:r>
      <w:r w:rsidRPr="00C12435">
        <w:rPr>
          <w:color w:val="000000" w:themeColor="text1"/>
        </w:rPr>
        <w:tab/>
        <w:t>víta podpísanie nájomnej zmluvy s luxemburskými orgánmi o využívaní budovy, v ktorej sa v súčasnosti nachádza ústredie Európskej prokuratúry (budova TOB), a ktorou sa formalizuje poskytovanie súčasného bezplatného prenájmu priestorov Európskej prokuratúry do 31. decembra 2029; chápe, že takáto zmluva sa môže každoročne automaticky predlžovať, pokiaľ ju niektorá zo zmluvných strán nevypovedá, pričom platí dvanásťmesačná výpovedná lehota; konštatuje, že Európska prokuratúra platí poplatok za služby vo výške 716 724 EUR ročne a jednorazové náklady na dodatočné bezpečnostné a ďalšie zariadenia požadované Európskou prokuratúrou; poukazuje na to, že v roku 2022 sa začali renovačné práce na dvoch ďalších poschodiach budovy TOB, ktoré má používať Európska prokuratúra a ktoré sa majú prispôsobiť povahe jej práce, ktorá nie je plne zlučiteľná s otvorenými priestormi a systémom hot-</w:t>
      </w:r>
      <w:proofErr w:type="spellStart"/>
      <w:r w:rsidRPr="00C12435">
        <w:rPr>
          <w:color w:val="000000" w:themeColor="text1"/>
        </w:rPr>
        <w:t>desking</w:t>
      </w:r>
      <w:proofErr w:type="spellEnd"/>
      <w:r w:rsidRPr="00C12435">
        <w:rPr>
          <w:color w:val="000000" w:themeColor="text1"/>
        </w:rPr>
        <w:t>;</w:t>
      </w:r>
    </w:p>
    <w:p w:rsidR="006E14C6" w:rsidRPr="00C12435" w:rsidRDefault="006E14C6" w:rsidP="006E14C6">
      <w:pPr>
        <w:pStyle w:val="NormalHanging12a"/>
        <w:rPr>
          <w:szCs w:val="24"/>
        </w:rPr>
      </w:pPr>
      <w:r w:rsidRPr="00C12435">
        <w:t>59.</w:t>
      </w:r>
      <w:r w:rsidRPr="00C12435">
        <w:tab/>
        <w:t xml:space="preserve">zdôrazňuje, že pokiaľ ide o fyzickú bezpečnosť, Európska prokuratúra zaviedla bezpečnostné opatrenia, vybavenie a postupy na riešenie hrozieb pre svoje priestory, majetok a personál; poukazuje na to, že viacero politík, postupov a usmernení takisto podporuje vykonávanie opatrení fyzickej bezpečnosti; v tejto súvislosti oceňuje posúdenie rizík fyzickej bezpečnosti, ktoré sa uskutočnilo v roku 2022 s cieľom </w:t>
      </w:r>
      <w:r w:rsidRPr="00C12435">
        <w:lastRenderedPageBreak/>
        <w:t>identifikovať nedostatky a riešiť ich; uvedomuje si, že Európska prokuratúra požiadala v júni 2023 o 21 ďalších pracovných miest s cieľom posilniť svoju bezpečnostnú spôsobilosť; opakuje, že túto bezpečnostnú potrebu zdôraznili aj zamestnanci Európskej prokuratúry počas služobnej cesty Výboru pre kontrolu rozpočtu v Luxembursku v októbri 2023 a že takáto žiadosť bola v novembri 2023 splnená opravným rozpočtom na 8 pracovných miest, pričom zvyšných 13 pracovných miest bude začlenených do rozpočtu na rok 2024; zdôrazňuje, že je potrebné, aby Európska prokuratúra mala naďalej primeranú časť rozpočtu pridelenú na bezpečnostné opatrenia a bezpečnostný personál s cieľom lepšie chrániť všetkých zamestnancov, najmä vzhľadom na dôverný charakter vyšetrovania prípadov podvodov na vysokej úrovni a s významným dosahom; naliehavo žiada, aby boli prokurátori a zamestnanci dostatočne chránení, aby mohli vykonávať svoju prácu v plnom rozsahu bez hrozby fyzického alebo psychického násilia a bez vonkajších vplyvov alebo nátlaku;</w:t>
      </w:r>
    </w:p>
    <w:p w:rsidR="006E14C6" w:rsidRPr="00C12435" w:rsidRDefault="006E14C6" w:rsidP="006E14C6">
      <w:pPr>
        <w:pStyle w:val="NormalHanging12a"/>
        <w:rPr>
          <w:b/>
          <w:i/>
          <w:color w:val="000000"/>
          <w:szCs w:val="24"/>
        </w:rPr>
      </w:pPr>
      <w:r w:rsidRPr="00C12435">
        <w:rPr>
          <w:b/>
          <w:i/>
          <w:color w:val="000000"/>
        </w:rPr>
        <w:t>Životné prostredie a udržateľnosť</w:t>
      </w:r>
    </w:p>
    <w:p w:rsidR="006E14C6" w:rsidRPr="00C12435" w:rsidRDefault="006E14C6" w:rsidP="006E14C6">
      <w:pPr>
        <w:pStyle w:val="NormalHanging12a"/>
        <w:ind w:left="709" w:hanging="709"/>
        <w:rPr>
          <w:color w:val="000000" w:themeColor="text1"/>
          <w:szCs w:val="24"/>
        </w:rPr>
      </w:pPr>
      <w:r w:rsidRPr="00C12435">
        <w:rPr>
          <w:color w:val="000000" w:themeColor="text1"/>
        </w:rPr>
        <w:t xml:space="preserve">60. </w:t>
      </w:r>
      <w:r w:rsidRPr="00C12435">
        <w:rPr>
          <w:color w:val="000000" w:themeColor="text1"/>
        </w:rPr>
        <w:tab/>
        <w:t>uvedomuje si, že keďže sídlo Európskej prokuratúry sa nachádza v Luxemburgu a príslušné služby zabezpečujú vnútroštátne orgány, ktoré sú zodpovedné aj za investície súvisiace s udržateľnosťou a energetickou efektívnosťou, Európska prokuratúra nepodnikla žiadne konkrétne opatrenia v oblasti energie z obnoviteľných zdrojov, ako je inštalácia solárnych panelov, dodržiavanie predpisov EMAS a kompenzácia emisií CO2;</w:t>
      </w:r>
    </w:p>
    <w:p w:rsidR="006E14C6" w:rsidRPr="00C12435" w:rsidRDefault="006E14C6" w:rsidP="006E14C6">
      <w:pPr>
        <w:pStyle w:val="NormalHanging12a"/>
        <w:ind w:left="709" w:hanging="709"/>
        <w:rPr>
          <w:color w:val="000000" w:themeColor="text1"/>
          <w:szCs w:val="24"/>
        </w:rPr>
      </w:pPr>
      <w:r w:rsidRPr="00C12435">
        <w:rPr>
          <w:color w:val="000000" w:themeColor="text1"/>
        </w:rPr>
        <w:t xml:space="preserve">61. </w:t>
      </w:r>
      <w:r w:rsidRPr="00C12435">
        <w:rPr>
          <w:color w:val="000000" w:themeColor="text1"/>
        </w:rPr>
        <w:tab/>
        <w:t>chápe, že budova TOB sa nachádza v blízkosti zastávok verejnej dopravy, a vyzýva Európsku prokuratúru, aby vychádzala zo súčasnej situácie a prijala stratégiu udržateľnej mobility svojich zamestnancov;</w:t>
      </w:r>
    </w:p>
    <w:p w:rsidR="006E14C6" w:rsidRPr="00C12435" w:rsidRDefault="006E14C6" w:rsidP="006E14C6">
      <w:pPr>
        <w:spacing w:after="240"/>
        <w:ind w:left="567" w:hanging="567"/>
        <w:rPr>
          <w:b/>
          <w:i/>
          <w:color w:val="000000"/>
          <w:szCs w:val="24"/>
        </w:rPr>
      </w:pPr>
      <w:proofErr w:type="spellStart"/>
      <w:r w:rsidRPr="00C12435">
        <w:rPr>
          <w:b/>
          <w:i/>
          <w:color w:val="000000"/>
        </w:rPr>
        <w:t>Medziinštitucionálna</w:t>
      </w:r>
      <w:proofErr w:type="spellEnd"/>
      <w:r w:rsidRPr="00C12435">
        <w:rPr>
          <w:b/>
          <w:i/>
          <w:color w:val="000000"/>
        </w:rPr>
        <w:t xml:space="preserve"> spolupráca</w:t>
      </w:r>
    </w:p>
    <w:p w:rsidR="006E14C6" w:rsidRPr="00C12435" w:rsidRDefault="006E14C6" w:rsidP="006E14C6">
      <w:pPr>
        <w:pStyle w:val="NormalHanging12a"/>
        <w:ind w:left="709" w:hanging="709"/>
        <w:rPr>
          <w:color w:val="000000" w:themeColor="text1"/>
          <w:szCs w:val="24"/>
        </w:rPr>
      </w:pPr>
      <w:r w:rsidRPr="00C12435">
        <w:rPr>
          <w:color w:val="000000" w:themeColor="text1"/>
        </w:rPr>
        <w:t xml:space="preserve">62. </w:t>
      </w:r>
      <w:r w:rsidRPr="00C12435">
        <w:rPr>
          <w:color w:val="000000" w:themeColor="text1"/>
        </w:rPr>
        <w:tab/>
        <w:t>oceňuje úsilie, ktoré Európska prokuratúra vynakladá na intenzívnu spoluprácu a koordináciu s partnermi a zainteresovanými stranami, a domnieva sa, že úloha Európskej prokuratúry ako hlavnej operačnej zložky štruktúry boja proti podvodom si vyžaduje nepretržité úsilie o komunikáciu a koordináciu s viacerými partnermi, ktorých činnosť bola navrhnutá tak, aby sa vzájomne dopĺňala;</w:t>
      </w:r>
    </w:p>
    <w:p w:rsidR="006E14C6" w:rsidRPr="00C12435" w:rsidRDefault="006E14C6" w:rsidP="006E14C6">
      <w:pPr>
        <w:pStyle w:val="NormalHanging12a"/>
        <w:ind w:left="709" w:hanging="709"/>
        <w:rPr>
          <w:b/>
          <w:i/>
          <w:szCs w:val="24"/>
        </w:rPr>
      </w:pPr>
      <w:r w:rsidRPr="00C12435">
        <w:t>63.</w:t>
      </w:r>
      <w:r w:rsidRPr="00C12435">
        <w:tab/>
        <w:t xml:space="preserve">berie na vedomie, že Európska prokuratúra uviedla, že z 3 318 oznámení o trestných činoch prijatých v roku 2022 bolo 103 od inštitúcií a orgánov Únie (55 od Európskeho úradu pre boj proti podvodom, 16 od Komisie, 9 od </w:t>
      </w:r>
      <w:proofErr w:type="spellStart"/>
      <w:r w:rsidRPr="00C12435">
        <w:t>Eurojustu</w:t>
      </w:r>
      <w:proofErr w:type="spellEnd"/>
      <w:r w:rsidRPr="00C12435">
        <w:t xml:space="preserve">, 8 od Dvora audítorov, 3 od Európskej centrálnej banky a 1 od </w:t>
      </w:r>
      <w:r w:rsidR="00FD0901" w:rsidRPr="00C12435">
        <w:rPr>
          <w:color w:val="000000"/>
        </w:rPr>
        <w:t xml:space="preserve">Európskeho </w:t>
      </w:r>
      <w:r w:rsidR="00FD0901" w:rsidRPr="00C12435">
        <w:t>p</w:t>
      </w:r>
      <w:r w:rsidRPr="00C12435">
        <w:t xml:space="preserve">arlamentu); oceňuje účinnú </w:t>
      </w:r>
      <w:proofErr w:type="spellStart"/>
      <w:r w:rsidRPr="00C12435">
        <w:t>medziinštitucionálnu</w:t>
      </w:r>
      <w:proofErr w:type="spellEnd"/>
      <w:r w:rsidRPr="00C12435">
        <w:t xml:space="preserve"> spoluprácu medzi Európskou prokuratúrou a príslušnými inštitúciami v tejto oblasti;</w:t>
      </w:r>
    </w:p>
    <w:p w:rsidR="006E14C6" w:rsidRPr="00C12435" w:rsidRDefault="006E14C6" w:rsidP="006E14C6">
      <w:pPr>
        <w:pStyle w:val="NormalHanging12a"/>
        <w:ind w:left="709" w:hanging="709"/>
        <w:rPr>
          <w:szCs w:val="24"/>
        </w:rPr>
      </w:pPr>
      <w:r w:rsidRPr="00C12435">
        <w:t>64.</w:t>
      </w:r>
      <w:r w:rsidRPr="00C12435">
        <w:tab/>
        <w:t>poukazuje na význam operačnej koordinácie a spolupráce medzi Európskou prokuratúrou a úradom OLAF s osobitným zreteľom na začatie doplňujúcich vyšetrovaní úradu OLAF a administratívnych vyšetrovaní na podporu Európskej prokuratúry; vyzýva oba úrady, aby napredovali v svojom dialógu s cieľom posilniť vzájomnú spoluprácu, a to najmä vzhľadom na potenciálne výhody z hľadiska riadneho využívania dostupných zdrojov; ďalej vyzýva Európsku prokuratúru a úrad OLAF, aby sa vyhli prekrývaniu a zdvojovaniu činností, a nabáda na lojálnu, vzájomnú a súčinnú spoluprácu pri výkone ich mandátu s cieľom maximalizovať účinnosť svojich činností;</w:t>
      </w:r>
    </w:p>
    <w:p w:rsidR="006E14C6" w:rsidRPr="00C12435" w:rsidRDefault="006E14C6" w:rsidP="006E14C6">
      <w:pPr>
        <w:pStyle w:val="NormalHanging12a"/>
        <w:ind w:left="709" w:hanging="709"/>
        <w:rPr>
          <w:szCs w:val="24"/>
        </w:rPr>
      </w:pPr>
      <w:r w:rsidRPr="00C12435">
        <w:rPr>
          <w:color w:val="000000" w:themeColor="text1"/>
        </w:rPr>
        <w:lastRenderedPageBreak/>
        <w:t xml:space="preserve">65. </w:t>
      </w:r>
      <w:r w:rsidRPr="00C12435">
        <w:rPr>
          <w:color w:val="000000" w:themeColor="text1"/>
        </w:rPr>
        <w:tab/>
      </w:r>
      <w:r w:rsidRPr="00C12435">
        <w:t xml:space="preserve">zdôrazňuje, že oznámenia Európskej prokuratúry adresované Komisii, ktoré sú stanovené v článku 103 ods. 2 nariadenia (EÚ) 2017/1939, predstavujú inovačný nástroj na ochranu rozpočtu Únie; </w:t>
      </w:r>
      <w:r w:rsidRPr="00C12435">
        <w:rPr>
          <w:color w:val="000000" w:themeColor="text1"/>
        </w:rPr>
        <w:t xml:space="preserve">konštatuje, že v tejto konkrétnej súvislosti žiadna zo strán ešte neposkytla spätnú väzbu, čo zákonodarcom bráni v tom, aby plne porozumeli základným problémom; </w:t>
      </w:r>
      <w:r w:rsidRPr="00C12435">
        <w:t>víta úsilie Európskej prokuratúry a Komisie o zlepšenie vnútorného mechanizmu na zabezpečenie zasielania takýchto oznámení a zdôrazňuje, že pracovná skupina, ktorá bola nedávno zriadená s Komisiou, by mala zabezpečiť, aby oznámenia Európskej prokuratúry na účely administratívneho vymáhania, ako sa stanovuje v článku 103 ods. 2 písm. c), Komisii riadne a účinne umožňovali maximalizovať vymáhanie prostriedkov do rozpočtu Únie pri súčasnom dodržiavaní dôvernosti a riadneho vykonávania vyšetrovacích opatrení; trvá na tom, že výročné schôdze týkajúce sa vykonávania dohody o pracovných podmienkach uzavretej medzi Komisiou a Európskou prokuratúrou by sa mali zamerať na koordináciu prijímania ochranných a nápravných opatrení na ochranu rozpočtu Únie;</w:t>
      </w:r>
      <w:r w:rsidRPr="00C12435">
        <w:rPr>
          <w:color w:val="000000" w:themeColor="text1"/>
        </w:rPr>
        <w:t xml:space="preserve"> vyzýva Európsku prokuratúru, aby delegovaným prokurátorom v členských štátoch pomáhala v ich úsilí zameranom na podporu opatrení Komisie, ktoré sú určené na ochranu rozpočtu Únie; opätovne žiada Európsku prokuratúru aj Komisiu, aby o tejto konkrétnej záležitosti podali správu;</w:t>
      </w:r>
    </w:p>
    <w:p w:rsidR="006E14C6" w:rsidRPr="00C12435" w:rsidRDefault="006E14C6" w:rsidP="006E14C6">
      <w:pPr>
        <w:pStyle w:val="NormalHanging12a"/>
        <w:ind w:left="709" w:hanging="709"/>
        <w:rPr>
          <w:color w:val="000000" w:themeColor="text1"/>
          <w:szCs w:val="24"/>
        </w:rPr>
      </w:pPr>
      <w:r w:rsidRPr="00C12435">
        <w:rPr>
          <w:color w:val="000000" w:themeColor="text1"/>
        </w:rPr>
        <w:t xml:space="preserve">66. </w:t>
      </w:r>
      <w:r w:rsidRPr="00C12435">
        <w:rPr>
          <w:color w:val="000000" w:themeColor="text1"/>
        </w:rPr>
        <w:tab/>
        <w:t xml:space="preserve">poznamenáva, že Európska prokuratúra podpísala dohody o pracovných podmienkach a pracovné dohody so svojimi hlavnými partnermi, ktorými sú </w:t>
      </w:r>
      <w:proofErr w:type="spellStart"/>
      <w:r w:rsidRPr="00C12435">
        <w:rPr>
          <w:color w:val="000000" w:themeColor="text1"/>
        </w:rPr>
        <w:t>Europol</w:t>
      </w:r>
      <w:proofErr w:type="spellEnd"/>
      <w:r w:rsidRPr="00C12435">
        <w:rPr>
          <w:color w:val="000000" w:themeColor="text1"/>
        </w:rPr>
        <w:t xml:space="preserve">, </w:t>
      </w:r>
      <w:proofErr w:type="spellStart"/>
      <w:r w:rsidRPr="00C12435">
        <w:rPr>
          <w:color w:val="000000" w:themeColor="text1"/>
        </w:rPr>
        <w:t>Eurojust</w:t>
      </w:r>
      <w:proofErr w:type="spellEnd"/>
      <w:r w:rsidRPr="00C12435">
        <w:rPr>
          <w:color w:val="000000" w:themeColor="text1"/>
        </w:rPr>
        <w:t>, OLAF, Komisia, Dvor audítorov a skupina EIB, v oblasti prevencie, odhaľovania, analýzy a intervencie; chápe, že Európska prokuratúra buduje internú kapacitu na podporu svojej práce súvisiacej s analýzou jednotlivých prípadov; nabáda Európsku prokuratúru a jej partnerov, aby posilnili spoluprácu a vychádzali zo súboru už testovaných spôsobilostí a skúseností, a zabránili tak duplicite a odchýleniu pozornosti od hlavného mandátu každej zložky štruktúry boja proti podvodom a optimalizovali využívanie dostupných zdrojov;</w:t>
      </w:r>
    </w:p>
    <w:p w:rsidR="006E14C6" w:rsidRPr="00C12435" w:rsidRDefault="006E14C6" w:rsidP="006E14C6">
      <w:pPr>
        <w:pStyle w:val="NormalHanging12a"/>
        <w:ind w:left="709" w:hanging="709"/>
        <w:rPr>
          <w:b/>
          <w:i/>
          <w:szCs w:val="24"/>
        </w:rPr>
      </w:pPr>
      <w:r w:rsidRPr="00C12435">
        <w:t>67.</w:t>
      </w:r>
      <w:r w:rsidRPr="00C12435">
        <w:tab/>
        <w:t>vzhľadom na veľký počet prebiehajúcich vyšetrovaní týkajúcich sa finančných prostriedkov z Mechanizmu na podporu obnovy a odolnosti nabáda Európsku prokuratúru, aby informovala Komisiu o náraste počtu prebiehajúcich vyšetrovaní týkajúcich sa tohto nástroja; nabáda Európsku prokuratúru, aby informovala Komisiu, najmä pracovnú skupinu pre obnovu a odolnosť, aj o možných nedostatkoch v dohľade alebo kontrole alebo o trendoch v podvodoch v prebiehajúcich vyšetrovaniach týkajúcich sa Mechanizmu na podporu obnovy a odolnosti, aby tak Komisia mohla aktualizovať nástroje a mechanizmy pri monitorovaní výkonnosti a pri oznamovaní nedostatkov členským štátom s cieľom zabrániť budúcim podvodom; pripomína všetkým aktérom, že finančné prostriedky Mechanizmu na podporu obnovy a odolnosti sú európske, a nie vnútroštátne finančné prostriedky a patria do právomoci Európskej prokuratúry;</w:t>
      </w:r>
    </w:p>
    <w:p w:rsidR="006E14C6" w:rsidRPr="00C12435" w:rsidRDefault="006E14C6" w:rsidP="006E14C6">
      <w:pPr>
        <w:pStyle w:val="NormalHanging12a"/>
        <w:ind w:left="709" w:hanging="709"/>
        <w:rPr>
          <w:bCs/>
          <w:color w:val="000000" w:themeColor="text1"/>
          <w:szCs w:val="24"/>
        </w:rPr>
      </w:pPr>
      <w:r w:rsidRPr="00C12435">
        <w:rPr>
          <w:color w:val="000000" w:themeColor="text1"/>
        </w:rPr>
        <w:t>68.</w:t>
      </w:r>
      <w:r w:rsidRPr="00C12435">
        <w:rPr>
          <w:color w:val="000000" w:themeColor="text1"/>
        </w:rPr>
        <w:tab/>
        <w:t>chápe, že rokovania s</w:t>
      </w:r>
      <w:r w:rsidR="00FD0901" w:rsidRPr="00C12435">
        <w:rPr>
          <w:color w:val="000000" w:themeColor="text1"/>
        </w:rPr>
        <w:t> </w:t>
      </w:r>
      <w:r w:rsidR="00FD0901" w:rsidRPr="00C12435">
        <w:rPr>
          <w:color w:val="000000"/>
        </w:rPr>
        <w:t xml:space="preserve">Európskym </w:t>
      </w:r>
      <w:r w:rsidR="00FD0901" w:rsidRPr="00C12435">
        <w:rPr>
          <w:color w:val="000000" w:themeColor="text1"/>
        </w:rPr>
        <w:t>p</w:t>
      </w:r>
      <w:r w:rsidRPr="00C12435">
        <w:rPr>
          <w:color w:val="000000" w:themeColor="text1"/>
        </w:rPr>
        <w:t xml:space="preserve">arlamentom o aktualizácii pracovných podmienok stále prebiehajú; domnieva sa, že táto situácia by mohla umožniť preskúmanie nových príležitostí na komunikáciu a spoluprácu medzi Európskou prokuratúrou a príslušnými výbormi </w:t>
      </w:r>
      <w:r w:rsidR="00FD0901" w:rsidRPr="00C12435">
        <w:rPr>
          <w:color w:val="000000"/>
        </w:rPr>
        <w:t xml:space="preserve">Európskeho </w:t>
      </w:r>
      <w:r w:rsidR="00FD0901" w:rsidRPr="00C12435">
        <w:rPr>
          <w:color w:val="000000" w:themeColor="text1"/>
        </w:rPr>
        <w:t>p</w:t>
      </w:r>
      <w:r w:rsidRPr="00C12435">
        <w:rPr>
          <w:color w:val="000000" w:themeColor="text1"/>
        </w:rPr>
        <w:t>arlamentu;</w:t>
      </w:r>
    </w:p>
    <w:p w:rsidR="006E14C6" w:rsidRPr="00C12435" w:rsidRDefault="006E14C6" w:rsidP="006E14C6">
      <w:pPr>
        <w:pStyle w:val="NormalHanging12a"/>
        <w:ind w:left="709" w:hanging="709"/>
        <w:rPr>
          <w:szCs w:val="24"/>
        </w:rPr>
      </w:pPr>
      <w:r w:rsidRPr="00C12435">
        <w:t>69.</w:t>
      </w:r>
      <w:r w:rsidRPr="00C12435">
        <w:tab/>
        <w:t xml:space="preserve">vyjadruje poľutovanie nad nedostatočným úsilím Európskej prokuratúry pri vybavovaní žiadostí o zbavenie imunity, ktoré boli predložené </w:t>
      </w:r>
      <w:r w:rsidR="00FD0901" w:rsidRPr="00C12435">
        <w:rPr>
          <w:color w:val="000000"/>
        </w:rPr>
        <w:t xml:space="preserve">Európskemu </w:t>
      </w:r>
      <w:r w:rsidR="00FD0901" w:rsidRPr="00C12435">
        <w:t>p</w:t>
      </w:r>
      <w:r w:rsidRPr="00C12435">
        <w:t>arlamentu v roku 2022;</w:t>
      </w:r>
    </w:p>
    <w:p w:rsidR="006E14C6" w:rsidRPr="00C12435" w:rsidRDefault="006E14C6" w:rsidP="006E14C6">
      <w:pPr>
        <w:pStyle w:val="NormalHanging12a"/>
        <w:ind w:left="709" w:hanging="709"/>
        <w:rPr>
          <w:szCs w:val="24"/>
        </w:rPr>
      </w:pPr>
      <w:r w:rsidRPr="00C12435">
        <w:lastRenderedPageBreak/>
        <w:t>70.</w:t>
      </w:r>
      <w:r w:rsidRPr="00C12435">
        <w:tab/>
        <w:t>pripomína, že bola zriadená len nedávno, ale napriek tomu ju vyzýva, aby sa v rámci oficiálnych vzťahov, ktoré má rozvíjať s vnútroštátnymi inštitúciami a inštitúciami Únie, oboznamovala s rôznymi postupmi, ktoré uplatňujú, a aby sa nimi riadila, pričom by mala zabezpečiť, aby to neovplyvnilo jej postavenie a úlohy.</w:t>
      </w:r>
    </w:p>
    <w:p w:rsidR="006E14C6" w:rsidRPr="00C12435" w:rsidRDefault="006E14C6" w:rsidP="006E14C6">
      <w:pPr>
        <w:pStyle w:val="NormalHanging12a"/>
        <w:ind w:left="709" w:hanging="709"/>
        <w:rPr>
          <w:bCs/>
          <w:color w:val="000000" w:themeColor="text1"/>
          <w:szCs w:val="24"/>
        </w:rPr>
      </w:pPr>
      <w:r w:rsidRPr="00C12435">
        <w:rPr>
          <w:color w:val="000000" w:themeColor="text1"/>
        </w:rPr>
        <w:t>71.</w:t>
      </w:r>
      <w:r w:rsidRPr="00C12435">
        <w:rPr>
          <w:color w:val="0000FF"/>
        </w:rPr>
        <w:tab/>
      </w:r>
      <w:r w:rsidRPr="00C12435">
        <w:t>konštatuje, že v roku 2022 podpísala Európska prokuratúra 20 dohôd o úrovni poskytovaných služieb alebo memoránd o porozumení s inými inštitúciami a orgánmi Únie, čo umožnilo maximalizáciu rozpočtových úspor zo zavedených zmluvných nástrojov v súlade so zásadami správneho finančného riadenia;</w:t>
      </w:r>
    </w:p>
    <w:p w:rsidR="006E14C6" w:rsidRPr="00C12435" w:rsidRDefault="006E14C6" w:rsidP="006E14C6">
      <w:pPr>
        <w:pStyle w:val="NormalHanging12a"/>
        <w:ind w:left="709" w:hanging="709"/>
        <w:rPr>
          <w:szCs w:val="24"/>
        </w:rPr>
      </w:pPr>
      <w:r w:rsidRPr="00C12435">
        <w:t>72.</w:t>
      </w:r>
      <w:r w:rsidRPr="00C12435">
        <w:tab/>
        <w:t xml:space="preserve">zdôrazňuje význam nadviazania produktívneho dialógu s nezúčastnenými členskými štátmi s cieľom </w:t>
      </w:r>
      <w:proofErr w:type="spellStart"/>
      <w:r w:rsidRPr="00C12435">
        <w:t>vyrokovať</w:t>
      </w:r>
      <w:proofErr w:type="spellEnd"/>
      <w:r w:rsidRPr="00C12435">
        <w:t xml:space="preserve"> s nimi účinné dohody o pracovných podmienkach; konštatuje, že v roku 2022 bolo päť nezúčastnených členských štátov zapojených do 86 vyšetrovaní Európskej prokuratúry (v porovnaní so 48 vyšetrovaniami v roku 2021);</w:t>
      </w:r>
    </w:p>
    <w:p w:rsidR="006E14C6" w:rsidRPr="00C12435" w:rsidRDefault="006E14C6" w:rsidP="006E14C6">
      <w:pPr>
        <w:pStyle w:val="NormalHanging12a"/>
        <w:ind w:left="709" w:hanging="709"/>
        <w:rPr>
          <w:szCs w:val="24"/>
        </w:rPr>
      </w:pPr>
      <w:r w:rsidRPr="00C12435">
        <w:t>73.</w:t>
      </w:r>
      <w:r w:rsidRPr="00C12435">
        <w:tab/>
        <w:t>konštatuje, že spolupráca s Dánskom, Maďarskom a Švédskom založená na príslušných aktoch Únie o justičnej spolupráci v trestných veciach funguje bez problémov, aj keď iným tempom ako v prípade zúčastnených krajín; konštatuje, že s Poľskom sa sfinalizovala dohoda o pracovných podmienkach na technickej úrovni, ale nebola podpísaná v roku 2022, pretože zmeny poľského trestného poriadku (uznávajúce Európsku prokuratúru ako príslušný orgán pre relevantné nástroje Únie v oblasti justičnej spolupráce v trestných veciach) nadobudli účinnosť až 27. decembra 2022; poznamenáva, že to viedlo aj k tomu, že Európska prokuratúra v súlade s nariadením o podmienenosti informovala Komisiu o systematicky nedostatočnej spolupráci zo strany Poľska v rokoch 2021 a 2022 a jej priamom negatívnom vplyve na schopnosť Európskej prokuratúry chrániť rozpočet Únie prostredníctvom vyšetrovania trestných činov a trestného stíhania; dôrazne preto víta začatie procesu pristúpenia k Európskej prokuratúre v nadväznosti na žiadosti predložené novou poľskou vládou v decembri 2023 a Švédskom, ako bolo oznámené v januári 2024, a je presvedčený, že Švédsko a Poľsko, ktoré sa stanú členmi Európskej prokuratúry, posilnia celkovú ochranu finančných záujmov Únie;</w:t>
      </w:r>
    </w:p>
    <w:p w:rsidR="006E14C6" w:rsidRPr="00C12435" w:rsidRDefault="006E14C6" w:rsidP="006E14C6">
      <w:pPr>
        <w:pStyle w:val="NormalHanging12a"/>
        <w:ind w:left="709" w:hanging="709"/>
        <w:rPr>
          <w:szCs w:val="24"/>
        </w:rPr>
      </w:pPr>
      <w:r w:rsidRPr="00C12435">
        <w:t>74.</w:t>
      </w:r>
      <w:r w:rsidRPr="00C12435">
        <w:tab/>
        <w:t>vyjadruje poľutovanie nad tým, že írske orgány v roku 2022 odmietli spolupracovať s Európskou prokuratúrou a vybaviť niekoľko žiadostí o vzájomnú právnu pomoc, ktoré zaslali európski delegovaní prokurátori, s odvolaním sa na nedostatočný právny základ; konštatuje, že to viedlo aj k tomu, že Európska prokuratúra podala správu o tejto situácii Komisii v súlade s nariadením o podmienenosti; víta však nedávne rozhodnutie írskych orgánov, že zmenia svoje vnútroštátne právne predpisy, ktorými sa stanovuje právny rámec pre vzájomnú právnu pomoc Európskej prokuratúre;</w:t>
      </w:r>
    </w:p>
    <w:p w:rsidR="006E14C6" w:rsidRPr="00C12435" w:rsidRDefault="006E14C6" w:rsidP="006E14C6">
      <w:pPr>
        <w:pStyle w:val="NormalHanging12a"/>
        <w:ind w:left="709" w:hanging="709"/>
        <w:rPr>
          <w:color w:val="000000" w:themeColor="text1"/>
          <w:szCs w:val="24"/>
        </w:rPr>
      </w:pPr>
      <w:r w:rsidRPr="00C12435">
        <w:rPr>
          <w:color w:val="000000" w:themeColor="text1"/>
        </w:rPr>
        <w:t>75.</w:t>
      </w:r>
      <w:r w:rsidRPr="00C12435">
        <w:rPr>
          <w:color w:val="000000" w:themeColor="text1"/>
        </w:rPr>
        <w:tab/>
        <w:t>opakuje, že v dôsledku nedostatočnej spolupráce s Európskou prokuratúrou zo strany ktoréhokoľvek členského štátu, ktorý sa zúčastňuje alebo nezúčastňuje na posilnenej spolupráci, hrozí riziko vzniku medzier v systéme imunít a výsad, v dôsledku čoho je ochrana finančných záujmov Únie v najlepšom prípade nerovnomerná a neefektívna; vyzýva Komisiu a dotknuté členské štáty, aby vynaložili maximálne úsilie na začlenenie súčasného scenára s niekoľkými, ale stále veľmi dôležitými chýbajúcimi prvkami, a podporili tak rozšírenie účasti ďalších stále nezúčastnených členských štátov v Európskej prokuratúre takým spôsobom, ktorý ešte účinnejšie ochráni rozpočet Únie a členských štátov;</w:t>
      </w:r>
    </w:p>
    <w:p w:rsidR="006E14C6" w:rsidRPr="00C12435" w:rsidRDefault="006E14C6" w:rsidP="006E14C6">
      <w:pPr>
        <w:pStyle w:val="NormalHanging12a"/>
        <w:ind w:left="709" w:hanging="709"/>
        <w:rPr>
          <w:color w:val="000000" w:themeColor="text1"/>
          <w:szCs w:val="24"/>
        </w:rPr>
      </w:pPr>
      <w:r w:rsidRPr="00C12435">
        <w:rPr>
          <w:color w:val="000000" w:themeColor="text1"/>
        </w:rPr>
        <w:lastRenderedPageBreak/>
        <w:t>76.</w:t>
      </w:r>
      <w:r w:rsidRPr="00C12435">
        <w:rPr>
          <w:color w:val="000000" w:themeColor="text1"/>
        </w:rPr>
        <w:tab/>
        <w:t>víta uzavretie viacerých pracovných dohôd s orgánmi z tretích krajín, najmä Ukrajiny, Albánska, Moldavska, Čiernej Hory, Gruzínska a Severného Macedónska;</w:t>
      </w:r>
    </w:p>
    <w:p w:rsidR="006E14C6" w:rsidRPr="00C12435" w:rsidRDefault="006E14C6" w:rsidP="006E14C6">
      <w:pPr>
        <w:spacing w:after="240"/>
        <w:rPr>
          <w:color w:val="000000" w:themeColor="text1"/>
          <w:szCs w:val="24"/>
        </w:rPr>
      </w:pPr>
      <w:r w:rsidRPr="00C12435">
        <w:rPr>
          <w:b/>
          <w:i/>
          <w:color w:val="000000" w:themeColor="text1"/>
        </w:rPr>
        <w:t>Komunikácia</w:t>
      </w:r>
    </w:p>
    <w:p w:rsidR="006E14C6" w:rsidRPr="00C12435" w:rsidRDefault="006E14C6" w:rsidP="006E14C6">
      <w:pPr>
        <w:pStyle w:val="Default"/>
        <w:spacing w:after="240"/>
        <w:ind w:left="709" w:hanging="709"/>
        <w:rPr>
          <w:rFonts w:ascii="Times New Roman" w:hAnsi="Times New Roman" w:cs="Times New Roman"/>
          <w:color w:val="auto"/>
        </w:rPr>
      </w:pPr>
      <w:r w:rsidRPr="00C12435">
        <w:rPr>
          <w:rFonts w:ascii="Times New Roman" w:hAnsi="Times New Roman"/>
          <w:color w:val="000000" w:themeColor="text1"/>
        </w:rPr>
        <w:t>77.</w:t>
      </w:r>
      <w:r w:rsidRPr="00C12435">
        <w:rPr>
          <w:rFonts w:ascii="Times New Roman" w:hAnsi="Times New Roman"/>
          <w:color w:val="000000" w:themeColor="text1"/>
        </w:rPr>
        <w:tab/>
        <w:t xml:space="preserve">oceňuje úsilie Európskej prokuratúry o posilnenie internej a externej komunikácie; </w:t>
      </w:r>
      <w:r w:rsidRPr="00C12435">
        <w:rPr>
          <w:rFonts w:ascii="Times New Roman" w:hAnsi="Times New Roman"/>
        </w:rPr>
        <w:t>uvedomuje si, že vnútorná komunikácia sa zlepšila s cieľom posilniť spoluprácu medzi útvarmi a uľahčiť výmenu informácií a najlepších postupov;</w:t>
      </w:r>
      <w:r w:rsidRPr="00C12435">
        <w:rPr>
          <w:rFonts w:ascii="Times New Roman" w:hAnsi="Times New Roman"/>
          <w:color w:val="auto"/>
        </w:rPr>
        <w:t xml:space="preserve"> oceňuje intenzívne opatrenia vykonávané prostredníctvom platforiem sociálnych sietí a monitoruje trendy s cieľom využiť príležitosti, ktoré ponúkajú bezplatné </w:t>
      </w:r>
      <w:proofErr w:type="spellStart"/>
      <w:r w:rsidRPr="00C12435">
        <w:rPr>
          <w:rFonts w:ascii="Times New Roman" w:hAnsi="Times New Roman"/>
          <w:color w:val="auto"/>
        </w:rPr>
        <w:t>samohosťované</w:t>
      </w:r>
      <w:proofErr w:type="spellEnd"/>
      <w:r w:rsidRPr="00C12435">
        <w:rPr>
          <w:rFonts w:ascii="Times New Roman" w:hAnsi="Times New Roman"/>
          <w:color w:val="auto"/>
        </w:rPr>
        <w:t xml:space="preserve"> platformy sociálnych sietí s otvoreným zdrojovým kódom;</w:t>
      </w:r>
    </w:p>
    <w:p w:rsidR="006E14C6" w:rsidRPr="00C12435" w:rsidRDefault="006E14C6" w:rsidP="006E14C6">
      <w:pPr>
        <w:pStyle w:val="Default"/>
        <w:spacing w:after="240"/>
        <w:ind w:left="709" w:hanging="709"/>
        <w:rPr>
          <w:rFonts w:ascii="Times New Roman" w:hAnsi="Times New Roman" w:cs="Times New Roman"/>
        </w:rPr>
      </w:pPr>
      <w:r w:rsidRPr="00C12435">
        <w:rPr>
          <w:rFonts w:ascii="Times New Roman" w:hAnsi="Times New Roman"/>
        </w:rPr>
        <w:t>78.</w:t>
      </w:r>
      <w:r w:rsidRPr="00C12435">
        <w:rPr>
          <w:rFonts w:ascii="Times New Roman" w:hAnsi="Times New Roman"/>
        </w:rPr>
        <w:tab/>
        <w:t>domnieva sa, že úsilie Európskej prokuratúry pri informovaní o svojich činnostiach a zvyšovaní informovanosti daňovníkov o rozsahu jej činností je veľmi dôležité; v tejto súvislosti víta zvýšenie verejnej komunikácie a úsilie o zviditeľnenie funkcie „Oznámiť trestný čin“ na oficiálnom webovom sídle Európskej prokuratúry; žiada Európsku prokuratúru, aby jasne informovala o výsledkoch a zisteniach, a dosiahla pritom optimálnu rovnováhu medzi transparentnosťou a verejným záujmom na jednej strane a dôvernosťou a riadnym vedením vyšetrovania na strane druhej; vyzýva Európsku prokuratúru, aby zabezpečila neutrálnu komunikáciu o svojich činnostiach a aby zaistila, že všetky predtým zistené problémy sa budú primerane riešiť;</w:t>
      </w:r>
    </w:p>
    <w:p w:rsidR="006E14C6" w:rsidRPr="00C12435" w:rsidRDefault="006E14C6" w:rsidP="006E14C6">
      <w:pPr>
        <w:pStyle w:val="NormalHanging12a"/>
        <w:ind w:left="709" w:hanging="709"/>
        <w:rPr>
          <w:b/>
          <w:i/>
          <w:color w:val="000000" w:themeColor="text1"/>
          <w:szCs w:val="24"/>
        </w:rPr>
      </w:pPr>
      <w:r w:rsidRPr="00C12435">
        <w:rPr>
          <w:b/>
          <w:i/>
          <w:color w:val="000000" w:themeColor="text1"/>
        </w:rPr>
        <w:t>Vplyv útočnej vojny Ruska proti Ukrajine</w:t>
      </w:r>
    </w:p>
    <w:p w:rsidR="006E14C6" w:rsidRPr="00C12435" w:rsidRDefault="006E14C6" w:rsidP="006E14C6">
      <w:pPr>
        <w:pStyle w:val="NormalHanging12a"/>
        <w:ind w:left="709" w:hanging="709"/>
        <w:rPr>
          <w:color w:val="000000" w:themeColor="text1"/>
          <w:szCs w:val="24"/>
        </w:rPr>
      </w:pPr>
      <w:r w:rsidRPr="00C12435">
        <w:rPr>
          <w:color w:val="000000" w:themeColor="text1"/>
        </w:rPr>
        <w:t>79.</w:t>
      </w:r>
      <w:r w:rsidRPr="00C12435">
        <w:rPr>
          <w:color w:val="000000" w:themeColor="text1"/>
        </w:rPr>
        <w:tab/>
        <w:t>chápe, že v roku 2022 zvýšená miera inflácie, ktorá je dôsledkom agresie Ruska voči Ukrajine, ovplyvnila plnenie všeobecného rozpočtu Európskej prokuratúry (čo viedlo k 6,9 % indexácii odmien zamestnancov a všeobecnému zvýšeniu cien pri nadobúdaní tovaru a služieb);</w:t>
      </w:r>
    </w:p>
    <w:p w:rsidR="006E14C6" w:rsidRPr="00C12435" w:rsidRDefault="006E14C6" w:rsidP="006E14C6">
      <w:pPr>
        <w:pStyle w:val="NormalHanging12a"/>
        <w:ind w:left="709" w:hanging="709"/>
        <w:rPr>
          <w:szCs w:val="24"/>
        </w:rPr>
      </w:pPr>
      <w:r w:rsidRPr="00C12435">
        <w:t>80.</w:t>
      </w:r>
      <w:r w:rsidRPr="00C12435">
        <w:tab/>
        <w:t>zdôrazňuje význam opatrení Európskej prokuratúry zameraných na udržiavanie intenzívnej komunikácie a výmen s ukrajinskými orgánmi, ako aj s ostatnými partnermi Únie zapojenými do činností v oblasti výdavkov a odhaľovania podvodov na Ukrajine v záujme ochrany finančných záujmov EÚ;</w:t>
      </w:r>
    </w:p>
    <w:p w:rsidR="006E14C6" w:rsidRPr="00C12435" w:rsidRDefault="006E14C6" w:rsidP="006E14C6">
      <w:pPr>
        <w:pStyle w:val="NormalHanging12a"/>
        <w:ind w:left="709" w:hanging="709"/>
        <w:rPr>
          <w:color w:val="000000" w:themeColor="text1"/>
          <w:szCs w:val="24"/>
        </w:rPr>
      </w:pPr>
      <w:r w:rsidRPr="00C12435">
        <w:rPr>
          <w:color w:val="000000" w:themeColor="text1"/>
        </w:rPr>
        <w:t>81.</w:t>
      </w:r>
      <w:r w:rsidRPr="00C12435">
        <w:rPr>
          <w:color w:val="000000" w:themeColor="text1"/>
        </w:rPr>
        <w:tab/>
      </w:r>
      <w:r w:rsidRPr="00C12435">
        <w:t>oceňuje úsilie Európskej prokuratúry o objasnenie toho, že trestné činy poškodzujúce finančné prostriedky Únie pridelené tretím krajinám patria do jej právomoci, a to aj vtedy, ak sú spáchané úplne alebo čiastočne mimo kombinovaných území 22 zúčastnených členských štátov, a to vždy, keď trestný čin spácha štátny príslušník zúčastneného členského štátu alebo úradník Únie, alebo ak ku skutkovej podstate trestného činu došlo v Belgicku alebo v Luxembursku, ktoré sa považujú za sídla inštitúcií, orgánov, úradov a agentúr Únie zapojených do výdavkov z rozpočtu Únie, a to aj vtedy, ak k ďalším skutkovým podstatám trestného činu došlo na Ukrajine alebo v inej tretej krajine;</w:t>
      </w:r>
    </w:p>
    <w:p w:rsidR="006E14C6" w:rsidRPr="00C12435" w:rsidRDefault="006E14C6" w:rsidP="006E14C6">
      <w:pPr>
        <w:pStyle w:val="NormalHanging12a"/>
        <w:ind w:left="709" w:hanging="709"/>
        <w:rPr>
          <w:color w:val="000000" w:themeColor="text1"/>
          <w:szCs w:val="24"/>
        </w:rPr>
      </w:pPr>
      <w:r w:rsidRPr="00C12435">
        <w:rPr>
          <w:color w:val="000000" w:themeColor="text1"/>
        </w:rPr>
        <w:t>82.</w:t>
      </w:r>
      <w:r w:rsidRPr="00C12435">
        <w:rPr>
          <w:color w:val="000000" w:themeColor="text1"/>
        </w:rPr>
        <w:tab/>
        <w:t xml:space="preserve">konštatuje, že Európska prokuratúra podpísala dohody o pracovných podmienkach s ukrajinskou generálnou prokuratúrou a Národným protikorupčným úradom s cieľom uľahčiť spoluprácu pri vyšetrovaniach na základe Dohovoru Rady Európy o vzájomnej pomoci v trestných veciach z roku 1959; konštatuje, že v priestoroch Európskej prokuratúry sa organizujú kurzy odbornej prípravy pre ukrajinských prokurátorov a vyšetrovateľov, aby sa podelila o svoje odborné znalosti vo finančných a zložitých vyšetrovaniach, a že od podpísania dohôd o pracovných podmienkach sa konali </w:t>
      </w:r>
      <w:r w:rsidRPr="00C12435">
        <w:rPr>
          <w:color w:val="000000" w:themeColor="text1"/>
        </w:rPr>
        <w:lastRenderedPageBreak/>
        <w:t>pravidelné stretnutia na strategickej a operačnej úrovni;</w:t>
      </w:r>
    </w:p>
    <w:p w:rsidR="006E14C6" w:rsidRPr="00C12435" w:rsidRDefault="006E14C6" w:rsidP="006E14C6">
      <w:pPr>
        <w:pStyle w:val="NormalHanging12a"/>
        <w:ind w:left="709" w:hanging="709"/>
        <w:rPr>
          <w:color w:val="000000" w:themeColor="text1"/>
          <w:szCs w:val="24"/>
        </w:rPr>
      </w:pPr>
      <w:r w:rsidRPr="00C12435">
        <w:rPr>
          <w:color w:val="000000" w:themeColor="text1"/>
        </w:rPr>
        <w:t>83.</w:t>
      </w:r>
      <w:r w:rsidRPr="00C12435">
        <w:rPr>
          <w:color w:val="000000" w:themeColor="text1"/>
        </w:rPr>
        <w:tab/>
        <w:t>víta pripravenosť ústredia Európskej prokuratúry vytvoriť s ukrajinskými orgánmi pracovnú skupinu na koordináciu vyšetrovaní; domnieva sa, že v kontexte budúcich mechanizmov nástroja pre Ukrajinu by existujúci rámec a partnerstvo s ukrajinskými orgánmi podporili vyšetrovanie a trestné stíhanie a uľahčili by rýchlu a spoľahlivú spoluprácu; vyzýva dotknuté orgány, aby prijali novú dohodu o vzájomnej právnej pomoci v trestných veciach medzi Úniou a Ukrajinou s cieľom ďalej posilniť spoluprácu v osobitnom kontexte mechanizmu nástroja, najmä pokiaľ ide o zaistenie, konfiškáciu a vymáhanie majetku.</w:t>
      </w:r>
    </w:p>
    <w:p w:rsidR="006E14C6" w:rsidRPr="00C12435" w:rsidRDefault="006E14C6" w:rsidP="006E14C6">
      <w:pPr>
        <w:pStyle w:val="NormalHanging12a"/>
        <w:ind w:left="709" w:hanging="709"/>
        <w:rPr>
          <w:szCs w:val="24"/>
        </w:rPr>
      </w:pPr>
      <w:r w:rsidRPr="00C12435">
        <w:t>84.</w:t>
      </w:r>
      <w:r w:rsidRPr="00C12435">
        <w:tab/>
        <w:t>berie však na vedomie vysokú mieru korupcie a podvodov na Ukrajine, a to pred súčasnou vojnou, ako aj v súčasnosti; varuje, že pri spolupráci pri vyšetrovaniach by sa mali prijať dodatočné opatrenia s cieľom chrániť zamestnancov a svedkov; konštatuje napríklad, že Dvor audítorov v roku 2021 zistil, že protikorupčná iniciatíva EÚ financovaná Úniou, ktorá bola založená v roku 2017, je v boji proti korupcii neúčinná; uznáva úsilie ukrajinského parlamentu, Najvyššej rady Ukrajiny, v spolupráci s Európskou úniou a konštatuje, že na úspešné dosiahnutie cieľov týkajúcich sa transparentnosti je potrebné ďalšie úsilie v oblasti boja proti korupcii.</w:t>
      </w:r>
    </w:p>
    <w:sectPr w:rsidR="006E14C6" w:rsidRPr="00C12435" w:rsidSect="00D561B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5C50" w:rsidRPr="00D561B7" w:rsidRDefault="00455C50">
      <w:r w:rsidRPr="00D561B7">
        <w:separator/>
      </w:r>
    </w:p>
  </w:endnote>
  <w:endnote w:type="continuationSeparator" w:id="0">
    <w:p w:rsidR="00455C50" w:rsidRPr="00D561B7" w:rsidRDefault="00455C50">
      <w:r w:rsidRPr="00D561B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14C6" w:rsidRPr="00D561B7" w:rsidRDefault="006E14C6" w:rsidP="00EF342B">
    <w:pPr>
      <w:pStyle w:val="EPFooter"/>
    </w:pPr>
    <w:r w:rsidRPr="00D561B7">
      <w:t>PE</w:t>
    </w:r>
    <w:r w:rsidRPr="00D561B7">
      <w:rPr>
        <w:rStyle w:val="HideTWBExt"/>
      </w:rPr>
      <w:t>&lt;NoPE&gt;</w:t>
    </w:r>
    <w:r w:rsidRPr="00D561B7">
      <w:t>753.489</w:t>
    </w:r>
    <w:r w:rsidRPr="00D561B7">
      <w:rPr>
        <w:rStyle w:val="HideTWBExt"/>
      </w:rPr>
      <w:t>&lt;/NoPE&gt;&lt;Version&gt;</w:t>
    </w:r>
    <w:r w:rsidRPr="00D561B7">
      <w:t>v02-00</w:t>
    </w:r>
    <w:r w:rsidRPr="00D561B7">
      <w:rPr>
        <w:rStyle w:val="HideTWBExt"/>
      </w:rPr>
      <w:t>&lt;/Version&gt;</w:t>
    </w:r>
    <w:r w:rsidRPr="00D561B7">
      <w:tab/>
    </w:r>
    <w:r w:rsidRPr="00D561B7">
      <w:fldChar w:fldCharType="begin"/>
    </w:r>
    <w:r w:rsidRPr="00D561B7">
      <w:instrText xml:space="preserve"> PAGE  \* MERGEFORMAT </w:instrText>
    </w:r>
    <w:r w:rsidRPr="00D561B7">
      <w:fldChar w:fldCharType="separate"/>
    </w:r>
    <w:r w:rsidR="00D561B7" w:rsidRPr="00D561B7">
      <w:rPr>
        <w:noProof/>
      </w:rPr>
      <w:t>2</w:t>
    </w:r>
    <w:r w:rsidRPr="00D561B7">
      <w:fldChar w:fldCharType="end"/>
    </w:r>
    <w:r w:rsidRPr="00D561B7">
      <w:t>/</w:t>
    </w:r>
    <w:r w:rsidR="00E55302">
      <w:fldChar w:fldCharType="begin"/>
    </w:r>
    <w:r w:rsidR="00E55302">
      <w:instrText xml:space="preserve"> NUMPAGES  \* MER</w:instrText>
    </w:r>
    <w:r w:rsidR="00E55302">
      <w:instrText xml:space="preserve">GEFORMAT </w:instrText>
    </w:r>
    <w:r w:rsidR="00E55302">
      <w:fldChar w:fldCharType="separate"/>
    </w:r>
    <w:r w:rsidR="00D561B7" w:rsidRPr="00D561B7">
      <w:rPr>
        <w:noProof/>
      </w:rPr>
      <w:t>4</w:t>
    </w:r>
    <w:r w:rsidR="00E55302">
      <w:rPr>
        <w:noProof/>
      </w:rPr>
      <w:fldChar w:fldCharType="end"/>
    </w:r>
    <w:r w:rsidRPr="00D561B7">
      <w:tab/>
    </w:r>
    <w:r w:rsidRPr="00D561B7">
      <w:rPr>
        <w:rStyle w:val="HideTWBExt"/>
      </w:rPr>
      <w:t>&lt;PathFdR&gt;</w:t>
    </w:r>
    <w:r w:rsidRPr="00D561B7">
      <w:t>RR\1298985SK.docx</w:t>
    </w:r>
    <w:r w:rsidRPr="00D561B7">
      <w:rPr>
        <w:rStyle w:val="HideTWBExt"/>
      </w:rPr>
      <w:t>&lt;/PathFdR&gt;</w:t>
    </w:r>
  </w:p>
  <w:p w:rsidR="006E14C6" w:rsidRPr="00D561B7" w:rsidRDefault="006E14C6" w:rsidP="00EF342B">
    <w:pPr>
      <w:pStyle w:val="EPFooter2"/>
    </w:pPr>
    <w:r w:rsidRPr="00D561B7"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14C6" w:rsidRPr="00D561B7" w:rsidRDefault="006E14C6" w:rsidP="00EF342B">
    <w:pPr>
      <w:pStyle w:val="EPFooter"/>
    </w:pPr>
    <w:r w:rsidRPr="00D561B7">
      <w:rPr>
        <w:rStyle w:val="HideTWBExt"/>
      </w:rPr>
      <w:t>&lt;PathFdR&gt;</w:t>
    </w:r>
    <w:r w:rsidRPr="00D561B7">
      <w:t>RR\1298985SK.docx</w:t>
    </w:r>
    <w:r w:rsidRPr="00D561B7">
      <w:rPr>
        <w:rStyle w:val="HideTWBExt"/>
      </w:rPr>
      <w:t>&lt;/PathFdR&gt;</w:t>
    </w:r>
    <w:r w:rsidRPr="00D561B7">
      <w:tab/>
    </w:r>
    <w:r w:rsidRPr="00D561B7">
      <w:tab/>
      <w:t>PE</w:t>
    </w:r>
    <w:r w:rsidRPr="00D561B7">
      <w:rPr>
        <w:rStyle w:val="HideTWBExt"/>
      </w:rPr>
      <w:t>&lt;NoPE&gt;</w:t>
    </w:r>
    <w:r w:rsidRPr="00D561B7">
      <w:t>753.489</w:t>
    </w:r>
    <w:r w:rsidRPr="00D561B7">
      <w:rPr>
        <w:rStyle w:val="HideTWBExt"/>
      </w:rPr>
      <w:t>&lt;/NoPE&gt;&lt;Version&gt;</w:t>
    </w:r>
    <w:r w:rsidRPr="00D561B7">
      <w:t>v02-00</w:t>
    </w:r>
    <w:r w:rsidRPr="00D561B7">
      <w:rPr>
        <w:rStyle w:val="HideTWBExt"/>
      </w:rPr>
      <w:t>&lt;/Version&gt;</w:t>
    </w:r>
  </w:p>
  <w:p w:rsidR="006E14C6" w:rsidRPr="00D561B7" w:rsidRDefault="006E14C6" w:rsidP="00EF342B">
    <w:pPr>
      <w:pStyle w:val="EPFooter2"/>
    </w:pPr>
    <w:r w:rsidRPr="00D561B7">
      <w:t>SK</w:t>
    </w:r>
    <w:r w:rsidRPr="00D561B7">
      <w:tab/>
    </w:r>
    <w:r w:rsidRPr="00D561B7">
      <w:rPr>
        <w:b w:val="0"/>
        <w:i/>
        <w:color w:val="C0C0C0"/>
        <w:sz w:val="22"/>
      </w:rPr>
      <w:t>Zjednotení v rozmanitosti</w:t>
    </w:r>
    <w:r w:rsidRPr="00D561B7"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561B7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561B7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561B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5C50" w:rsidRPr="00D561B7" w:rsidRDefault="00455C50">
      <w:r w:rsidRPr="00D561B7">
        <w:separator/>
      </w:r>
    </w:p>
  </w:footnote>
  <w:footnote w:type="continuationSeparator" w:id="0">
    <w:p w:rsidR="00455C50" w:rsidRPr="00D561B7" w:rsidRDefault="00455C50">
      <w:r w:rsidRPr="00D561B7">
        <w:continuationSeparator/>
      </w:r>
    </w:p>
  </w:footnote>
  <w:footnote w:id="1">
    <w:p w:rsidR="006E14C6" w:rsidRPr="00D561B7" w:rsidRDefault="006E14C6" w:rsidP="00D561B7">
      <w:pPr>
        <w:pStyle w:val="FootnoteText"/>
        <w:ind w:left="567" w:hanging="567"/>
        <w:rPr>
          <w:sz w:val="24"/>
          <w:lang w:val="sk-SK"/>
        </w:rPr>
      </w:pPr>
      <w:r w:rsidRPr="00D561B7">
        <w:rPr>
          <w:rStyle w:val="FootnoteReference"/>
          <w:sz w:val="24"/>
          <w:lang w:val="sk-SK"/>
        </w:rPr>
        <w:footnoteRef/>
      </w:r>
      <w:r w:rsidR="00D561B7" w:rsidRPr="00D561B7">
        <w:rPr>
          <w:sz w:val="24"/>
          <w:lang w:val="sk-SK"/>
        </w:rPr>
        <w:t xml:space="preserve"> </w:t>
      </w:r>
      <w:r w:rsidR="00D561B7" w:rsidRPr="00D561B7">
        <w:rPr>
          <w:sz w:val="24"/>
          <w:lang w:val="sk-SK"/>
        </w:rPr>
        <w:tab/>
      </w:r>
      <w:r w:rsidRPr="00D561B7">
        <w:rPr>
          <w:sz w:val="24"/>
          <w:lang w:val="sk-SK"/>
        </w:rPr>
        <w:t>Ú. v. EÚ C, C/2023/594, 27.10.2023.</w:t>
      </w:r>
    </w:p>
  </w:footnote>
  <w:footnote w:id="2">
    <w:p w:rsidR="006E14C6" w:rsidRPr="00D561B7" w:rsidRDefault="006E14C6" w:rsidP="00D561B7">
      <w:pPr>
        <w:pStyle w:val="FootnoteText"/>
        <w:ind w:left="567" w:hanging="567"/>
        <w:rPr>
          <w:sz w:val="24"/>
          <w:lang w:val="sk-SK"/>
        </w:rPr>
      </w:pPr>
      <w:r w:rsidRPr="00D561B7">
        <w:rPr>
          <w:rStyle w:val="FootnoteReference"/>
          <w:sz w:val="24"/>
          <w:lang w:val="sk-SK"/>
        </w:rPr>
        <w:footnoteRef/>
      </w:r>
      <w:r w:rsidR="00D561B7" w:rsidRPr="00D561B7">
        <w:rPr>
          <w:sz w:val="24"/>
          <w:lang w:val="sk-SK"/>
        </w:rPr>
        <w:t xml:space="preserve"> </w:t>
      </w:r>
      <w:r w:rsidR="00D561B7" w:rsidRPr="00D561B7">
        <w:rPr>
          <w:sz w:val="24"/>
          <w:lang w:val="sk-SK"/>
        </w:rPr>
        <w:tab/>
      </w:r>
      <w:r w:rsidRPr="00D561B7">
        <w:rPr>
          <w:sz w:val="24"/>
          <w:lang w:val="sk-SK"/>
        </w:rPr>
        <w:t>Ú. v. EÚ C, C/2023/112, 12.10.2023.</w:t>
      </w:r>
    </w:p>
  </w:footnote>
  <w:footnote w:id="3">
    <w:p w:rsidR="006E14C6" w:rsidRPr="00D561B7" w:rsidRDefault="006E14C6" w:rsidP="00D561B7">
      <w:pPr>
        <w:pStyle w:val="FootnoteText"/>
        <w:ind w:left="567" w:hanging="567"/>
        <w:rPr>
          <w:sz w:val="24"/>
          <w:lang w:val="sk-SK"/>
        </w:rPr>
      </w:pPr>
      <w:r w:rsidRPr="00D561B7">
        <w:rPr>
          <w:rStyle w:val="FootnoteReference"/>
          <w:sz w:val="24"/>
          <w:lang w:val="sk-SK"/>
        </w:rPr>
        <w:footnoteRef/>
      </w:r>
      <w:r w:rsidR="00D561B7" w:rsidRPr="00D561B7">
        <w:rPr>
          <w:sz w:val="24"/>
          <w:lang w:val="sk-SK"/>
        </w:rPr>
        <w:t xml:space="preserve"> </w:t>
      </w:r>
      <w:r w:rsidR="00D561B7" w:rsidRPr="00D561B7">
        <w:rPr>
          <w:sz w:val="24"/>
          <w:lang w:val="sk-SK"/>
        </w:rPr>
        <w:tab/>
      </w:r>
      <w:r w:rsidRPr="00D561B7">
        <w:rPr>
          <w:sz w:val="24"/>
          <w:lang w:val="sk-SK"/>
        </w:rPr>
        <w:t>Ú. v. EÚ L 193, 30.7.2018, s. 1.</w:t>
      </w:r>
    </w:p>
  </w:footnote>
  <w:footnote w:id="4">
    <w:p w:rsidR="006E14C6" w:rsidRPr="00D561B7" w:rsidRDefault="006E14C6" w:rsidP="00D561B7">
      <w:pPr>
        <w:pStyle w:val="FootnoteText"/>
        <w:ind w:left="567" w:hanging="567"/>
        <w:rPr>
          <w:sz w:val="24"/>
          <w:lang w:val="sk-SK"/>
        </w:rPr>
      </w:pPr>
      <w:r w:rsidRPr="00D561B7">
        <w:rPr>
          <w:rStyle w:val="FootnoteReference"/>
          <w:sz w:val="24"/>
          <w:lang w:val="sk-SK"/>
        </w:rPr>
        <w:footnoteRef/>
      </w:r>
      <w:r w:rsidR="00D561B7" w:rsidRPr="00D561B7">
        <w:rPr>
          <w:sz w:val="24"/>
          <w:lang w:val="sk-SK"/>
        </w:rPr>
        <w:t xml:space="preserve"> </w:t>
      </w:r>
      <w:r w:rsidR="00D561B7" w:rsidRPr="00D561B7">
        <w:rPr>
          <w:sz w:val="24"/>
          <w:lang w:val="sk-SK"/>
        </w:rPr>
        <w:tab/>
      </w:r>
      <w:r w:rsidRPr="00D561B7">
        <w:rPr>
          <w:sz w:val="24"/>
          <w:lang w:val="sk-SK"/>
        </w:rPr>
        <w:t>Ú. v. EÚ L 283, 31.10.2017, s. 1.</w:t>
      </w:r>
    </w:p>
  </w:footnote>
  <w:footnote w:id="5">
    <w:p w:rsidR="006E14C6" w:rsidRPr="00D561B7" w:rsidRDefault="006E14C6" w:rsidP="00D561B7">
      <w:pPr>
        <w:pStyle w:val="FootnoteText"/>
        <w:ind w:left="567" w:hanging="567"/>
        <w:rPr>
          <w:sz w:val="24"/>
          <w:szCs w:val="24"/>
          <w:lang w:val="sk-SK"/>
        </w:rPr>
      </w:pPr>
      <w:r w:rsidRPr="00D561B7">
        <w:rPr>
          <w:rStyle w:val="FootnoteReference"/>
          <w:sz w:val="24"/>
          <w:lang w:val="sk-SK"/>
        </w:rPr>
        <w:footnoteRef/>
      </w:r>
      <w:r w:rsidR="00D561B7" w:rsidRPr="00D561B7">
        <w:rPr>
          <w:sz w:val="24"/>
          <w:lang w:val="sk-SK"/>
        </w:rPr>
        <w:t xml:space="preserve"> </w:t>
      </w:r>
      <w:r w:rsidR="00D561B7" w:rsidRPr="00D561B7">
        <w:rPr>
          <w:sz w:val="24"/>
          <w:lang w:val="sk-SK"/>
        </w:rPr>
        <w:tab/>
      </w:r>
      <w:r w:rsidRPr="00D561B7">
        <w:rPr>
          <w:sz w:val="24"/>
          <w:lang w:val="sk-SK"/>
        </w:rPr>
        <w:t>Ú. v. EÚ L 122, 10.5.2019, s. 1.</w:t>
      </w:r>
    </w:p>
  </w:footnote>
  <w:footnote w:id="6">
    <w:p w:rsidR="006E14C6" w:rsidRPr="00D561B7" w:rsidRDefault="006E14C6" w:rsidP="00D561B7">
      <w:pPr>
        <w:pStyle w:val="FootnoteText"/>
        <w:ind w:left="567" w:hanging="567"/>
        <w:rPr>
          <w:sz w:val="24"/>
          <w:lang w:val="sk-SK"/>
        </w:rPr>
      </w:pPr>
      <w:r w:rsidRPr="00D561B7">
        <w:rPr>
          <w:rStyle w:val="FootnoteReference"/>
          <w:sz w:val="24"/>
          <w:lang w:val="sk-SK"/>
        </w:rPr>
        <w:footnoteRef/>
      </w:r>
      <w:r w:rsidR="00D561B7" w:rsidRPr="00D561B7">
        <w:rPr>
          <w:sz w:val="24"/>
          <w:lang w:val="sk-SK"/>
        </w:rPr>
        <w:t xml:space="preserve"> </w:t>
      </w:r>
      <w:r w:rsidR="00D561B7" w:rsidRPr="00D561B7">
        <w:rPr>
          <w:sz w:val="24"/>
          <w:lang w:val="sk-SK"/>
        </w:rPr>
        <w:tab/>
      </w:r>
      <w:r w:rsidRPr="00D561B7">
        <w:rPr>
          <w:sz w:val="24"/>
          <w:lang w:val="sk-SK"/>
        </w:rPr>
        <w:t>Ú. v. EÚ C, C/2023/594, 27.10.2023.</w:t>
      </w:r>
    </w:p>
  </w:footnote>
  <w:footnote w:id="7">
    <w:p w:rsidR="006E14C6" w:rsidRPr="00D561B7" w:rsidRDefault="006E14C6" w:rsidP="00D561B7">
      <w:pPr>
        <w:pStyle w:val="FootnoteText"/>
        <w:ind w:left="567" w:hanging="567"/>
        <w:rPr>
          <w:sz w:val="24"/>
          <w:lang w:val="sk-SK"/>
        </w:rPr>
      </w:pPr>
      <w:r w:rsidRPr="00D561B7">
        <w:rPr>
          <w:rStyle w:val="FootnoteReference"/>
          <w:sz w:val="24"/>
          <w:lang w:val="sk-SK"/>
        </w:rPr>
        <w:footnoteRef/>
      </w:r>
      <w:r w:rsidR="00D561B7" w:rsidRPr="00D561B7">
        <w:rPr>
          <w:sz w:val="24"/>
          <w:lang w:val="sk-SK"/>
        </w:rPr>
        <w:t xml:space="preserve"> </w:t>
      </w:r>
      <w:r w:rsidR="00D561B7" w:rsidRPr="00D561B7">
        <w:rPr>
          <w:sz w:val="24"/>
          <w:lang w:val="sk-SK"/>
        </w:rPr>
        <w:tab/>
      </w:r>
      <w:r w:rsidRPr="00D561B7">
        <w:rPr>
          <w:sz w:val="24"/>
          <w:lang w:val="sk-SK"/>
        </w:rPr>
        <w:t>Ú. v. EÚ C, C/2023/112, 12.10.2023.</w:t>
      </w:r>
    </w:p>
  </w:footnote>
  <w:footnote w:id="8">
    <w:p w:rsidR="006E14C6" w:rsidRPr="00D561B7" w:rsidRDefault="006E14C6" w:rsidP="00D561B7">
      <w:pPr>
        <w:pStyle w:val="FootnoteText"/>
        <w:ind w:left="567" w:hanging="567"/>
        <w:rPr>
          <w:sz w:val="24"/>
          <w:lang w:val="sk-SK"/>
        </w:rPr>
      </w:pPr>
      <w:r w:rsidRPr="00D561B7">
        <w:rPr>
          <w:rStyle w:val="FootnoteReference"/>
          <w:sz w:val="24"/>
          <w:lang w:val="sk-SK"/>
        </w:rPr>
        <w:footnoteRef/>
      </w:r>
      <w:r w:rsidR="00D561B7" w:rsidRPr="00D561B7">
        <w:rPr>
          <w:sz w:val="24"/>
          <w:lang w:val="sk-SK"/>
        </w:rPr>
        <w:t xml:space="preserve"> </w:t>
      </w:r>
      <w:r w:rsidR="00D561B7" w:rsidRPr="00D561B7">
        <w:rPr>
          <w:sz w:val="24"/>
          <w:lang w:val="sk-SK"/>
        </w:rPr>
        <w:tab/>
      </w:r>
      <w:r w:rsidRPr="00D561B7">
        <w:rPr>
          <w:sz w:val="24"/>
          <w:lang w:val="sk-SK"/>
        </w:rPr>
        <w:t>Ú. v. EÚ L 193, 30.7.2018, s. 1.</w:t>
      </w:r>
    </w:p>
  </w:footnote>
  <w:footnote w:id="9">
    <w:p w:rsidR="006E14C6" w:rsidRPr="00D561B7" w:rsidRDefault="006E14C6" w:rsidP="00D561B7">
      <w:pPr>
        <w:pStyle w:val="FootnoteText"/>
        <w:ind w:left="567" w:hanging="567"/>
        <w:rPr>
          <w:sz w:val="24"/>
          <w:lang w:val="sk-SK"/>
        </w:rPr>
      </w:pPr>
      <w:r w:rsidRPr="00D561B7">
        <w:rPr>
          <w:rStyle w:val="FootnoteReference"/>
          <w:sz w:val="24"/>
          <w:lang w:val="sk-SK"/>
        </w:rPr>
        <w:footnoteRef/>
      </w:r>
      <w:r w:rsidR="00D561B7" w:rsidRPr="00D561B7">
        <w:rPr>
          <w:sz w:val="24"/>
          <w:lang w:val="sk-SK"/>
        </w:rPr>
        <w:t xml:space="preserve"> </w:t>
      </w:r>
      <w:r w:rsidR="00D561B7" w:rsidRPr="00D561B7">
        <w:rPr>
          <w:sz w:val="24"/>
          <w:lang w:val="sk-SK"/>
        </w:rPr>
        <w:tab/>
      </w:r>
      <w:r w:rsidRPr="00D561B7">
        <w:rPr>
          <w:sz w:val="24"/>
          <w:lang w:val="sk-SK"/>
        </w:rPr>
        <w:t>Ú. v. EÚ L 283, 31.10.2017, s. 1.</w:t>
      </w:r>
    </w:p>
  </w:footnote>
  <w:footnote w:id="10">
    <w:p w:rsidR="006E14C6" w:rsidRPr="00D561B7" w:rsidRDefault="006E14C6" w:rsidP="00D561B7">
      <w:pPr>
        <w:pStyle w:val="FootnoteText"/>
        <w:ind w:left="567" w:hanging="567"/>
        <w:rPr>
          <w:sz w:val="24"/>
          <w:szCs w:val="24"/>
          <w:lang w:val="sk-SK"/>
        </w:rPr>
      </w:pPr>
      <w:r w:rsidRPr="00D561B7">
        <w:rPr>
          <w:rStyle w:val="FootnoteReference"/>
          <w:sz w:val="24"/>
          <w:lang w:val="sk-SK"/>
        </w:rPr>
        <w:footnoteRef/>
      </w:r>
      <w:r w:rsidR="00D561B7" w:rsidRPr="00D561B7">
        <w:rPr>
          <w:sz w:val="24"/>
          <w:lang w:val="sk-SK"/>
        </w:rPr>
        <w:t xml:space="preserve"> </w:t>
      </w:r>
      <w:r w:rsidR="00D561B7" w:rsidRPr="00D561B7">
        <w:rPr>
          <w:sz w:val="24"/>
          <w:lang w:val="sk-SK"/>
        </w:rPr>
        <w:tab/>
      </w:r>
      <w:r w:rsidRPr="00D561B7">
        <w:rPr>
          <w:sz w:val="24"/>
          <w:lang w:val="sk-SK"/>
        </w:rPr>
        <w:t>Ú. v. EÚ L 122, 10.5.2019, s. 1.</w:t>
      </w:r>
    </w:p>
  </w:footnote>
  <w:footnote w:id="11">
    <w:p w:rsidR="006E14C6" w:rsidRPr="00D561B7" w:rsidRDefault="006E14C6" w:rsidP="00D561B7">
      <w:pPr>
        <w:pStyle w:val="FootnoteText"/>
        <w:ind w:left="567" w:hanging="567"/>
        <w:rPr>
          <w:sz w:val="24"/>
          <w:lang w:val="sk-SK"/>
        </w:rPr>
      </w:pPr>
      <w:r w:rsidRPr="00D561B7">
        <w:rPr>
          <w:rStyle w:val="FootnoteReference"/>
          <w:sz w:val="24"/>
          <w:lang w:val="sk-SK"/>
        </w:rPr>
        <w:footnoteRef/>
      </w:r>
      <w:r w:rsidR="00D561B7" w:rsidRPr="00D561B7">
        <w:rPr>
          <w:sz w:val="24"/>
          <w:shd w:val="clear" w:color="auto" w:fill="FFFFFF"/>
          <w:lang w:val="sk-SK"/>
        </w:rPr>
        <w:t xml:space="preserve"> </w:t>
      </w:r>
      <w:r w:rsidR="00D561B7" w:rsidRPr="00D561B7">
        <w:rPr>
          <w:sz w:val="24"/>
          <w:shd w:val="clear" w:color="auto" w:fill="FFFFFF"/>
          <w:lang w:val="sk-SK"/>
        </w:rPr>
        <w:tab/>
      </w:r>
      <w:r w:rsidRPr="00D561B7">
        <w:rPr>
          <w:sz w:val="24"/>
          <w:shd w:val="clear" w:color="auto" w:fill="FFFFFF"/>
          <w:lang w:val="sk-SK"/>
        </w:rPr>
        <w:t>Ú. v. EÚ L 198, 28.7.2017, s. 29.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561B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561B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561B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17/2024"/>
    <w:docVar w:name="dvlangue" w:val="SK"/>
    <w:docVar w:name="dvnumam" w:val="0"/>
    <w:docVar w:name="dvpe" w:val="753.489"/>
    <w:docVar w:name="dvrapporteur" w:val="Spravodajca: "/>
    <w:docVar w:name="dvtitre" w:val="Rozhodnutie Európskeho parlamentu z xx. apríla 2024 o absolutóriu za plnenie rozpočtu Európskej prokuratúry za rozpočtový rok 2022(2023/2139(DEC))"/>
  </w:docVars>
  <w:rsids>
    <w:rsidRoot w:val="00455C50"/>
    <w:rsid w:val="00002272"/>
    <w:rsid w:val="00064002"/>
    <w:rsid w:val="000677B9"/>
    <w:rsid w:val="000831BA"/>
    <w:rsid w:val="000A3D97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55C50"/>
    <w:rsid w:val="00471C19"/>
    <w:rsid w:val="0048482B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E14C6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33B4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13E0"/>
    <w:rsid w:val="00B12E95"/>
    <w:rsid w:val="00B22876"/>
    <w:rsid w:val="00B558F0"/>
    <w:rsid w:val="00BD48FE"/>
    <w:rsid w:val="00BD7BD8"/>
    <w:rsid w:val="00BE6ADC"/>
    <w:rsid w:val="00C05BFE"/>
    <w:rsid w:val="00C12435"/>
    <w:rsid w:val="00C23CD4"/>
    <w:rsid w:val="00C61C0C"/>
    <w:rsid w:val="00C941CB"/>
    <w:rsid w:val="00CC2357"/>
    <w:rsid w:val="00CF071A"/>
    <w:rsid w:val="00D058B8"/>
    <w:rsid w:val="00D561B7"/>
    <w:rsid w:val="00D56C11"/>
    <w:rsid w:val="00D834A0"/>
    <w:rsid w:val="00D84E3E"/>
    <w:rsid w:val="00D872DF"/>
    <w:rsid w:val="00D91E21"/>
    <w:rsid w:val="00DA7FCD"/>
    <w:rsid w:val="00E365E1"/>
    <w:rsid w:val="00E55302"/>
    <w:rsid w:val="00E820A4"/>
    <w:rsid w:val="00EB006A"/>
    <w:rsid w:val="00EB4772"/>
    <w:rsid w:val="00EB60F8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901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BB3CA2"/>
  <w15:chartTrackingRefBased/>
  <w15:docId w15:val="{A7E6E8EB-28A0-42E5-9158-92624C746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6E14C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6E14C6"/>
    <w:pPr>
      <w:spacing w:before="480" w:after="240"/>
    </w:pPr>
  </w:style>
  <w:style w:type="paragraph" w:customStyle="1" w:styleId="PageHeading">
    <w:name w:val="PageHeading"/>
    <w:basedOn w:val="Normal"/>
    <w:rsid w:val="006E14C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6E14C6"/>
    <w:rPr>
      <w:b/>
    </w:rPr>
  </w:style>
  <w:style w:type="paragraph" w:customStyle="1" w:styleId="NormalHanging12a">
    <w:name w:val="NormalHanging12a"/>
    <w:basedOn w:val="Normal"/>
    <w:link w:val="NormalHanging12aChar"/>
    <w:rsid w:val="006E14C6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6E14C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E14C6"/>
    <w:rPr>
      <w:sz w:val="24"/>
      <w:lang w:val="sk-SK"/>
    </w:rPr>
  </w:style>
  <w:style w:type="paragraph" w:customStyle="1" w:styleId="EPFooter">
    <w:name w:val="EPFooter"/>
    <w:basedOn w:val="Normal"/>
    <w:rsid w:val="006E14C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Default">
    <w:name w:val="Default"/>
    <w:rsid w:val="006E14C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sk-SK"/>
    </w:rPr>
  </w:style>
  <w:style w:type="character" w:customStyle="1" w:styleId="NormalHanging12aChar">
    <w:name w:val="NormalHanging12a Char"/>
    <w:basedOn w:val="DefaultParagraphFont"/>
    <w:link w:val="NormalHanging12a"/>
    <w:rsid w:val="006E14C6"/>
    <w:rPr>
      <w:sz w:val="24"/>
      <w:lang w:val="sk-SK"/>
    </w:rPr>
  </w:style>
  <w:style w:type="paragraph" w:styleId="Footer">
    <w:name w:val="footer"/>
    <w:basedOn w:val="Normal"/>
    <w:link w:val="FooterChar"/>
    <w:rsid w:val="00FD090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D0901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61BD6E-93C9-475C-945E-F10A59BD5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8905</Words>
  <Characters>55591</Characters>
  <Application>Microsoft Office Word</Application>
  <DocSecurity>0</DocSecurity>
  <Lines>463</Lines>
  <Paragraphs>128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64368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Karina Pesa</cp:lastModifiedBy>
  <cp:revision>3</cp:revision>
  <cp:lastPrinted>2004-11-19T15:42:00Z</cp:lastPrinted>
  <dcterms:created xsi:type="dcterms:W3CDTF">2024-05-15T13:03:00Z</dcterms:created>
  <dcterms:modified xsi:type="dcterms:W3CDTF">2024-10-31T07:33:00Z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P9_TA(2024)0237_</vt:lpwstr>
  </property>
  <property fmtid="{D5CDD505-2E9C-101B-9397-08002B2CF9AE}" pid="4" name="&lt;Type&gt;">
    <vt:lpwstr>RR</vt:lpwstr>
  </property>
</Properties>
</file>