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B466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B4664" w:rsidRDefault="002B2EF4" w:rsidP="0010095E">
            <w:pPr>
              <w:pStyle w:val="EPName"/>
            </w:pPr>
            <w:r w:rsidRPr="00EB4664">
              <w:t>Evropský parlament</w:t>
            </w:r>
          </w:p>
          <w:p w:rsidR="00751A4A" w:rsidRPr="00EB466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B4664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EB4664" w:rsidRDefault="00187494" w:rsidP="0010095E">
            <w:pPr>
              <w:pStyle w:val="EPLogo"/>
            </w:pPr>
            <w:r w:rsidRPr="00EB466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B4664" w:rsidRDefault="00D058B8" w:rsidP="004C5D52">
      <w:pPr>
        <w:pStyle w:val="LineTop"/>
      </w:pPr>
    </w:p>
    <w:p w:rsidR="00680577" w:rsidRPr="00EB4664" w:rsidRDefault="002B2EF4" w:rsidP="00680577">
      <w:pPr>
        <w:pStyle w:val="EPBodyTA1"/>
      </w:pPr>
      <w:r w:rsidRPr="00EB4664">
        <w:t>PŘIJATÉ TEXTY</w:t>
      </w:r>
    </w:p>
    <w:p w:rsidR="00D058B8" w:rsidRPr="00EB4664" w:rsidRDefault="00D058B8" w:rsidP="00D058B8">
      <w:pPr>
        <w:pStyle w:val="LineBottom"/>
      </w:pPr>
    </w:p>
    <w:p w:rsidR="002B2EF4" w:rsidRPr="00EB4664" w:rsidRDefault="002B2EF4" w:rsidP="002B2EF4">
      <w:pPr>
        <w:pStyle w:val="ATHeading1"/>
      </w:pPr>
      <w:bookmarkStart w:id="0" w:name="TANumber"/>
      <w:r w:rsidRPr="00EB4664">
        <w:t>P9_TA(2024)0</w:t>
      </w:r>
      <w:r w:rsidR="000A1155">
        <w:t>238</w:t>
      </w:r>
      <w:bookmarkEnd w:id="0"/>
    </w:p>
    <w:p w:rsidR="002B2EF4" w:rsidRPr="00EB4664" w:rsidRDefault="002B2EF4" w:rsidP="002B2EF4">
      <w:pPr>
        <w:pStyle w:val="ATHeading2"/>
      </w:pPr>
      <w:bookmarkStart w:id="1" w:name="title"/>
      <w:r w:rsidRPr="00EB4664">
        <w:t>Udělení absolutoria za rok 2022: Evropské středisko pro rozvoj odborného vzdělávání (</w:t>
      </w:r>
      <w:proofErr w:type="spellStart"/>
      <w:r w:rsidRPr="00EB4664">
        <w:t>Cedefop</w:t>
      </w:r>
      <w:proofErr w:type="spellEnd"/>
      <w:r w:rsidRPr="00EB4664">
        <w:t>)</w:t>
      </w:r>
      <w:bookmarkEnd w:id="1"/>
    </w:p>
    <w:p w:rsidR="002B2EF4" w:rsidRPr="00EB4664" w:rsidRDefault="002B2EF4" w:rsidP="002B2EF4">
      <w:pPr>
        <w:rPr>
          <w:i/>
          <w:vanish/>
        </w:rPr>
      </w:pPr>
      <w:r w:rsidRPr="00EB4664">
        <w:rPr>
          <w:i/>
        </w:rPr>
        <w:fldChar w:fldCharType="begin"/>
      </w:r>
      <w:r w:rsidRPr="00EB4664">
        <w:rPr>
          <w:i/>
        </w:rPr>
        <w:instrText xml:space="preserve"> TC"(</w:instrText>
      </w:r>
      <w:bookmarkStart w:id="2" w:name="DocNumber"/>
      <w:r w:rsidRPr="00EB4664">
        <w:rPr>
          <w:i/>
        </w:rPr>
        <w:instrText>A9-0080/2024</w:instrText>
      </w:r>
      <w:bookmarkEnd w:id="2"/>
      <w:r w:rsidRPr="00EB4664">
        <w:rPr>
          <w:i/>
        </w:rPr>
        <w:instrText xml:space="preserve"> - Zpravodaj: Petri Sarvamaa)"\l3 \n&gt; \* MERGEFORMAT </w:instrText>
      </w:r>
      <w:r w:rsidRPr="00EB4664">
        <w:rPr>
          <w:i/>
        </w:rPr>
        <w:fldChar w:fldCharType="end"/>
      </w:r>
    </w:p>
    <w:p w:rsidR="002B2EF4" w:rsidRPr="00EB4664" w:rsidRDefault="002B2EF4" w:rsidP="002B2EF4">
      <w:pPr>
        <w:rPr>
          <w:vanish/>
        </w:rPr>
      </w:pPr>
      <w:bookmarkStart w:id="3" w:name="Commission"/>
      <w:r w:rsidRPr="00EB4664">
        <w:rPr>
          <w:vanish/>
        </w:rPr>
        <w:t>Výbor pro rozpočtovou kontrolu</w:t>
      </w:r>
      <w:bookmarkEnd w:id="3"/>
    </w:p>
    <w:p w:rsidR="002B2EF4" w:rsidRPr="00EB4664" w:rsidRDefault="002B2EF4" w:rsidP="002B2EF4">
      <w:pPr>
        <w:rPr>
          <w:vanish/>
        </w:rPr>
      </w:pPr>
      <w:bookmarkStart w:id="4" w:name="PE"/>
      <w:r w:rsidRPr="00EB4664">
        <w:rPr>
          <w:vanish/>
        </w:rPr>
        <w:t>PE753.509</w:t>
      </w:r>
      <w:bookmarkEnd w:id="4"/>
    </w:p>
    <w:p w:rsidR="002B2EF4" w:rsidRPr="00EB4664" w:rsidRDefault="002B2EF4" w:rsidP="002B2EF4">
      <w:pPr>
        <w:pStyle w:val="ATHeading3"/>
      </w:pPr>
      <w:bookmarkStart w:id="5" w:name="Sujet"/>
      <w:r w:rsidRPr="00EB4664">
        <w:t xml:space="preserve">1. Rozhodnutí </w:t>
      </w:r>
      <w:r w:rsidR="006700D7">
        <w:t>Evropského parlamentu ze dne 11. dubna</w:t>
      </w:r>
      <w:r w:rsidRPr="00EB4664">
        <w:t xml:space="preserve"> 2024 o udělení absolutoria za plnění rozpočtu Evropského střediska pro rozvoj odborného vzdělávání (</w:t>
      </w:r>
      <w:proofErr w:type="spellStart"/>
      <w:r w:rsidRPr="00EB4664">
        <w:t>Cedefop</w:t>
      </w:r>
      <w:proofErr w:type="spellEnd"/>
      <w:r w:rsidRPr="00EB4664">
        <w:t>) na rozpočtový rok 2022</w:t>
      </w:r>
      <w:bookmarkEnd w:id="5"/>
      <w:r w:rsidRPr="00EB4664">
        <w:t xml:space="preserve"> </w:t>
      </w:r>
      <w:bookmarkStart w:id="6" w:name="References"/>
      <w:r w:rsidRPr="00EB4664">
        <w:t>(2023/2143(DEC))</w:t>
      </w:r>
      <w:bookmarkEnd w:id="6"/>
    </w:p>
    <w:p w:rsidR="00377E9A" w:rsidRPr="00EB4664" w:rsidRDefault="00377E9A" w:rsidP="00377E9A">
      <w:pPr>
        <w:pStyle w:val="EPComma"/>
      </w:pPr>
      <w:bookmarkStart w:id="7" w:name="TextBodyBegin"/>
      <w:bookmarkEnd w:id="7"/>
      <w:r w:rsidRPr="00EB4664">
        <w:rPr>
          <w:i/>
        </w:rPr>
        <w:t>Evropský parlament</w:t>
      </w:r>
      <w:r w:rsidRPr="00EB4664">
        <w:t>,</w:t>
      </w:r>
    </w:p>
    <w:p w:rsidR="00377E9A" w:rsidRPr="00EB4664" w:rsidRDefault="00377E9A" w:rsidP="00377E9A">
      <w:pPr>
        <w:pStyle w:val="NormalHanging12a"/>
      </w:pPr>
      <w:r w:rsidRPr="00EB4664">
        <w:t>–</w:t>
      </w:r>
      <w:r w:rsidRPr="00EB4664">
        <w:tab/>
        <w:t>s ohledem na konečnou roční účetní závěrku Evropského střediska pro rozvoj odborného vzdělávání (</w:t>
      </w:r>
      <w:proofErr w:type="spellStart"/>
      <w:r w:rsidRPr="00EB4664">
        <w:t>Cedefop</w:t>
      </w:r>
      <w:proofErr w:type="spellEnd"/>
      <w:r w:rsidRPr="00EB4664">
        <w:t>) za rozpočtový rok 2022,</w:t>
      </w:r>
    </w:p>
    <w:p w:rsidR="00377E9A" w:rsidRPr="00EB4664" w:rsidRDefault="00377E9A" w:rsidP="00377E9A">
      <w:pPr>
        <w:pStyle w:val="NormalHanging12a"/>
      </w:pPr>
      <w:r w:rsidRPr="00EB4664">
        <w:t>–</w:t>
      </w:r>
      <w:r w:rsidRPr="00EB4664">
        <w:tab/>
        <w:t>s ohledem na výroční zprávu Účetního dvora o agenturách EU za rozpočtový rok 2022 spolu s odpověďmi agentur</w:t>
      </w:r>
      <w:r w:rsidRPr="00EB4664">
        <w:rPr>
          <w:rStyle w:val="FootnoteReference"/>
        </w:rPr>
        <w:footnoteReference w:id="1"/>
      </w:r>
      <w:r w:rsidRPr="00EB4664">
        <w:t>,</w:t>
      </w:r>
    </w:p>
    <w:p w:rsidR="00377E9A" w:rsidRPr="00EB4664" w:rsidRDefault="00377E9A" w:rsidP="00377E9A">
      <w:pPr>
        <w:pStyle w:val="NormalHanging12a"/>
      </w:pPr>
      <w:r w:rsidRPr="00EB4664">
        <w:t>–</w:t>
      </w:r>
      <w:r w:rsidRPr="00EB4664">
        <w:tab/>
        <w:t>s ohledem na prohlášení o věrohodnosti</w:t>
      </w:r>
      <w:r w:rsidRPr="00EB4664">
        <w:rPr>
          <w:rStyle w:val="FootnoteReference"/>
        </w:rPr>
        <w:footnoteReference w:id="2"/>
      </w:r>
      <w:r w:rsidRPr="00EB4664">
        <w:t xml:space="preserve"> účetnictví a o legalitě a správnosti uskutečněných operací, které předložil Účetní dvůr za rozpočtový rok 2022 podle článku 287 Smlouvy o fungování Evropské unie,</w:t>
      </w:r>
    </w:p>
    <w:p w:rsidR="00377E9A" w:rsidRPr="00EB4664" w:rsidRDefault="00377E9A" w:rsidP="00377E9A">
      <w:pPr>
        <w:pStyle w:val="NormalHanging12a"/>
      </w:pPr>
      <w:r w:rsidRPr="00EB4664">
        <w:t>–</w:t>
      </w:r>
      <w:r w:rsidRPr="00EB4664">
        <w:tab/>
        <w:t>s ohledem na doporučení Rady ze dne 22. února 2024 o udělení absolutoria středisku za plnění rozpočtu na rozpočtový rok 2022 (0</w:t>
      </w:r>
      <w:r w:rsidR="006F61FF">
        <w:t>6180</w:t>
      </w:r>
      <w:r w:rsidRPr="00EB4664">
        <w:t>/2024 – C9</w:t>
      </w:r>
      <w:r w:rsidRPr="00EB4664">
        <w:noBreakHyphen/>
        <w:t>00</w:t>
      </w:r>
      <w:r w:rsidR="006F61FF">
        <w:t>81</w:t>
      </w:r>
      <w:r w:rsidRPr="00EB4664">
        <w:t>/2024),</w:t>
      </w:r>
    </w:p>
    <w:p w:rsidR="00377E9A" w:rsidRPr="00EB4664" w:rsidRDefault="00377E9A" w:rsidP="00377E9A">
      <w:pPr>
        <w:pStyle w:val="NormalHanging12a"/>
      </w:pPr>
      <w:r w:rsidRPr="00EB4664">
        <w:t>–</w:t>
      </w:r>
      <w:r w:rsidRPr="00EB4664">
        <w:tab/>
        <w:t>s ohledem na článek 319 Smlouvy o fungování Evropské unie,</w:t>
      </w:r>
    </w:p>
    <w:p w:rsidR="00377E9A" w:rsidRPr="00EB4664" w:rsidRDefault="00377E9A" w:rsidP="00377E9A">
      <w:pPr>
        <w:pStyle w:val="NormalHanging12a"/>
      </w:pPr>
      <w:r w:rsidRPr="00EB4664">
        <w:t>–</w:t>
      </w:r>
      <w:r w:rsidRPr="00EB4664">
        <w:tab/>
        <w:t>s ohledem na nařízení Evropského parlamentu a Rady (EU, Euratom) 2018/1046 ze dne 18. července 2018, kterým se stanoví finanční pravidla pro souhrnný rozpočet Unie, mění nařízení (EU) č. 1296/2013, (EU) č. 1301/2013, (EU) č. 1303/2013, (EU) č. 1304/2013, (EU) č. 1309/2013, (EU) č. 1316/2013, (EU) č. 223/2014, (EU) č. 283/2014 a rozhodnutí č. 541/2014/EU a zrušuje nařízení (EU, Euratom) č. 966/2012</w:t>
      </w:r>
      <w:r w:rsidRPr="00EB4664">
        <w:rPr>
          <w:rStyle w:val="FootnoteReference"/>
        </w:rPr>
        <w:footnoteReference w:id="3"/>
      </w:r>
      <w:r w:rsidRPr="00EB4664">
        <w:t>, a zejména na článek 70 tohoto nařízení,</w:t>
      </w:r>
    </w:p>
    <w:p w:rsidR="00377E9A" w:rsidRPr="00EB4664" w:rsidRDefault="00377E9A" w:rsidP="00377E9A">
      <w:pPr>
        <w:pStyle w:val="NormalHanging12a"/>
      </w:pPr>
      <w:r w:rsidRPr="00EB4664">
        <w:t>–</w:t>
      </w:r>
      <w:r w:rsidRPr="00EB4664">
        <w:tab/>
        <w:t>s ohledem na nařízení Evropského parlamentu a Rady (EU) 2019/128 ze dne 16. ledna 2019 o zřízení Evropského střediska pro rozvoj odborného vzdělávání (</w:t>
      </w:r>
      <w:proofErr w:type="spellStart"/>
      <w:r w:rsidRPr="00EB4664">
        <w:t>Cedefop</w:t>
      </w:r>
      <w:proofErr w:type="spellEnd"/>
      <w:r w:rsidRPr="00EB4664">
        <w:t>) a o zrušení nařízení Rady (EHS) č. 337/75</w:t>
      </w:r>
      <w:r w:rsidRPr="00EB4664">
        <w:rPr>
          <w:rStyle w:val="FootnoteReference"/>
        </w:rPr>
        <w:footnoteReference w:id="4"/>
      </w:r>
      <w:r w:rsidRPr="00EB4664">
        <w:t>, a zejména na článek 15 tohoto nařízení,</w:t>
      </w:r>
    </w:p>
    <w:p w:rsidR="00377E9A" w:rsidRPr="00EB4664" w:rsidRDefault="00377E9A" w:rsidP="00377E9A">
      <w:pPr>
        <w:pStyle w:val="NormalHanging12a"/>
      </w:pPr>
      <w:r w:rsidRPr="00EB4664">
        <w:t>–</w:t>
      </w:r>
      <w:r w:rsidRPr="00EB4664">
        <w:tab/>
        <w:t xml:space="preserve">s ohledem na nařízení Komise v přenesené pravomoci (EU) 2019/715 ze dne 18. </w:t>
      </w:r>
      <w:r w:rsidRPr="00EB4664">
        <w:lastRenderedPageBreak/>
        <w:t xml:space="preserve">prosince 2018 o rámcovém finančním nařízení pro subjekty zřízené podle </w:t>
      </w:r>
      <w:r w:rsidR="00160687" w:rsidRPr="00160687">
        <w:t>Smlouvy o fungování Evropské unie</w:t>
      </w:r>
      <w:r w:rsidR="00160687">
        <w:t xml:space="preserve"> </w:t>
      </w:r>
      <w:r w:rsidRPr="00EB4664">
        <w:t>a Smlouvy o Euratomu a uvedené v článku 70 nařízení Evropského parlamentu a Rady (EU, Euratom) 2018/1046</w:t>
      </w:r>
      <w:r w:rsidRPr="00EB4664">
        <w:rPr>
          <w:rStyle w:val="FootnoteReference"/>
        </w:rPr>
        <w:footnoteReference w:id="5"/>
      </w:r>
      <w:r w:rsidRPr="00EB4664">
        <w:t>, a zejména na článek 105 tohoto nařízení,</w:t>
      </w:r>
    </w:p>
    <w:p w:rsidR="00377E9A" w:rsidRPr="00EB4664" w:rsidRDefault="00377E9A" w:rsidP="00377E9A">
      <w:pPr>
        <w:pStyle w:val="NormalHanging12a"/>
      </w:pPr>
      <w:r w:rsidRPr="00EB4664">
        <w:t>–</w:t>
      </w:r>
      <w:r w:rsidRPr="00EB4664">
        <w:tab/>
        <w:t>s ohledem na článek 100 a přílohu V jednacího řádu,</w:t>
      </w:r>
    </w:p>
    <w:p w:rsidR="00377E9A" w:rsidRPr="00EB4664" w:rsidRDefault="00377E9A" w:rsidP="00377E9A">
      <w:pPr>
        <w:pStyle w:val="NormalHanging12a"/>
      </w:pPr>
      <w:r w:rsidRPr="00EB4664">
        <w:t>–</w:t>
      </w:r>
      <w:r w:rsidRPr="00EB4664">
        <w:tab/>
        <w:t>s ohledem na stanovisko Výboru pro zaměstnanost a sociální věci,</w:t>
      </w:r>
    </w:p>
    <w:p w:rsidR="00377E9A" w:rsidRPr="00EB4664" w:rsidRDefault="00377E9A" w:rsidP="00377E9A">
      <w:pPr>
        <w:pStyle w:val="NormalHanging12a"/>
      </w:pPr>
      <w:r w:rsidRPr="00EB4664">
        <w:t>–</w:t>
      </w:r>
      <w:r w:rsidRPr="00EB4664">
        <w:tab/>
        <w:t>s ohledem na zprávu Výboru pro rozpočtovou kontrolu (A9</w:t>
      </w:r>
      <w:r w:rsidRPr="00EB4664">
        <w:noBreakHyphen/>
        <w:t>0080/2024),</w:t>
      </w:r>
    </w:p>
    <w:p w:rsidR="00377E9A" w:rsidRPr="00EB4664" w:rsidRDefault="00377E9A" w:rsidP="00377E9A">
      <w:pPr>
        <w:pStyle w:val="NormalHanging12a"/>
      </w:pPr>
      <w:r w:rsidRPr="00EB4664">
        <w:t>1.</w:t>
      </w:r>
      <w:r w:rsidRPr="00EB4664">
        <w:tab/>
        <w:t>uděluje absolutorium výkonnému řediteli Evropského střediska pro rozvoj odborného vzdělávání (</w:t>
      </w:r>
      <w:proofErr w:type="spellStart"/>
      <w:r w:rsidRPr="00EB4664">
        <w:t>Cedefop</w:t>
      </w:r>
      <w:proofErr w:type="spellEnd"/>
      <w:r w:rsidRPr="00EB4664">
        <w:t>) za plnění rozpočtu střediska na rozpočtový rok 2022;</w:t>
      </w:r>
    </w:p>
    <w:p w:rsidR="00377E9A" w:rsidRPr="00EB4664" w:rsidRDefault="00377E9A" w:rsidP="00377E9A">
      <w:pPr>
        <w:pStyle w:val="NormalHanging12a"/>
      </w:pPr>
      <w:r w:rsidRPr="00EB4664">
        <w:t>2.</w:t>
      </w:r>
      <w:r w:rsidRPr="00EB4664">
        <w:tab/>
        <w:t>předkládá své připomínky v níže uvedeném usnesení;</w:t>
      </w:r>
    </w:p>
    <w:p w:rsidR="00377E9A" w:rsidRPr="00EB4664" w:rsidRDefault="00377E9A" w:rsidP="00377E9A">
      <w:pPr>
        <w:pStyle w:val="NormalHanging12a"/>
      </w:pPr>
      <w:r w:rsidRPr="00EB4664">
        <w:t>3.</w:t>
      </w:r>
      <w:r w:rsidRPr="00EB4664">
        <w:tab/>
        <w:t>pověřuje svou předsedkyni, aby předala toto rozhodnutí a usnesení, které je jeho nedílnou součástí, výkonnému řediteli Evropského střediska pro rozvoj odborného vzdělávání (</w:t>
      </w:r>
      <w:proofErr w:type="spellStart"/>
      <w:r w:rsidRPr="00EB4664">
        <w:t>Cedefop</w:t>
      </w:r>
      <w:proofErr w:type="spellEnd"/>
      <w:r w:rsidRPr="00EB4664">
        <w:t xml:space="preserve">), Radě, Komisi a Účetnímu dvoru a aby zajistila jejich zveřejnění v </w:t>
      </w:r>
      <w:r w:rsidRPr="00EB4664">
        <w:rPr>
          <w:i/>
        </w:rPr>
        <w:t>Úředním věstníku Evropské unie</w:t>
      </w:r>
      <w:r w:rsidRPr="00EB4664">
        <w:t xml:space="preserve"> (řada L).</w:t>
      </w:r>
    </w:p>
    <w:p w:rsidR="00377E9A" w:rsidRPr="00EB4664" w:rsidRDefault="00377E9A" w:rsidP="00377E9A"/>
    <w:p w:rsidR="00377E9A" w:rsidRPr="00EB4664" w:rsidRDefault="00377E9A" w:rsidP="00377E9A">
      <w:pPr>
        <w:pStyle w:val="PageHeading"/>
        <w:sectPr w:rsidR="00377E9A" w:rsidRPr="00EB4664" w:rsidSect="00EB4664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377E9A" w:rsidRPr="006700D7" w:rsidRDefault="00377E9A" w:rsidP="006700D7">
      <w:pPr>
        <w:pStyle w:val="PageHeading"/>
        <w:jc w:val="left"/>
        <w:rPr>
          <w:rFonts w:ascii="Times New Roman" w:hAnsi="Times New Roman" w:cs="Times New Roman"/>
        </w:rPr>
      </w:pPr>
      <w:bookmarkStart w:id="8" w:name="_Toc161761021"/>
      <w:r w:rsidRPr="006700D7">
        <w:rPr>
          <w:rFonts w:ascii="Times New Roman" w:hAnsi="Times New Roman" w:cs="Times New Roman"/>
        </w:rPr>
        <w:lastRenderedPageBreak/>
        <w:t xml:space="preserve">2. </w:t>
      </w:r>
      <w:r w:rsidR="006700D7" w:rsidRPr="006700D7">
        <w:rPr>
          <w:rFonts w:ascii="Times New Roman" w:hAnsi="Times New Roman" w:cs="Times New Roman"/>
        </w:rPr>
        <w:t>Rozhodnutí Evropského parlamentu</w:t>
      </w:r>
      <w:bookmarkEnd w:id="8"/>
      <w:r w:rsidR="006700D7" w:rsidRPr="006700D7">
        <w:rPr>
          <w:rFonts w:ascii="Times New Roman" w:hAnsi="Times New Roman" w:cs="Times New Roman"/>
        </w:rPr>
        <w:t xml:space="preserve"> ze dne 11. dubna 2024 </w:t>
      </w:r>
      <w:r w:rsidRPr="006700D7">
        <w:rPr>
          <w:rFonts w:ascii="Times New Roman" w:hAnsi="Times New Roman" w:cs="Times New Roman"/>
        </w:rPr>
        <w:t>o uzavření účtů Evropského střediska pro rozvoj odborného vzdělávání (</w:t>
      </w:r>
      <w:proofErr w:type="spellStart"/>
      <w:r w:rsidRPr="006700D7">
        <w:rPr>
          <w:rFonts w:ascii="Times New Roman" w:hAnsi="Times New Roman" w:cs="Times New Roman"/>
        </w:rPr>
        <w:t>Cedefop</w:t>
      </w:r>
      <w:proofErr w:type="spellEnd"/>
      <w:r w:rsidRPr="006700D7">
        <w:rPr>
          <w:rFonts w:ascii="Times New Roman" w:hAnsi="Times New Roman" w:cs="Times New Roman"/>
        </w:rPr>
        <w:t>) za rozpočtový rok 2022</w:t>
      </w:r>
      <w:r w:rsidR="006700D7" w:rsidRPr="006700D7">
        <w:rPr>
          <w:rFonts w:ascii="Times New Roman" w:hAnsi="Times New Roman" w:cs="Times New Roman"/>
        </w:rPr>
        <w:t xml:space="preserve"> </w:t>
      </w:r>
      <w:r w:rsidRPr="006700D7">
        <w:rPr>
          <w:rFonts w:ascii="Times New Roman" w:hAnsi="Times New Roman" w:cs="Times New Roman"/>
        </w:rPr>
        <w:t>(2023/2143(DEC))</w:t>
      </w:r>
    </w:p>
    <w:p w:rsidR="00377E9A" w:rsidRPr="00EB4664" w:rsidRDefault="00377E9A" w:rsidP="00377E9A">
      <w:pPr>
        <w:pStyle w:val="EPComma"/>
      </w:pPr>
      <w:r w:rsidRPr="00EB4664">
        <w:rPr>
          <w:i/>
        </w:rPr>
        <w:t>Evropský parlament</w:t>
      </w:r>
      <w:r w:rsidRPr="00EB4664">
        <w:t>,</w:t>
      </w:r>
    </w:p>
    <w:p w:rsidR="00377E9A" w:rsidRPr="00EB4664" w:rsidRDefault="00377E9A" w:rsidP="00377E9A">
      <w:pPr>
        <w:pStyle w:val="NormalHanging12a"/>
      </w:pPr>
      <w:r w:rsidRPr="00EB4664">
        <w:t>–</w:t>
      </w:r>
      <w:r w:rsidRPr="00EB4664">
        <w:tab/>
        <w:t>s ohledem na konečnou roční účetní závěrku Evropského střediska pro rozvoj odborného vzdělávání (</w:t>
      </w:r>
      <w:proofErr w:type="spellStart"/>
      <w:r w:rsidRPr="00EB4664">
        <w:t>Cedefop</w:t>
      </w:r>
      <w:proofErr w:type="spellEnd"/>
      <w:r w:rsidRPr="00EB4664">
        <w:t>) za rozpočtový rok 2022,</w:t>
      </w:r>
    </w:p>
    <w:p w:rsidR="00377E9A" w:rsidRPr="00EB4664" w:rsidRDefault="00377E9A" w:rsidP="00377E9A">
      <w:pPr>
        <w:pStyle w:val="NormalHanging12a"/>
      </w:pPr>
      <w:r w:rsidRPr="00EB4664">
        <w:t>–</w:t>
      </w:r>
      <w:r w:rsidRPr="00EB4664">
        <w:tab/>
        <w:t>s ohledem na výroční zprávu Účetního dvora o agenturách EU za rozpočtový rok 2022 spolu s odpověďmi agentur</w:t>
      </w:r>
      <w:r w:rsidRPr="00EB4664">
        <w:rPr>
          <w:rStyle w:val="FootnoteReference"/>
        </w:rPr>
        <w:footnoteReference w:id="6"/>
      </w:r>
      <w:r w:rsidRPr="00EB4664">
        <w:t>,</w:t>
      </w:r>
    </w:p>
    <w:p w:rsidR="00377E9A" w:rsidRPr="00EB4664" w:rsidRDefault="00377E9A" w:rsidP="00377E9A">
      <w:pPr>
        <w:pStyle w:val="NormalHanging12a"/>
      </w:pPr>
      <w:r w:rsidRPr="00EB4664">
        <w:t>–</w:t>
      </w:r>
      <w:r w:rsidRPr="00EB4664">
        <w:tab/>
        <w:t>s ohledem na prohlášení o věrohodnosti</w:t>
      </w:r>
      <w:r w:rsidRPr="00EB4664">
        <w:rPr>
          <w:rStyle w:val="FootnoteReference"/>
        </w:rPr>
        <w:footnoteReference w:id="7"/>
      </w:r>
      <w:r w:rsidRPr="00EB4664">
        <w:t xml:space="preserve"> účetnictví a o legalitě a správnosti uskutečněných operací, které předložil Účetní dvůr za rozpočtový rok 2022 podle článku 287 Smlouvy o fungování Evropské unie,</w:t>
      </w:r>
    </w:p>
    <w:p w:rsidR="00377E9A" w:rsidRPr="00EB4664" w:rsidRDefault="00377E9A" w:rsidP="00377E9A">
      <w:pPr>
        <w:pStyle w:val="NormalHanging12a"/>
      </w:pPr>
      <w:r w:rsidRPr="00EB4664">
        <w:t>–</w:t>
      </w:r>
      <w:r w:rsidRPr="00EB4664">
        <w:tab/>
        <w:t>s ohledem na doporučení Rady ze dne 22. února 2024 o udělení absolutoria středisku za plnění rozpočtu na rozpočtový rok 2022 (0</w:t>
      </w:r>
      <w:r w:rsidR="006F61FF">
        <w:t>6180</w:t>
      </w:r>
      <w:r w:rsidRPr="00EB4664">
        <w:t>/2024 – C9</w:t>
      </w:r>
      <w:r w:rsidRPr="00EB4664">
        <w:noBreakHyphen/>
        <w:t>00</w:t>
      </w:r>
      <w:r w:rsidR="006F61FF">
        <w:t>81</w:t>
      </w:r>
      <w:r w:rsidRPr="00EB4664">
        <w:t>/2024),</w:t>
      </w:r>
    </w:p>
    <w:p w:rsidR="00377E9A" w:rsidRPr="00EB4664" w:rsidRDefault="00377E9A" w:rsidP="00377E9A">
      <w:pPr>
        <w:pStyle w:val="NormalHanging12a"/>
      </w:pPr>
      <w:r w:rsidRPr="00EB4664">
        <w:t>–</w:t>
      </w:r>
      <w:r w:rsidRPr="00EB4664">
        <w:tab/>
        <w:t>s ohledem na článek 319 Smlouvy o fungování Evropské unie,</w:t>
      </w:r>
    </w:p>
    <w:p w:rsidR="00377E9A" w:rsidRPr="00EB4664" w:rsidRDefault="00377E9A" w:rsidP="00377E9A">
      <w:pPr>
        <w:pStyle w:val="NormalHanging12a"/>
      </w:pPr>
      <w:r w:rsidRPr="00EB4664">
        <w:t>–</w:t>
      </w:r>
      <w:r w:rsidRPr="00EB4664">
        <w:tab/>
        <w:t>s ohledem na nařízení Evropského parlamentu a Rady (EU, Euratom) 2018/1046 ze dne 18. července 2018, kterým se stanoví finanční pravidla pro souhrnný rozpočet Unie, mění nařízení (EU) č. 1296/2013, (EU) č. 1301/2013, (EU) č. 1303/2013, (EU) č. 1304/2013, (EU) č. 1309/2013, (EU) č. 1316/2013, (EU) č. 223/2014, (EU) č. 283/2014 a rozhodnutí č. 541/2014/EU a zrušuje nařízení (EU, Euratom) č. 966/2012</w:t>
      </w:r>
      <w:r w:rsidRPr="00EB4664">
        <w:rPr>
          <w:rStyle w:val="FootnoteReference"/>
        </w:rPr>
        <w:footnoteReference w:id="8"/>
      </w:r>
      <w:r w:rsidRPr="00EB4664">
        <w:t>, a zejména na článek 70 tohoto nařízení,</w:t>
      </w:r>
    </w:p>
    <w:p w:rsidR="00377E9A" w:rsidRPr="00EB4664" w:rsidRDefault="00377E9A" w:rsidP="00377E9A">
      <w:pPr>
        <w:pStyle w:val="NormalHanging12a"/>
      </w:pPr>
      <w:r w:rsidRPr="00EB4664">
        <w:t>–</w:t>
      </w:r>
      <w:r w:rsidRPr="00EB4664">
        <w:tab/>
        <w:t>s ohledem na nařízení Evropského parlamentu a Rady (EU) 2019/128 ze dne 16. ledna 2019 o zřízení Evropského střediska pro rozvoj odborného vzdělávání (</w:t>
      </w:r>
      <w:proofErr w:type="spellStart"/>
      <w:r w:rsidRPr="00EB4664">
        <w:t>Cedefop</w:t>
      </w:r>
      <w:proofErr w:type="spellEnd"/>
      <w:r w:rsidRPr="00EB4664">
        <w:t>) a o zrušení nařízení Rady (EHS) č. 337/75</w:t>
      </w:r>
      <w:r w:rsidRPr="00EB4664">
        <w:rPr>
          <w:rStyle w:val="FootnoteReference"/>
        </w:rPr>
        <w:footnoteReference w:id="9"/>
      </w:r>
      <w:r w:rsidRPr="00EB4664">
        <w:t>, a zejména na článek 15 tohoto nařízení,</w:t>
      </w:r>
    </w:p>
    <w:p w:rsidR="00377E9A" w:rsidRPr="00EB4664" w:rsidRDefault="00377E9A" w:rsidP="00377E9A">
      <w:pPr>
        <w:pStyle w:val="NormalHanging12a"/>
      </w:pPr>
      <w:r w:rsidRPr="00EB4664">
        <w:t>–</w:t>
      </w:r>
      <w:r w:rsidRPr="00EB4664">
        <w:tab/>
        <w:t>s ohledem na nařízení Komise v přenesené pravomoci (EU) 2019/715 ze dne 18. prosince 2018 o rámcovém finančním nařízení</w:t>
      </w:r>
      <w:r w:rsidR="00995B2B">
        <w:t xml:space="preserve"> pro subjekty zřízené podle </w:t>
      </w:r>
      <w:r w:rsidR="00160687" w:rsidRPr="00160687">
        <w:t>Smlouvy o fungování Evropské unie</w:t>
      </w:r>
      <w:r w:rsidR="00995B2B">
        <w:t xml:space="preserve"> </w:t>
      </w:r>
      <w:r w:rsidRPr="00EB4664">
        <w:t>a Smlouvy o Euratomu a uvedené v článku 70 nařízení Evropského parlamentu a Rady (EU, Euratom) 2018/1046</w:t>
      </w:r>
      <w:r w:rsidRPr="00EB4664">
        <w:rPr>
          <w:rStyle w:val="FootnoteReference"/>
        </w:rPr>
        <w:footnoteReference w:id="10"/>
      </w:r>
      <w:r w:rsidRPr="00EB4664">
        <w:t>, a zejména na článek 105 tohoto nařízení,</w:t>
      </w:r>
    </w:p>
    <w:p w:rsidR="00377E9A" w:rsidRPr="00EB4664" w:rsidRDefault="00377E9A" w:rsidP="00377E9A">
      <w:pPr>
        <w:pStyle w:val="NormalHanging12a"/>
      </w:pPr>
      <w:r w:rsidRPr="00EB4664">
        <w:t>–</w:t>
      </w:r>
      <w:r w:rsidRPr="00EB4664">
        <w:tab/>
        <w:t>s ohledem na článek 100 a přílohu V jednacího řádu,</w:t>
      </w:r>
    </w:p>
    <w:p w:rsidR="00377E9A" w:rsidRPr="00EB4664" w:rsidRDefault="00377E9A" w:rsidP="00377E9A">
      <w:pPr>
        <w:pStyle w:val="NormalHanging12a"/>
      </w:pPr>
      <w:r w:rsidRPr="00EB4664">
        <w:t>–</w:t>
      </w:r>
      <w:r w:rsidRPr="00EB4664">
        <w:tab/>
        <w:t>s ohledem na stanovisko Výboru pro zaměstnanost a sociální věci,</w:t>
      </w:r>
    </w:p>
    <w:p w:rsidR="00377E9A" w:rsidRPr="00EB4664" w:rsidRDefault="00377E9A" w:rsidP="00377E9A">
      <w:pPr>
        <w:pStyle w:val="NormalHanging12a"/>
      </w:pPr>
      <w:r w:rsidRPr="00EB4664">
        <w:t>–</w:t>
      </w:r>
      <w:r w:rsidRPr="00EB4664">
        <w:tab/>
        <w:t>s ohledem na zprávu Výboru pro rozpočtovou kontrolu (A9</w:t>
      </w:r>
      <w:r w:rsidRPr="00EB4664">
        <w:noBreakHyphen/>
        <w:t>0080/2024),</w:t>
      </w:r>
    </w:p>
    <w:p w:rsidR="00377E9A" w:rsidRPr="00EB4664" w:rsidRDefault="00377E9A" w:rsidP="00377E9A">
      <w:pPr>
        <w:pStyle w:val="NormalHanging12a"/>
      </w:pPr>
      <w:r w:rsidRPr="00EB4664">
        <w:t>1.</w:t>
      </w:r>
      <w:r w:rsidRPr="00EB4664">
        <w:tab/>
        <w:t>schvaluje uzavření účtů Evropského střediska pro rozvoj odborného vzdělávání (</w:t>
      </w:r>
      <w:proofErr w:type="spellStart"/>
      <w:r w:rsidRPr="00EB4664">
        <w:t>Cedefop</w:t>
      </w:r>
      <w:proofErr w:type="spellEnd"/>
      <w:r w:rsidRPr="00EB4664">
        <w:t>) za rozpočtový rok 2022;</w:t>
      </w:r>
    </w:p>
    <w:p w:rsidR="00377E9A" w:rsidRPr="00EB4664" w:rsidRDefault="00377E9A" w:rsidP="00377E9A">
      <w:pPr>
        <w:pStyle w:val="NormalHanging12a"/>
      </w:pPr>
      <w:r w:rsidRPr="00EB4664">
        <w:lastRenderedPageBreak/>
        <w:t>2.</w:t>
      </w:r>
      <w:r w:rsidRPr="00EB4664">
        <w:tab/>
        <w:t>pověřuje svou předsedkyni, aby předala toto rozhodnutí výkonnému řediteli Evropského střediska pro rozvoj odborného vzdělávání (</w:t>
      </w:r>
      <w:proofErr w:type="spellStart"/>
      <w:r w:rsidRPr="00EB4664">
        <w:t>Cedefop</w:t>
      </w:r>
      <w:proofErr w:type="spellEnd"/>
      <w:r w:rsidRPr="00EB4664">
        <w:t xml:space="preserve">), Radě, Komisi a Účetnímu dvoru a aby zajistila jeho zveřejnění v </w:t>
      </w:r>
      <w:r w:rsidRPr="00EB4664">
        <w:rPr>
          <w:i/>
        </w:rPr>
        <w:t>Úředním věstníku Evropské unie</w:t>
      </w:r>
      <w:r w:rsidRPr="00EB4664">
        <w:t xml:space="preserve"> (řada L).</w:t>
      </w:r>
    </w:p>
    <w:p w:rsidR="00377E9A" w:rsidRPr="00EB4664" w:rsidRDefault="00377E9A" w:rsidP="00377E9A"/>
    <w:p w:rsidR="00377E9A" w:rsidRPr="00EB4664" w:rsidRDefault="00377E9A" w:rsidP="00377E9A">
      <w:pPr>
        <w:pStyle w:val="PageHeading"/>
        <w:sectPr w:rsidR="00377E9A" w:rsidRPr="00EB4664" w:rsidSect="00EB4664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:rsidR="00377E9A" w:rsidRPr="006700D7" w:rsidRDefault="00377E9A" w:rsidP="006700D7">
      <w:pPr>
        <w:pStyle w:val="PageHeading"/>
        <w:jc w:val="left"/>
        <w:rPr>
          <w:rFonts w:ascii="Times New Roman" w:hAnsi="Times New Roman" w:cs="Times New Roman"/>
        </w:rPr>
      </w:pPr>
      <w:bookmarkStart w:id="10" w:name="_Toc161761022"/>
      <w:r w:rsidRPr="006700D7">
        <w:rPr>
          <w:rFonts w:ascii="Times New Roman" w:hAnsi="Times New Roman" w:cs="Times New Roman"/>
        </w:rPr>
        <w:lastRenderedPageBreak/>
        <w:t xml:space="preserve">3. </w:t>
      </w:r>
      <w:r w:rsidR="006700D7">
        <w:rPr>
          <w:rFonts w:ascii="Times New Roman" w:hAnsi="Times New Roman" w:cs="Times New Roman"/>
        </w:rPr>
        <w:t>Usnesení E</w:t>
      </w:r>
      <w:r w:rsidR="006700D7" w:rsidRPr="006700D7">
        <w:rPr>
          <w:rFonts w:ascii="Times New Roman" w:hAnsi="Times New Roman" w:cs="Times New Roman"/>
        </w:rPr>
        <w:t>vropského parlamentu</w:t>
      </w:r>
      <w:bookmarkEnd w:id="10"/>
      <w:r w:rsidR="006700D7" w:rsidRPr="006700D7">
        <w:rPr>
          <w:rFonts w:ascii="Times New Roman" w:hAnsi="Times New Roman" w:cs="Times New Roman"/>
        </w:rPr>
        <w:t xml:space="preserve"> ze dne 11. dubna 2024 obsahující</w:t>
      </w:r>
      <w:r w:rsidRPr="006700D7">
        <w:rPr>
          <w:rFonts w:ascii="Times New Roman" w:hAnsi="Times New Roman" w:cs="Times New Roman"/>
        </w:rPr>
        <w:t xml:space="preserve"> připomínky, které jsou nedílnou součástí rozhodnutí o udělení absolutoria za plnění rozpočtu Evropského střediska pro rozvoj odborného vzdělávání (</w:t>
      </w:r>
      <w:proofErr w:type="spellStart"/>
      <w:r w:rsidRPr="006700D7">
        <w:rPr>
          <w:rFonts w:ascii="Times New Roman" w:hAnsi="Times New Roman" w:cs="Times New Roman"/>
        </w:rPr>
        <w:t>Cedefop</w:t>
      </w:r>
      <w:proofErr w:type="spellEnd"/>
      <w:r w:rsidRPr="006700D7">
        <w:rPr>
          <w:rFonts w:ascii="Times New Roman" w:hAnsi="Times New Roman" w:cs="Times New Roman"/>
        </w:rPr>
        <w:t>) na rozpočtový rok 2022</w:t>
      </w:r>
      <w:r w:rsidR="006700D7" w:rsidRPr="006700D7">
        <w:rPr>
          <w:rFonts w:ascii="Times New Roman" w:hAnsi="Times New Roman" w:cs="Times New Roman"/>
        </w:rPr>
        <w:t xml:space="preserve"> </w:t>
      </w:r>
      <w:r w:rsidRPr="006700D7">
        <w:rPr>
          <w:rFonts w:ascii="Times New Roman" w:hAnsi="Times New Roman" w:cs="Times New Roman"/>
        </w:rPr>
        <w:t>(2023/2143(DEC))</w:t>
      </w:r>
    </w:p>
    <w:p w:rsidR="00377E9A" w:rsidRPr="00EB4664" w:rsidRDefault="00377E9A" w:rsidP="00377E9A">
      <w:pPr>
        <w:pStyle w:val="EPComma"/>
      </w:pPr>
      <w:r w:rsidRPr="00EB4664">
        <w:rPr>
          <w:i/>
        </w:rPr>
        <w:t>Evropský parlament</w:t>
      </w:r>
      <w:r w:rsidRPr="00EB4664">
        <w:t>,</w:t>
      </w:r>
    </w:p>
    <w:p w:rsidR="00377E9A" w:rsidRPr="00EB4664" w:rsidRDefault="00377E9A" w:rsidP="00377E9A">
      <w:pPr>
        <w:pStyle w:val="NormalHanging12a"/>
      </w:pPr>
      <w:r w:rsidRPr="00EB4664">
        <w:t>–</w:t>
      </w:r>
      <w:r w:rsidRPr="00EB4664">
        <w:tab/>
        <w:t>s ohledem na své rozhodnutí o udělení absolutoria za plnění rozpočtu Evropského střediska pro rozvoj odborného vzdělávání (</w:t>
      </w:r>
      <w:proofErr w:type="spellStart"/>
      <w:r w:rsidRPr="00EB4664">
        <w:t>Cedefop</w:t>
      </w:r>
      <w:proofErr w:type="spellEnd"/>
      <w:r w:rsidRPr="00EB4664">
        <w:t>) na rozpočtový rok 2022,</w:t>
      </w:r>
    </w:p>
    <w:p w:rsidR="00377E9A" w:rsidRPr="00EB4664" w:rsidRDefault="00377E9A" w:rsidP="00377E9A">
      <w:pPr>
        <w:pStyle w:val="NormalHanging12a"/>
      </w:pPr>
      <w:r w:rsidRPr="00EB4664">
        <w:t>–</w:t>
      </w:r>
      <w:r w:rsidRPr="00EB4664">
        <w:tab/>
        <w:t>s ohledem na článek 100 a přílohu V jednacího řádu,</w:t>
      </w:r>
    </w:p>
    <w:p w:rsidR="00377E9A" w:rsidRPr="00EB4664" w:rsidRDefault="00377E9A" w:rsidP="00377E9A">
      <w:pPr>
        <w:pStyle w:val="NormalHanging12a"/>
      </w:pPr>
      <w:r w:rsidRPr="00EB4664">
        <w:t>–</w:t>
      </w:r>
      <w:r w:rsidRPr="00EB4664">
        <w:tab/>
        <w:t>s ohledem na stanovisko Výboru pro zaměstnanost a sociální věci,</w:t>
      </w:r>
    </w:p>
    <w:p w:rsidR="00377E9A" w:rsidRPr="00EB4664" w:rsidRDefault="00377E9A" w:rsidP="00377E9A">
      <w:pPr>
        <w:pStyle w:val="NormalHanging12a"/>
      </w:pPr>
      <w:r w:rsidRPr="00EB4664">
        <w:t>–</w:t>
      </w:r>
      <w:r w:rsidRPr="00EB4664">
        <w:tab/>
        <w:t>s ohledem na zprávu Výboru pro rozpočtovou kontrolu (A9</w:t>
      </w:r>
      <w:r w:rsidRPr="00EB4664">
        <w:noBreakHyphen/>
        <w:t>0080/2024),</w:t>
      </w:r>
    </w:p>
    <w:p w:rsidR="00377E9A" w:rsidRPr="00EB4664" w:rsidRDefault="00377E9A" w:rsidP="00377E9A">
      <w:pPr>
        <w:pStyle w:val="Normal12Hanging"/>
        <w:rPr>
          <w:szCs w:val="24"/>
          <w:lang w:val="cs-CZ"/>
        </w:rPr>
      </w:pPr>
      <w:r w:rsidRPr="00EB4664">
        <w:rPr>
          <w:lang w:val="cs-CZ"/>
        </w:rPr>
        <w:t>A.</w:t>
      </w:r>
      <w:r w:rsidRPr="00EB4664">
        <w:rPr>
          <w:lang w:val="cs-CZ"/>
        </w:rPr>
        <w:tab/>
        <w:t>vzhledem k tomu, že konečný rozpočet Evropského střediska pro rozvoj odborného vzdělávání (</w:t>
      </w:r>
      <w:proofErr w:type="spellStart"/>
      <w:r w:rsidRPr="00EB4664">
        <w:rPr>
          <w:lang w:val="cs-CZ"/>
        </w:rPr>
        <w:t>Cedefop</w:t>
      </w:r>
      <w:proofErr w:type="spellEnd"/>
      <w:r w:rsidRPr="00EB4664">
        <w:rPr>
          <w:lang w:val="cs-CZ"/>
        </w:rPr>
        <w:t>) (dále jen „středisko“) na rozpočtový rok 2022 činil podle jeho výkazu příjmů a výdajů</w:t>
      </w:r>
      <w:r w:rsidRPr="00EB4664">
        <w:rPr>
          <w:rStyle w:val="FootnoteReference"/>
          <w:szCs w:val="24"/>
          <w:lang w:val="cs-CZ"/>
        </w:rPr>
        <w:footnoteReference w:id="11"/>
      </w:r>
      <w:r w:rsidRPr="00EB4664">
        <w:rPr>
          <w:lang w:val="cs-CZ"/>
        </w:rPr>
        <w:t xml:space="preserve"> 18 434 420 EUR, což oproti roku 2021 představuje pokles o 0,29 %; vzhledem k tomu, že se rozpočet střediska odvíjí převážně od rozpočtu Unie;</w:t>
      </w:r>
    </w:p>
    <w:p w:rsidR="00377E9A" w:rsidRPr="00EB4664" w:rsidRDefault="00377E9A" w:rsidP="00377E9A">
      <w:pPr>
        <w:pStyle w:val="Normal12Hanging"/>
        <w:rPr>
          <w:szCs w:val="24"/>
          <w:lang w:val="cs-CZ"/>
        </w:rPr>
      </w:pPr>
      <w:r w:rsidRPr="00EB4664">
        <w:rPr>
          <w:lang w:val="cs-CZ"/>
        </w:rPr>
        <w:t>B.</w:t>
      </w:r>
      <w:r w:rsidRPr="00EB4664">
        <w:rPr>
          <w:lang w:val="cs-CZ"/>
        </w:rPr>
        <w:tab/>
        <w:t>vzhledem k tomu, že kromě příspěvku Unie ve výši 17 960 000 EUR zahrnoval rozpočet střediska, který byl k dispozici v roce 2022, částku 464 420 EUR tvořenou příspěvky od přidružených zemí (Norska a Islandu) a částku ve výši 43 960 EUR, kterou tvořily různé vlastní příjmy a proplacené částky;</w:t>
      </w:r>
    </w:p>
    <w:p w:rsidR="00377E9A" w:rsidRPr="00EB4664" w:rsidRDefault="00377E9A" w:rsidP="00377E9A">
      <w:pPr>
        <w:pStyle w:val="Normal12Hanging"/>
        <w:rPr>
          <w:szCs w:val="24"/>
          <w:lang w:val="cs-CZ"/>
        </w:rPr>
      </w:pPr>
      <w:r w:rsidRPr="00EB4664">
        <w:rPr>
          <w:lang w:val="cs-CZ"/>
        </w:rPr>
        <w:t>C.</w:t>
      </w:r>
      <w:r w:rsidRPr="00EB4664">
        <w:rPr>
          <w:lang w:val="cs-CZ"/>
        </w:rPr>
        <w:tab/>
        <w:t xml:space="preserve">vzhledem k tomu, že se středisko s účinkem od 1. ledna 2023 připojilo k protokolu 31 k Dohodě o Evropském hospodářském </w:t>
      </w:r>
      <w:proofErr w:type="spellStart"/>
      <w:r w:rsidRPr="00EB4664">
        <w:rPr>
          <w:lang w:val="cs-CZ"/>
        </w:rPr>
        <w:t>prostolru</w:t>
      </w:r>
      <w:proofErr w:type="spellEnd"/>
      <w:r w:rsidRPr="00EB4664">
        <w:rPr>
          <w:lang w:val="cs-CZ"/>
        </w:rPr>
        <w:t xml:space="preserve"> (EHP), na základě čehož obdrží příspěvky od přidružených zemí z rozpočtu ESVO EHP;</w:t>
      </w:r>
    </w:p>
    <w:p w:rsidR="00377E9A" w:rsidRPr="00EB4664" w:rsidRDefault="00377E9A" w:rsidP="00377E9A">
      <w:pPr>
        <w:pStyle w:val="Normal12Hanging"/>
        <w:rPr>
          <w:szCs w:val="24"/>
          <w:lang w:val="cs-CZ"/>
        </w:rPr>
      </w:pPr>
      <w:r w:rsidRPr="00EB4664">
        <w:rPr>
          <w:lang w:val="cs-CZ"/>
        </w:rPr>
        <w:t>D.</w:t>
      </w:r>
      <w:r w:rsidRPr="00EB4664">
        <w:rPr>
          <w:lang w:val="cs-CZ"/>
        </w:rPr>
        <w:tab/>
        <w:t>vzhledem k tomu, že pokud jde o zadávání veřejných zakázek střediska, nebyly za rok 2022 hlášeny žádné problémy vyžadující nápravná opatření, ani nejsou prováděna žádná nápravná opatření vyplývající z auditů a hodnocení z posledních let, ani žádná taková opatření nezbývá provést;</w:t>
      </w:r>
    </w:p>
    <w:p w:rsidR="00377E9A" w:rsidRPr="00EB4664" w:rsidRDefault="00377E9A" w:rsidP="00377E9A">
      <w:pPr>
        <w:pStyle w:val="Normal12Hanging"/>
        <w:rPr>
          <w:szCs w:val="24"/>
          <w:lang w:val="cs-CZ"/>
        </w:rPr>
      </w:pPr>
      <w:r w:rsidRPr="00EB4664">
        <w:rPr>
          <w:lang w:val="cs-CZ"/>
        </w:rPr>
        <w:t>E.</w:t>
      </w:r>
      <w:r w:rsidRPr="00EB4664">
        <w:rPr>
          <w:lang w:val="cs-CZ"/>
        </w:rPr>
        <w:tab/>
        <w:t>vzhledem k tomu, že Účetní dvůr ve své zprávě o ověření roční účetní závěrky střediska za rozpočtový rok 2022 (dále jen „zpráva Účetního dvora“) uvedl, že získal přiměřenou jistotu, že roční účetní závěrka střediska je spolehlivá a že uskutečněné operace jsou legální a správné;</w:t>
      </w:r>
    </w:p>
    <w:p w:rsidR="00377E9A" w:rsidRPr="00EB4664" w:rsidRDefault="00377E9A" w:rsidP="00377E9A">
      <w:pPr>
        <w:pStyle w:val="Normal12Hanging"/>
        <w:rPr>
          <w:b/>
          <w:i/>
          <w:szCs w:val="24"/>
          <w:lang w:val="cs-CZ"/>
        </w:rPr>
      </w:pPr>
      <w:r w:rsidRPr="00EB4664">
        <w:rPr>
          <w:b/>
          <w:i/>
          <w:lang w:val="cs-CZ"/>
        </w:rPr>
        <w:t>Rozpočtové a finanční řízení</w:t>
      </w:r>
    </w:p>
    <w:p w:rsidR="00377E9A" w:rsidRPr="00EB4664" w:rsidRDefault="00377E9A" w:rsidP="00377E9A">
      <w:pPr>
        <w:pStyle w:val="Normal12Hanging"/>
        <w:rPr>
          <w:szCs w:val="24"/>
          <w:lang w:val="cs-CZ"/>
        </w:rPr>
      </w:pPr>
      <w:r w:rsidRPr="00EB4664">
        <w:rPr>
          <w:lang w:val="cs-CZ"/>
        </w:rPr>
        <w:t>1.</w:t>
      </w:r>
      <w:r w:rsidRPr="00EB4664">
        <w:rPr>
          <w:lang w:val="cs-CZ"/>
        </w:rPr>
        <w:tab/>
        <w:t>s uspokojením konstatuje, že na základě úsilí zaměřeného na monitorování rozpočtu dosáhla v roce 2022 míra jeho plnění výše 99,98 %, což představuje oproti roku 2021 mírný pokles o 0,02 %; vyjadřuje politování nad nízkou mírou čerpání prostředků na platby v běžném roce (77,64 %), která oproti roku 2021 představuje pokles o 2,38 %;</w:t>
      </w:r>
    </w:p>
    <w:p w:rsidR="00377E9A" w:rsidRPr="00EB4664" w:rsidRDefault="00377E9A" w:rsidP="00377E9A">
      <w:pPr>
        <w:pStyle w:val="Normal12Hanging"/>
        <w:rPr>
          <w:szCs w:val="24"/>
          <w:lang w:val="cs-CZ"/>
        </w:rPr>
      </w:pPr>
      <w:r w:rsidRPr="00EB4664">
        <w:rPr>
          <w:lang w:val="cs-CZ"/>
        </w:rPr>
        <w:t>2.</w:t>
      </w:r>
      <w:r w:rsidRPr="00EB4664">
        <w:rPr>
          <w:lang w:val="cs-CZ"/>
        </w:rPr>
        <w:tab/>
        <w:t xml:space="preserve">připomíná, že ve zprávě Účetního dvora za rok 2021 byla připomínka týkající se nedostatků, které se vyskytly v souvislosti s přechodem střediska na nový účetní systém </w:t>
      </w:r>
      <w:r w:rsidRPr="00EB4664">
        <w:rPr>
          <w:lang w:val="cs-CZ"/>
        </w:rPr>
        <w:lastRenderedPageBreak/>
        <w:t>(ABAC), jež rovněž používá Komise; na základě zprávy Účetního dvora konstatuje, že v roce 2022 byly podobné případy (nekonzistentnost mezi skutečným konečným datem plnění právních závazků a datem uvedeným v systému ABAC) zaznamenány i v rozpočtových závazcích přenesených z roku 2022 do roku 2023; na základě následné zprávy střediska o opatřeních přijatých v návaznosti na udělení absolutoria za rok 2021 (dále jen „následná zpráva“) s uspokojením konstatuje, že středisko mezitím zavedlo monitorovací systém, který zachycuje tyto typy nesrovnalostí, které jsou poté, co byly zjištěny, okamžitě opraveny v systému ABAC;</w:t>
      </w:r>
    </w:p>
    <w:p w:rsidR="00377E9A" w:rsidRPr="00EB4664" w:rsidRDefault="00377E9A" w:rsidP="00377E9A">
      <w:pPr>
        <w:pStyle w:val="Normal12Hanging"/>
        <w:rPr>
          <w:szCs w:val="24"/>
          <w:lang w:val="cs-CZ"/>
        </w:rPr>
      </w:pPr>
      <w:r w:rsidRPr="00EB4664">
        <w:rPr>
          <w:lang w:val="cs-CZ"/>
        </w:rPr>
        <w:t>3.</w:t>
      </w:r>
      <w:r w:rsidRPr="00EB4664">
        <w:rPr>
          <w:lang w:val="cs-CZ"/>
        </w:rPr>
        <w:tab/>
        <w:t>na základě zprávy Účetního dvora bere na vědomí připomínku, že středisko v souvislosti s pozměňovacím návrhem č. 1 ke svému rozpočtu správně neuplatnilo metodu výpočtu příspěvků stanovenou v prohlášení o spolupráci mezi střediskem a ESVO; konstatuje, že v důsledku toho byly v roce 2022 příspěvky Islandu a Norska do rozpočtu střediska vyšší a příspěvek Unie naopak nižší, než měly být; dále bere na vědomí, že Účetní dvůr konstatoval, že s ohledem na podpis změny Protokolu 31 k Dohodě o EHP o spolupráci ve specifických oblastech mimo čtyři svobody a jejímu vstupu v platnost dne 1. ledna 2023 se od roku 2023 otázka úprav příspěvků zemí ESVO z důvodu změn rozpočtu střediska již nebude řešit;</w:t>
      </w:r>
    </w:p>
    <w:p w:rsidR="00377E9A" w:rsidRPr="00EB4664" w:rsidRDefault="00377E9A" w:rsidP="00377E9A">
      <w:pPr>
        <w:pStyle w:val="Normal12Hanging"/>
        <w:rPr>
          <w:b/>
          <w:i/>
          <w:szCs w:val="24"/>
          <w:lang w:val="cs-CZ"/>
        </w:rPr>
      </w:pPr>
      <w:r w:rsidRPr="00EB4664">
        <w:rPr>
          <w:b/>
          <w:i/>
          <w:lang w:val="cs-CZ"/>
        </w:rPr>
        <w:t>Výkonnost</w:t>
      </w:r>
    </w:p>
    <w:p w:rsidR="00377E9A" w:rsidRPr="00EB4664" w:rsidRDefault="00377E9A" w:rsidP="00377E9A">
      <w:pPr>
        <w:pStyle w:val="Normal12Hanging"/>
        <w:rPr>
          <w:lang w:val="cs-CZ"/>
        </w:rPr>
      </w:pPr>
      <w:r w:rsidRPr="00EB4664">
        <w:rPr>
          <w:lang w:val="cs-CZ"/>
        </w:rPr>
        <w:t>4.</w:t>
      </w:r>
      <w:r w:rsidRPr="00EB4664">
        <w:rPr>
          <w:lang w:val="cs-CZ"/>
        </w:rPr>
        <w:tab/>
        <w:t>s uspokojením konstatuje, že navzdory přetrvávajícím výzvám spojeným s pandemií COVID-19, neodůvodněnou válkou na Ukrajině, energetickou krizí a stupňující se klimatickou krizí středisko v roce 2022 plně provedlo svůj pracovní program, přičemž ve všech třech strategických oblastech své činnosti dosáhlo pozoruhodných úspěchů, které jdou nad rámec těch, které byly naplánovány v pracovním programu na rok 2022; konstatuje, že odborné vzdělávání a příprava byly určeny jako prioritní oblast spolupráce v rámci iniciativy Evropského prostoru vzdělávání na období 2021–2030;</w:t>
      </w:r>
    </w:p>
    <w:p w:rsidR="00377E9A" w:rsidRPr="00EB4664" w:rsidRDefault="00377E9A" w:rsidP="00377E9A">
      <w:pPr>
        <w:pStyle w:val="Normal12Hanging"/>
        <w:rPr>
          <w:lang w:val="cs-CZ"/>
        </w:rPr>
      </w:pPr>
      <w:r w:rsidRPr="00EB4664">
        <w:rPr>
          <w:lang w:val="cs-CZ"/>
        </w:rPr>
        <w:t>5.</w:t>
      </w:r>
      <w:r w:rsidRPr="00EB4664">
        <w:rPr>
          <w:lang w:val="cs-CZ"/>
        </w:rPr>
        <w:tab/>
        <w:t xml:space="preserve">z úspěchů dosažených v roce 2022 bere na vědomí zejména: i) zřízení zelené observatoře střediska, které se zabývalo důsledky ekologické transformace pro města a tři klíčové oblasti (nakládání s odpady, zemědělsko-potravinářské odvětví a oběhové hospodářství); </w:t>
      </w:r>
      <w:proofErr w:type="spellStart"/>
      <w:r w:rsidRPr="00EB4664">
        <w:rPr>
          <w:lang w:val="cs-CZ"/>
        </w:rPr>
        <w:t>ii</w:t>
      </w:r>
      <w:proofErr w:type="spellEnd"/>
      <w:r w:rsidRPr="00EB4664">
        <w:rPr>
          <w:lang w:val="cs-CZ"/>
        </w:rPr>
        <w:t xml:space="preserve">) analýzu střediska zaměřenou na vnitrostátní prováděcí plány, které prezentují probíhající a nadcházející vnitrostátní reformy a iniciativy v oblasti odborného vzdělávání a přípravy; </w:t>
      </w:r>
      <w:proofErr w:type="spellStart"/>
      <w:r w:rsidRPr="00EB4664">
        <w:rPr>
          <w:lang w:val="cs-CZ"/>
        </w:rPr>
        <w:t>iii</w:t>
      </w:r>
      <w:proofErr w:type="spellEnd"/>
      <w:r w:rsidRPr="00EB4664">
        <w:rPr>
          <w:lang w:val="cs-CZ"/>
        </w:rPr>
        <w:t xml:space="preserve">) prezentaci závěrů, k nimž dospěla studie střediska o </w:t>
      </w:r>
      <w:proofErr w:type="spellStart"/>
      <w:r w:rsidRPr="00EB4664">
        <w:rPr>
          <w:lang w:val="cs-CZ"/>
        </w:rPr>
        <w:t>mikrocertifikátech</w:t>
      </w:r>
      <w:proofErr w:type="spellEnd"/>
      <w:r w:rsidRPr="00EB4664">
        <w:rPr>
          <w:lang w:val="cs-CZ"/>
        </w:rPr>
        <w:t xml:space="preserve">, která se stala podkladem pro návrh Komise na doporučení Rady k tomuto tématu; </w:t>
      </w:r>
      <w:proofErr w:type="spellStart"/>
      <w:r w:rsidRPr="00EB4664">
        <w:rPr>
          <w:lang w:val="cs-CZ"/>
        </w:rPr>
        <w:t>iv</w:t>
      </w:r>
      <w:proofErr w:type="spellEnd"/>
      <w:r w:rsidRPr="00EB4664">
        <w:rPr>
          <w:lang w:val="cs-CZ"/>
        </w:rPr>
        <w:t xml:space="preserve">) studii proveditelnosti vypracovanou střediskem v souvislosti s průzkumem, který by měl být prováděn mezi učiteli a školiteli počátečního odborného vzdělávání a přípravy; v) dokončení druhého projektu „Budoucnost odborného vzdělávání a přípravy“, který přispívá k lepšímu celkovému pochopení výzev a příležitostí, jimž budou evropské odborné vzdělávání a příprava čelit v nadcházejících letech; a </w:t>
      </w:r>
      <w:proofErr w:type="spellStart"/>
      <w:r w:rsidRPr="00EB4664">
        <w:rPr>
          <w:lang w:val="cs-CZ"/>
        </w:rPr>
        <w:t>vi</w:t>
      </w:r>
      <w:proofErr w:type="spellEnd"/>
      <w:r w:rsidRPr="00EB4664">
        <w:rPr>
          <w:lang w:val="cs-CZ"/>
        </w:rPr>
        <w:t>) zveřejnění druhého evropského průzkumu dovedností a pracovních míst, který pomohl objasnit digitalizaci a její dopad na pracovní místa a dovednosti;</w:t>
      </w:r>
    </w:p>
    <w:p w:rsidR="00377E9A" w:rsidRPr="00EB4664" w:rsidRDefault="00377E9A" w:rsidP="00377E9A">
      <w:pPr>
        <w:pStyle w:val="NormalHanging12a"/>
        <w:rPr>
          <w:szCs w:val="24"/>
        </w:rPr>
      </w:pPr>
      <w:r w:rsidRPr="00EB4664">
        <w:t>6.</w:t>
      </w:r>
      <w:r w:rsidRPr="00EB4664">
        <w:tab/>
        <w:t xml:space="preserve">oceňuje činnost a vysoce kvalitní práci střediska při zajišťování výzkumu, analýz a technického poradenství a odborných znalostí v oblasti odborného vzdělávání a přípravy, kvalifikací a politik zaměřených na dovednosti pro účely podpory kvalitního vzdělávání, které je přizpůsobeno potřebám jednotlivců a pracovního trhu; připomíná, že středisko má důležitou úlohu při zajišťování integrace digitálních dovedností do odborného vzdělávání a přípravy v celé Unii a při sledování dopadu a uplatňování doporučení Rady týkajících se evropské agendy dovedností, odborného vzdělávání a </w:t>
      </w:r>
      <w:r w:rsidRPr="00EB4664">
        <w:lastRenderedPageBreak/>
        <w:t>odborné přípravy v zájmu udržitelné konkurenceschopnosti, sociální spravedlnosti a odolnosti a akčního plán digitálního vzdělávání; zdůrazňuje, že je třeba i nadále zajišťovat odpovídající lidské a finanční zdroje, které by středisku umožňovaly plnit jeho mandát a pokračovat v provádění jeho pracovního programu s velmi vysokou mírou dokončení činností;</w:t>
      </w:r>
    </w:p>
    <w:p w:rsidR="00377E9A" w:rsidRPr="00EB4664" w:rsidRDefault="00377E9A" w:rsidP="00377E9A">
      <w:pPr>
        <w:pStyle w:val="Normal12Hanging"/>
        <w:rPr>
          <w:b/>
          <w:i/>
          <w:szCs w:val="24"/>
          <w:lang w:val="cs-CZ"/>
        </w:rPr>
      </w:pPr>
      <w:r w:rsidRPr="00EB4664">
        <w:rPr>
          <w:b/>
          <w:i/>
          <w:lang w:val="cs-CZ"/>
        </w:rPr>
        <w:t>Efektivita a úspory</w:t>
      </w:r>
    </w:p>
    <w:p w:rsidR="00377E9A" w:rsidRPr="00EB4664" w:rsidRDefault="00377E9A" w:rsidP="00377E9A">
      <w:pPr>
        <w:pStyle w:val="Normal12Hanging"/>
        <w:rPr>
          <w:lang w:val="cs-CZ"/>
        </w:rPr>
      </w:pPr>
      <w:r w:rsidRPr="00EB4664">
        <w:rPr>
          <w:lang w:val="cs-CZ"/>
        </w:rPr>
        <w:t>7.</w:t>
      </w:r>
      <w:r w:rsidRPr="00EB4664">
        <w:rPr>
          <w:lang w:val="cs-CZ"/>
        </w:rPr>
        <w:tab/>
        <w:t>oceňuje dlouhodobou spolupráci střediska s Evropskou nadací odborného vzdělávání (ETF) a Evropskou nadací pro zlepšení životních a pracovních podmínek (</w:t>
      </w:r>
      <w:proofErr w:type="spellStart"/>
      <w:r w:rsidRPr="00EB4664">
        <w:rPr>
          <w:lang w:val="cs-CZ"/>
        </w:rPr>
        <w:t>Eurofound</w:t>
      </w:r>
      <w:proofErr w:type="spellEnd"/>
      <w:r w:rsidRPr="00EB4664">
        <w:rPr>
          <w:lang w:val="cs-CZ"/>
        </w:rPr>
        <w:t xml:space="preserve">) a výměnu informací mezi nimi; konstatuje, že středisko a nadace ETF spolupracují na společných projektech týkajících se odborného vzdělávání a přípravy, publikací, ekonomiky platformy  resp. činnosti platformy v oblasti sladění nabízených a požadovaných dovedností a předvídání/identifikace potřeb v oblasti dovedností, monitorování a analýz pokroku jednotlivých zemí, jakož i evropského průzkumu dovedností a pracovních míst; konstatuje rovněž, že v roce 2022 středisko dále posílilo svou dlouhodobou spolupráci s nadací </w:t>
      </w:r>
      <w:proofErr w:type="spellStart"/>
      <w:r w:rsidRPr="00EB4664">
        <w:rPr>
          <w:lang w:val="cs-CZ"/>
        </w:rPr>
        <w:t>Eurofound</w:t>
      </w:r>
      <w:proofErr w:type="spellEnd"/>
      <w:r w:rsidRPr="00EB4664">
        <w:rPr>
          <w:lang w:val="cs-CZ"/>
        </w:rPr>
        <w:t xml:space="preserve"> v oblasti provozních činností tím, že společně připravily druhou stěžejní zprávu o dovednostech založenou na evropském průzkumu společností, navázaly užší spolupráci v oblasti spravedlivé ekologické transformace a společně řídily přípravu a organizaci akce pěti agentur nazvané „Mládež na prvním místě!“, která se konala v Parlamentu; oceňuje uzavření zvláštního memoranda o porozumění mezi střediskem a Evropským orgánem pro pracovní záležitosti, které se týká sdílení znalostí a synergií se zaměřením na dovednosti a trendy na trhu práce a přeshraniční mobilitu pracovních sil; v neposlední řadě bere na vědomí dohody o úrovni služeb, které středisko uzavřelo s Evropským institutem pro rovnost žen a mužů, aby s ním mohlo sdílet účetní služby, a s agenturou Evropské unie pro kybernetickou bezpečnost v oblastech, jako je mimo jiné ochrana údajů, zadávání veřejných zakázek a informační a komunikační technologie, jakož i probíhající diskusi s nadací ETF o společném úředníkovi pro kybernetickou bezpečnost; dále vyzývá středisko a další agentury, aby prozkoumaly a určily nové synergie a oblasti spolupráce s cílem zvýšit úspory plynoucí z vyšší efektivity a snížit náklady;</w:t>
      </w:r>
    </w:p>
    <w:p w:rsidR="00377E9A" w:rsidRPr="00EB4664" w:rsidRDefault="00377E9A" w:rsidP="00377E9A">
      <w:pPr>
        <w:pStyle w:val="Normal12Hanging"/>
        <w:rPr>
          <w:szCs w:val="24"/>
          <w:lang w:val="cs-CZ"/>
        </w:rPr>
      </w:pPr>
      <w:r w:rsidRPr="00EB4664">
        <w:rPr>
          <w:lang w:val="cs-CZ"/>
        </w:rPr>
        <w:t>8.</w:t>
      </w:r>
      <w:r w:rsidRPr="00EB4664">
        <w:rPr>
          <w:lang w:val="cs-CZ"/>
        </w:rPr>
        <w:tab/>
        <w:t xml:space="preserve">s uspokojením bere na vědomí, že se středisko zavázalo dosáhnout do roku 2030 uhlíkové neutrality a že v roce 2023 přijalo strategii a akční plán pro klimatickou neutralitu; v této souvislosti bere na vědomí konkrétní opatření, která byla přijata již v roce 2022, jako je instalace energeticky účinných okenních rolet a dokončení přípravných prací na instalaci </w:t>
      </w:r>
      <w:proofErr w:type="spellStart"/>
      <w:r w:rsidRPr="00EB4664">
        <w:rPr>
          <w:lang w:val="cs-CZ"/>
        </w:rPr>
        <w:t>fotovoltaických</w:t>
      </w:r>
      <w:proofErr w:type="spellEnd"/>
      <w:r w:rsidRPr="00EB4664">
        <w:rPr>
          <w:lang w:val="cs-CZ"/>
        </w:rPr>
        <w:t xml:space="preserve"> panelů v roce 2023 s cílem vyrábět vlastní elektřinu z obnovitelných zdrojů, což by podle očekávání mělo zajistit přibližně 50% návratnost investic; oceňuje, že cíle střediska pro rok 2022 byly úspěšně dosaženy nebo překročeny, kdy ve srovnání s rokem 2019 došlo ke snížení spotřeby elektřiny (o 27 %), topného oleje (o 43 %) a papíru (o 73 %) a ke snížení nákladů na služební cesty (o 71 %) a náklady na schůze v prezenčním režimu (o 56,5 %);</w:t>
      </w:r>
    </w:p>
    <w:p w:rsidR="00377E9A" w:rsidRPr="00EB4664" w:rsidRDefault="00377E9A" w:rsidP="00377E9A">
      <w:pPr>
        <w:pStyle w:val="Normal12Hanging"/>
        <w:rPr>
          <w:szCs w:val="24"/>
          <w:lang w:val="cs-CZ"/>
        </w:rPr>
      </w:pPr>
      <w:r w:rsidRPr="00EB4664">
        <w:rPr>
          <w:lang w:val="cs-CZ"/>
        </w:rPr>
        <w:t>9.</w:t>
      </w:r>
      <w:r w:rsidRPr="00EB4664">
        <w:rPr>
          <w:lang w:val="cs-CZ"/>
        </w:rPr>
        <w:tab/>
        <w:t>oceňuje posílení oblasti hlavní činnosti střediska, k čemuž přispělo úsilí o zjednodušení a zefektivnění správy, sdílení znalostí a zdrojů s jinými agenturami, digitalizaci, racionalizaci a reorganizaci úkolů a také omezení schůzí v prezenčním režimu a zvýšení on-line účasti na akcích; bere na vědomí výsledek tohoto úsilí, mimo jiné přeměnu tří míst AST na místa AD a úspory ve výši přibližně 390 000 EUR v důsledku snížení počtu schůzí v prezenčním režimu, což vše přispělo k chvályhodnému zvýšení podílu zaměstnanců působících v oblasti hlavní činnosti z 66,5 % v roce 2021 na 73,2 % v roce 2022;</w:t>
      </w:r>
    </w:p>
    <w:p w:rsidR="00377E9A" w:rsidRPr="00EB4664" w:rsidRDefault="00377E9A" w:rsidP="00377E9A">
      <w:pPr>
        <w:pStyle w:val="Normal12Hanging"/>
        <w:rPr>
          <w:szCs w:val="24"/>
          <w:lang w:val="cs-CZ"/>
        </w:rPr>
      </w:pPr>
      <w:r w:rsidRPr="00EB4664">
        <w:rPr>
          <w:lang w:val="cs-CZ"/>
        </w:rPr>
        <w:lastRenderedPageBreak/>
        <w:t>10.</w:t>
      </w:r>
      <w:r w:rsidRPr="00EB4664">
        <w:rPr>
          <w:lang w:val="cs-CZ"/>
        </w:rPr>
        <w:tab/>
        <w:t>chválí středisko za další pokrok v provádění jeho strategie v oblasti IKT a digitalizace, jejímž cílem je dosáhnout dalšího zvyšování efektivity; konstatuje, že v roce 2022 středisko digitalizovalo všechny pracovní postupy, zavedlo digitální nástroj pro výběrová řízení a nové digitální pracovní prostředí usnadňující spolupráci a připravilo a v lednu 2023 zahájilo používání nástroje pro řízení zadávání veřejných zakázek; oceňuje, že středisko zavedlo digitální podpisy pro všechny své zaměstnance a že manažeři používají certifikáty EU-Sign pro smlouvy, objednávky a právně závazné dokumenty;</w:t>
      </w:r>
    </w:p>
    <w:p w:rsidR="00377E9A" w:rsidRPr="00EB4664" w:rsidRDefault="00377E9A" w:rsidP="00377E9A">
      <w:pPr>
        <w:spacing w:after="240"/>
        <w:ind w:left="567" w:hanging="567"/>
        <w:rPr>
          <w:iCs/>
        </w:rPr>
      </w:pPr>
      <w:r w:rsidRPr="00EB4664">
        <w:t>11.</w:t>
      </w:r>
      <w:r w:rsidRPr="00EB4664">
        <w:tab/>
        <w:t>na základě zprávy Účetního dvora konstatuje, že středisko nepatří mezi agentury, které mají určitou formu podávání zpráv o životním prostředí, jež začleňují do svých výročních zpráv o činnosti, a které získaly registraci v systému EMAS; bere nicméně na vědomí systém střediska pro environmentální řízení, který pomáhá středisku dosáhnout cílů v oblasti životního prostředí, mimo jiné využíváním klíčových ukazatelů výkonnosti týkajících se spotřeby energie, vody a papíru a také odpadu a emisí CO</w:t>
      </w:r>
      <w:r w:rsidRPr="00EB4664">
        <w:rPr>
          <w:vertAlign w:val="subscript"/>
        </w:rPr>
        <w:t>2</w:t>
      </w:r>
      <w:r w:rsidRPr="00EB4664">
        <w:t>; s uspokojením konstatuje, že systém řízení výkonnosti střediska zahrnuje environmentální ukazatel („emise CO</w:t>
      </w:r>
      <w:r w:rsidRPr="00EB4664">
        <w:rPr>
          <w:vertAlign w:val="subscript"/>
        </w:rPr>
        <w:t>2</w:t>
      </w:r>
      <w:r w:rsidRPr="00EB4664">
        <w:t xml:space="preserve"> (v tunách)“), který hodnotí environmentální výkonnost střediska sledováním emisí CO</w:t>
      </w:r>
      <w:r w:rsidRPr="00EB4664">
        <w:rPr>
          <w:vertAlign w:val="subscript"/>
        </w:rPr>
        <w:t>2</w:t>
      </w:r>
      <w:r w:rsidRPr="00EB4664">
        <w:t xml:space="preserve"> a celkových emisí z odpadu; dále bere na vědomí závazek střediska modernizovat svůj systém environmentálního řízení a podniknout kroky k tomu, aby od roku 2025 získalo certifikaci EMAS;</w:t>
      </w:r>
    </w:p>
    <w:p w:rsidR="00377E9A" w:rsidRPr="00EB4664" w:rsidRDefault="00377E9A" w:rsidP="00377E9A">
      <w:pPr>
        <w:pStyle w:val="Normal12Hanging"/>
        <w:rPr>
          <w:b/>
          <w:i/>
          <w:szCs w:val="24"/>
          <w:lang w:val="cs-CZ"/>
        </w:rPr>
      </w:pPr>
      <w:r w:rsidRPr="00EB4664">
        <w:rPr>
          <w:b/>
          <w:i/>
          <w:lang w:val="cs-CZ"/>
        </w:rPr>
        <w:t>Personální politika</w:t>
      </w:r>
    </w:p>
    <w:p w:rsidR="00377E9A" w:rsidRPr="00EB4664" w:rsidRDefault="00377E9A" w:rsidP="00377E9A">
      <w:pPr>
        <w:pStyle w:val="Normal12Hanging"/>
        <w:rPr>
          <w:szCs w:val="24"/>
          <w:lang w:val="cs-CZ"/>
        </w:rPr>
      </w:pPr>
      <w:r w:rsidRPr="00EB4664">
        <w:rPr>
          <w:lang w:val="cs-CZ"/>
        </w:rPr>
        <w:t>12.</w:t>
      </w:r>
      <w:r w:rsidRPr="00EB4664">
        <w:rPr>
          <w:lang w:val="cs-CZ"/>
        </w:rPr>
        <w:tab/>
        <w:t>konstatuje, že ke dni 31. prosince 2022 byl plán pracovních míst naplněn z 95,60 %, přičemž bylo jmenováno 79 z 83 dočasných zaměstnanců a osm z osmi úředníků schválených v rozpočtu Unie; dále konstatuje, že v roce 2022 pracovalo ve středisku 20 smluvních zaměstnanců, přičemž v rámci rozpočtu Unie bylo schváleno 25 pracovních míst, a čtyři vyslaní národní odborníci a pět dočasných zaměstnanců;</w:t>
      </w:r>
    </w:p>
    <w:p w:rsidR="00377E9A" w:rsidRPr="00EB4664" w:rsidRDefault="00377E9A" w:rsidP="00377E9A">
      <w:pPr>
        <w:pStyle w:val="NormalHanging12a"/>
      </w:pPr>
      <w:r w:rsidRPr="00EB4664">
        <w:t>13.</w:t>
      </w:r>
      <w:r w:rsidRPr="00EB4664">
        <w:tab/>
        <w:t>konstatuje, že pokud jde o genderovou vyváženost vykázanou za rok 2022, je vrcholné vedení střediska složeno ze čtyř mužů (66,7 %) a dvou žen (33,3 %); konstatuje, že správní radu tvoří 78 mužů (53 %) a 68 žen (47 %); připomíná mandát střediska a skutečnost, že vysoký počet členů správní rady (1</w:t>
      </w:r>
      <w:r w:rsidR="006F61FF">
        <w:t>4</w:t>
      </w:r>
      <w:r w:rsidRPr="00EB4664">
        <w:t>6) pochází z jeho zvláštního složení založeného na tripartitní zásadě, tedy včetně zástupců vnitrostátních orgánů a sociálních partnerů; je si vědom toho, že správní rada střediska prostřednictvím svých členů zajišťuje nezbytný soulad mezi prací střediska a potřebami a prioritami zúčastněných stran; dále konstatuje, že pokud jde o genderovou strukturu zaměstnanců střediska obecně, tvoří muži 44 % (47) a ženy 56 % (61); připomíná význam zeměpisné vyváženosti a vítá v tomto ohledu na základě následné zprávy závazek střediska zajistit lepší zeměpisné vyvážení mezi svými zaměstnanci tím, že bude využívat rezervní seznamy jiných agentur a že s nimi rovněž spojí síly při oznamování volných pracovních míst;</w:t>
      </w:r>
    </w:p>
    <w:p w:rsidR="00377E9A" w:rsidRPr="00EB4664" w:rsidRDefault="00377E9A" w:rsidP="00377E9A">
      <w:pPr>
        <w:pStyle w:val="Normal12Hanging"/>
        <w:rPr>
          <w:szCs w:val="24"/>
          <w:lang w:val="cs-CZ"/>
        </w:rPr>
      </w:pPr>
      <w:r w:rsidRPr="00EB4664">
        <w:rPr>
          <w:lang w:val="cs-CZ"/>
        </w:rPr>
        <w:t>14.</w:t>
      </w:r>
      <w:r w:rsidRPr="00EB4664">
        <w:rPr>
          <w:lang w:val="cs-CZ"/>
        </w:rPr>
        <w:tab/>
        <w:t xml:space="preserve">s uspokojením konstatuje, že středisko aktivně pracuje na zlepšování dobrých životních podmínek zaměstnanců a rovnováhy mezi pracovním a soukromým životem; v této souvislosti konstatuje, že v roce 2022 středisko nabízelo školení (např. zvládání úzkosti na pracovišti, dosahování dobrých výsledků při stresu, digitální rovnováha), provádělo „orientační průzkumy“ v oblasti lidských zdrojů, reorganizovalo svůj společný výbor, který slouží k podpoře dobrých životních podmínek a zdraví zaměstnanců, a zavedlo nepřetržitý program pomoci zaměstnancům poskytující diskrétní poradenství, pokud jde o různé výzvy související s životem nebo prací, s nimiž se zaměstnanci střediska </w:t>
      </w:r>
      <w:r w:rsidRPr="00EB4664">
        <w:rPr>
          <w:lang w:val="cs-CZ"/>
        </w:rPr>
        <w:lastRenderedPageBreak/>
        <w:t>potýkají;</w:t>
      </w:r>
    </w:p>
    <w:p w:rsidR="00377E9A" w:rsidRPr="00EB4664" w:rsidRDefault="00377E9A" w:rsidP="00377E9A">
      <w:pPr>
        <w:pStyle w:val="NormalHanging12a"/>
      </w:pPr>
      <w:r w:rsidRPr="00EB4664">
        <w:t>15.</w:t>
      </w:r>
      <w:r w:rsidRPr="00EB4664">
        <w:tab/>
        <w:t>konstatuje, že středisko zahájilo v roce 2022 pravidelný průzkum zapojení zaměstnanců (SES), jehož výsledky ukázaly příznivé reakce 65 % zaměstnanců střediska (při 75% míře odpovědí), přičemž 10 z 12 rozměrů analýzy zaznamenalo ve srovnání s výsledky průzkumu z roku 2019 pozitivní změny, a to navzdory velmi nepříznivému období následujícímu po posledním průzkumu v uvedeném roce, zatímco jiným oblastem, jako je pracovní zátěž, transparentnost rozhodování a vnitřní spolupráce, je podle průzkumu třeba věnovat větší pozornost; vítá skutečnost, že výsledky průzkumu byly prezentovány všem zaměstnancům na valném shromáždění a na zvláštních schůzích, kde bylo možné klást k průzkumu dotazy;</w:t>
      </w:r>
    </w:p>
    <w:p w:rsidR="00377E9A" w:rsidRPr="00EB4664" w:rsidRDefault="00377E9A" w:rsidP="00377E9A">
      <w:pPr>
        <w:pStyle w:val="NormalHanging12a"/>
      </w:pPr>
      <w:r w:rsidRPr="00EB4664">
        <w:t>16.</w:t>
      </w:r>
      <w:r w:rsidRPr="00EB4664">
        <w:tab/>
        <w:t>oceňuje, že v rámci politiky střediska v oblasti rovných příležitostí a rozmanitosti a pokud jde o podporu osob se zdravotním postižením, byla přijata opatření, jako jsou školení (o otázkách rozmanitosti a začleňování) a poradenství (jak odhalovat nevědomé předsudky a bojovat proti nim) pro zaměstnance v oblasti lidských zdrojů a výběrové komise nebo úpravy podmínek pro uchazeče se zdravotním postižením; na základě odpovědí střediska na otázky Parlamentu k písemnému zodpovězení rovněž konstatuje, že středisko má v roce 2023 v úmyslu přijmout „chartu o rozmanitosti a začleňování“;</w:t>
      </w:r>
    </w:p>
    <w:p w:rsidR="00377E9A" w:rsidRPr="00EB4664" w:rsidRDefault="00377E9A" w:rsidP="00377E9A">
      <w:pPr>
        <w:pStyle w:val="Normal12Hanging"/>
        <w:rPr>
          <w:szCs w:val="24"/>
          <w:lang w:val="cs-CZ"/>
        </w:rPr>
      </w:pPr>
      <w:r w:rsidRPr="00EB4664">
        <w:rPr>
          <w:lang w:val="cs-CZ"/>
        </w:rPr>
        <w:t>17.</w:t>
      </w:r>
      <w:r w:rsidRPr="00EB4664">
        <w:rPr>
          <w:lang w:val="cs-CZ"/>
        </w:rPr>
        <w:tab/>
        <w:t xml:space="preserve">na základě zprávy Účetního dvora se znepokojením bere na vědomí připomínku, že středisko v období 2017–2022 vyplácelo měsíční a denní příspěvky dvěma řeckým státním příslušníkům zaměstnaným jako vyslaní národní odborníci; v této souvislosti konstatuje, že podle vnitřních předpisů střediska neměli tito dva vyslaní národní odborníci na tyto příspěvky nárok, neboť středisko se nachází v Řecku, a proto celkové související platby provedené oběma vyslaným národním odborníkům během tohoto období ve výši 222 647 EUR (oproti </w:t>
      </w:r>
      <w:proofErr w:type="gramStart"/>
      <w:r w:rsidRPr="00EB4664">
        <w:rPr>
          <w:lang w:val="cs-CZ"/>
        </w:rPr>
        <w:t>36 608</w:t>
      </w:r>
      <w:proofErr w:type="gramEnd"/>
      <w:r w:rsidRPr="00EB4664">
        <w:rPr>
          <w:lang w:val="cs-CZ"/>
        </w:rPr>
        <w:t> EUR v roce 2022) jsou považovány za neoprávněné; dále konstatuje, že když středisko v roce 2022 tyto nesrovnalosti zjistilo, zaevidovalo tyto dva případy do registru případů nesouladu a výjimek, rozhodlo se nepožadovat vrácení neoprávněně vyplacených částek a zavedlo tříměsíční přechodné období pro vyslaného národního odborníka, který v té době ve středisku i nadále působil; vyzývá k přísným kontrolám a zajištění toho, aby se podobné situace v budoucnu neopakovaly;</w:t>
      </w:r>
    </w:p>
    <w:p w:rsidR="00377E9A" w:rsidRPr="00EB4664" w:rsidRDefault="00377E9A" w:rsidP="00377E9A">
      <w:pPr>
        <w:pStyle w:val="Normal12Hanging"/>
        <w:rPr>
          <w:b/>
          <w:i/>
          <w:szCs w:val="24"/>
          <w:lang w:val="cs-CZ"/>
        </w:rPr>
      </w:pPr>
      <w:r w:rsidRPr="00EB4664">
        <w:rPr>
          <w:b/>
          <w:i/>
          <w:lang w:val="cs-CZ"/>
        </w:rPr>
        <w:t>Prevence a řešení střetů zájmů a transparentnost</w:t>
      </w:r>
    </w:p>
    <w:p w:rsidR="00377E9A" w:rsidRPr="00EB4664" w:rsidRDefault="00377E9A" w:rsidP="00377E9A">
      <w:pPr>
        <w:pStyle w:val="Normal12Hanging"/>
        <w:rPr>
          <w:szCs w:val="24"/>
          <w:lang w:val="cs-CZ"/>
        </w:rPr>
      </w:pPr>
      <w:r w:rsidRPr="00EB4664">
        <w:rPr>
          <w:lang w:val="cs-CZ"/>
        </w:rPr>
        <w:t>18.</w:t>
      </w:r>
      <w:r w:rsidRPr="00EB4664">
        <w:rPr>
          <w:lang w:val="cs-CZ"/>
        </w:rPr>
        <w:tab/>
        <w:t>bere na vědomí stávající opatření střediska a jeho dlouhodobé úsilí o zajištění transparentnosti, předcházení a řešení střetů zájmů a ochranu oznamovatelů; všímá si, že středisko žádá své zaměstnance, aby oznámili potenciální nebo skutečné zájmy, pokud jednají v situaci, kdy může dojít ke střetu zájmů; v této souvislosti konstatuje, že středisko zavedlo svůj vlastní mechanismus, který zahrnuje opatření ex ante se zmírňujícími opatřeními, kontroly ex post a pomoc koordinátora vnitřní kontroly střediska, který dostává informace o oznámených střetech zájmů;</w:t>
      </w:r>
    </w:p>
    <w:p w:rsidR="00377E9A" w:rsidRPr="00EB4664" w:rsidRDefault="00377E9A" w:rsidP="00377E9A">
      <w:pPr>
        <w:pStyle w:val="Normal12Hanging"/>
        <w:rPr>
          <w:szCs w:val="24"/>
          <w:lang w:val="cs-CZ"/>
        </w:rPr>
      </w:pPr>
      <w:r w:rsidRPr="00EB4664">
        <w:rPr>
          <w:lang w:val="cs-CZ"/>
        </w:rPr>
        <w:t>19.</w:t>
      </w:r>
      <w:r w:rsidRPr="00EB4664">
        <w:rPr>
          <w:lang w:val="cs-CZ"/>
        </w:rPr>
        <w:tab/>
        <w:t xml:space="preserve">připomíná, že podle nařízení (EU) 2019/128 musí všichni členové a náhradníci, kteří se účastní zasedání správní rady nebo vykonávají hlasovací právo, předložit prohlášení o zájmech; vítá skutečnost, že na internetových stránkách střediska byla zveřejněna prohlášení o zájmech všech členů správní rady (a náhradníků) a zaměstnanců střediska na vyšších nebo středních vedoucích pozicích; na základě odpovědí střediska na otázky Parlamentu k písemnému zodpovězení konstatuje, že od roku 2022 členové správní rady (nebo náhradníci), kteří neposkytují podepsané prohlášení o zájmech, již nejsou zváni </w:t>
      </w:r>
      <w:r w:rsidRPr="00EB4664">
        <w:rPr>
          <w:lang w:val="cs-CZ"/>
        </w:rPr>
        <w:lastRenderedPageBreak/>
        <w:t>na schůze správní rady, nedostávají dokumenty správní rady a neúčastní se písemných postupů pro přijímání rozhodnutí; bere na vědomí, že byly zveřejněny životopisy členů správní rady, i když to není oficiálně vyžadováno; konstatuje, že životopisy některých členů správní rady stále chybí, včetně životopisu předsedy správní rady; vyzývá středisko, aby zveřejnilo životopisy všech svých členů správní rady a jejich náhradníků;</w:t>
      </w:r>
    </w:p>
    <w:p w:rsidR="00377E9A" w:rsidRPr="00EB4664" w:rsidRDefault="00377E9A" w:rsidP="00377E9A">
      <w:pPr>
        <w:pStyle w:val="Normal12Hanging"/>
        <w:rPr>
          <w:szCs w:val="24"/>
          <w:lang w:val="cs-CZ"/>
        </w:rPr>
      </w:pPr>
      <w:r w:rsidRPr="00EB4664">
        <w:rPr>
          <w:lang w:val="cs-CZ"/>
        </w:rPr>
        <w:t>20.</w:t>
      </w:r>
      <w:r w:rsidRPr="00EB4664">
        <w:rPr>
          <w:lang w:val="cs-CZ"/>
        </w:rPr>
        <w:tab/>
        <w:t>konstatuje, že středisko si je vědomo závažnosti situací „otáčivých dveří“ a pravidelně zvyšuje povědomí všech svých zaměstnanců o prováděcích pravidlech týkajících se mimopracovních činností a úkolů a pracovních činností po skončení pracovního poměru; oceňuje, že všichni zaměstnanci, kteří opouštějí středisko, jsou požádáni, aby podepsali dokument o svých povinnostech po skončení pracovního poměru, včetně toho, že žádné budoucí zaměstnání by nemělo být v rozporu s jejich povinností zachovávat mlčenlivost o skutečnostech týkajících se střediska;</w:t>
      </w:r>
    </w:p>
    <w:p w:rsidR="00377E9A" w:rsidRPr="00EB4664" w:rsidRDefault="00377E9A" w:rsidP="00377E9A">
      <w:pPr>
        <w:pStyle w:val="Normal12Hanging"/>
        <w:rPr>
          <w:b/>
          <w:i/>
          <w:szCs w:val="24"/>
          <w:lang w:val="cs-CZ"/>
        </w:rPr>
      </w:pPr>
      <w:r w:rsidRPr="00EB4664">
        <w:rPr>
          <w:b/>
          <w:i/>
          <w:lang w:val="cs-CZ"/>
        </w:rPr>
        <w:t>Vnitřní kontrola</w:t>
      </w:r>
    </w:p>
    <w:p w:rsidR="00377E9A" w:rsidRPr="00EB4664" w:rsidRDefault="00377E9A" w:rsidP="00377E9A">
      <w:pPr>
        <w:pStyle w:val="Normal12Hanging"/>
        <w:rPr>
          <w:szCs w:val="24"/>
          <w:lang w:val="cs-CZ"/>
        </w:rPr>
      </w:pPr>
      <w:r w:rsidRPr="00EB4664">
        <w:rPr>
          <w:lang w:val="cs-CZ"/>
        </w:rPr>
        <w:t>21.</w:t>
      </w:r>
      <w:r w:rsidRPr="00EB4664">
        <w:rPr>
          <w:lang w:val="cs-CZ"/>
        </w:rPr>
        <w:tab/>
        <w:t>konstatuje, že celkové náklady na vnitřní kontrolu v roce 2022 činily 1 101 755 EUR (přímé náklady ve výši 29 024 EUR a nepřímé náklady ve výši 1 072 731 EUR), což představuje 6 % rozpočtu střediska; dále bere na vědomí prohlášení střediska, že mírné zvýšení nákladů ve srovnání s rokem 2021 (5,3 %) je způsobeno zvýšením mzdových nákladů a složením zaměstnanců zapojených do úkolů v oblasti vnitřní kontroly, což vedlo k vyšším nepřímým nákladům;</w:t>
      </w:r>
    </w:p>
    <w:p w:rsidR="00377E9A" w:rsidRPr="00EB4664" w:rsidRDefault="00377E9A" w:rsidP="00377E9A">
      <w:pPr>
        <w:pStyle w:val="Normal12Hanging"/>
        <w:rPr>
          <w:szCs w:val="24"/>
          <w:lang w:val="cs-CZ"/>
        </w:rPr>
      </w:pPr>
      <w:r w:rsidRPr="00EB4664">
        <w:rPr>
          <w:lang w:val="cs-CZ"/>
        </w:rPr>
        <w:t>22.</w:t>
      </w:r>
      <w:r w:rsidRPr="00EB4664">
        <w:rPr>
          <w:lang w:val="cs-CZ"/>
        </w:rPr>
        <w:tab/>
        <w:t>bere na vědomí, že podle své politiky hodnocení provádí středisko hodnocení ex ante u zadávacích řízení přesahujících 500 000 EUR a hodnocení ex post u projektů a činností, jejichž celkové výdaje rovněž přesahují 500 000 EUR; konstatuje, že vedoucí oddělení financí a veřejných zakázek dospěl ve své zprávě z roku 2022 k závěru, že zadávací řízení zahájená ve zkoumaném období byla v souladu s požadavky hodnocení ex ante; konstatuje, že v roce 2022 provedlo středisko hodnocení ex post u činnosti zaměřené na rámcovou smlouvu v oblasti analýzy informací o trhu práce a potřeb v oblasti dovedností (hodnota zakázky 1 088 350 EUR); konstatuje, že hodnocení potvrzuje, že dané činnosti byly účinné, efektivní a soudržné a přinesly přidanou hodnotu EU; dále konstatuje, že v roce 2022 dospěla pracovní skupina jmenovaná výkonným ředitelem k závěru, že pokud jde o vzorek tří zadávacích řízení, byla zavedena a dodržována kritéria týkající se účinné a efektivní vnitřní kontroly, aniž by byla zapotřebí jakákoli nápravná opatření;</w:t>
      </w:r>
    </w:p>
    <w:p w:rsidR="00377E9A" w:rsidRPr="00EB4664" w:rsidRDefault="00377E9A" w:rsidP="00377E9A">
      <w:pPr>
        <w:pStyle w:val="Normal12Hanging"/>
        <w:rPr>
          <w:szCs w:val="24"/>
          <w:lang w:val="cs-CZ"/>
        </w:rPr>
      </w:pPr>
      <w:r w:rsidRPr="00EB4664">
        <w:rPr>
          <w:lang w:val="cs-CZ"/>
        </w:rPr>
        <w:t>23.</w:t>
      </w:r>
      <w:r w:rsidRPr="00EB4664">
        <w:rPr>
          <w:lang w:val="cs-CZ"/>
        </w:rPr>
        <w:tab/>
        <w:t>konstatuje, že středisko v roce 2022 zaznamenalo 57 případů nesouladu a žádostí o výjimku v souvislosti s otázkami řízení smluv a finančního řízení; dále konstatuje, že doporučení vydaná koordinátorem vnitřní kontroly byla provedena a dále sledována, aby se zabránilo opakování těchto nedostatků;</w:t>
      </w:r>
    </w:p>
    <w:p w:rsidR="00377E9A" w:rsidRPr="00EB4664" w:rsidRDefault="00377E9A" w:rsidP="00377E9A">
      <w:pPr>
        <w:pStyle w:val="Normal12Hanging"/>
        <w:rPr>
          <w:szCs w:val="24"/>
          <w:lang w:val="cs-CZ"/>
        </w:rPr>
      </w:pPr>
      <w:r w:rsidRPr="00EB4664">
        <w:rPr>
          <w:lang w:val="cs-CZ"/>
        </w:rPr>
        <w:t>24.</w:t>
      </w:r>
      <w:r w:rsidRPr="00EB4664">
        <w:rPr>
          <w:lang w:val="cs-CZ"/>
        </w:rPr>
        <w:tab/>
        <w:t>konstatuje, že posouzení celkového rámce vnitřní kontroly střediska, které provedl koordinátor vnitřní kontroly za použití nástroje poskytnutého GŘ BUDG, dospělo k závěru, že rámec vnitřní kontroly je účinný, všechny jeho složky jsou zavedeny a fungují dobře pro zamýšlený účel, nicméně je třeba provést určitá zlepšení, pokud jde o složku vnitřní kontroly „kontrolní činnosti“; na základě následné zprávy s uspokojením konstatuje, že středisko v rámci svých činností zaměřených na zvyšování povědomí o otázkách etiky, integrity a vnitřní kontroly pořádá pro všechny zaměstnance i členy správní rady pravidelné povinné schůze zaměřené na řádnou správu věcí veřejných, včetně otázek souvisejících s podvody;</w:t>
      </w:r>
    </w:p>
    <w:p w:rsidR="00377E9A" w:rsidRPr="00EB4664" w:rsidRDefault="00377E9A" w:rsidP="00377E9A">
      <w:pPr>
        <w:pStyle w:val="Normal12Hanging"/>
        <w:rPr>
          <w:szCs w:val="24"/>
          <w:lang w:val="cs-CZ"/>
        </w:rPr>
      </w:pPr>
      <w:r w:rsidRPr="00EB4664">
        <w:rPr>
          <w:b/>
          <w:i/>
          <w:lang w:val="cs-CZ"/>
        </w:rPr>
        <w:lastRenderedPageBreak/>
        <w:t>Další připomínky</w:t>
      </w:r>
    </w:p>
    <w:p w:rsidR="00377E9A" w:rsidRPr="00EB4664" w:rsidRDefault="00377E9A" w:rsidP="00377E9A">
      <w:pPr>
        <w:pStyle w:val="Normal12Hanging"/>
        <w:rPr>
          <w:szCs w:val="24"/>
          <w:lang w:val="cs-CZ"/>
        </w:rPr>
      </w:pPr>
      <w:r w:rsidRPr="00EB4664">
        <w:rPr>
          <w:lang w:val="cs-CZ"/>
        </w:rPr>
        <w:t>25.</w:t>
      </w:r>
      <w:r w:rsidRPr="00EB4664">
        <w:rPr>
          <w:lang w:val="cs-CZ"/>
        </w:rPr>
        <w:tab/>
        <w:t xml:space="preserve">vítá, že se středisko snaží komunikovat způsoby, které pomáhají oslovit širší publikum, včetně zavedení nástroje pro strojový překlad na internetových stránkách střediska s cílem zajistit, aby byly všechny jeho webové stránky přístupné ve všech úředních jazycích institucí Unie; konstatuje, že v roce 2022 středisko investovalo do několika inovativních produktů, jako jsou </w:t>
      </w:r>
      <w:proofErr w:type="spellStart"/>
      <w:r w:rsidRPr="00EB4664">
        <w:rPr>
          <w:lang w:val="cs-CZ"/>
        </w:rPr>
        <w:t>videoprodukce</w:t>
      </w:r>
      <w:proofErr w:type="spellEnd"/>
      <w:r w:rsidRPr="00EB4664">
        <w:rPr>
          <w:lang w:val="cs-CZ"/>
        </w:rPr>
        <w:t xml:space="preserve">, </w:t>
      </w:r>
      <w:proofErr w:type="spellStart"/>
      <w:r w:rsidRPr="00EB4664">
        <w:rPr>
          <w:lang w:val="cs-CZ"/>
        </w:rPr>
        <w:t>motion</w:t>
      </w:r>
      <w:proofErr w:type="spellEnd"/>
      <w:r w:rsidRPr="00EB4664">
        <w:rPr>
          <w:lang w:val="cs-CZ"/>
        </w:rPr>
        <w:t xml:space="preserve"> grafika, animace (o systémech odborného vzdělávání a přípravy v zemích, které v roce 2022 vykonávaly předsednictví Unie, tj. ve Francii a Česku) či </w:t>
      </w:r>
      <w:proofErr w:type="spellStart"/>
      <w:r w:rsidRPr="00EB4664">
        <w:rPr>
          <w:lang w:val="cs-CZ"/>
        </w:rPr>
        <w:t>podcasty</w:t>
      </w:r>
      <w:proofErr w:type="spellEnd"/>
      <w:r w:rsidRPr="00EB4664">
        <w:rPr>
          <w:lang w:val="cs-CZ"/>
        </w:rPr>
        <w:t>, a do nových vizualizací dat a on-line databází, které posílily internetový portál střediska; s uspokojením konstatuje, že publikace a informační sdělení střediska podle počtu jejich stažení oslovily desítky tisíc lidí; vyjadřuje středisku pochvalu za to, že se mu v roce 2022 podařilo zlepšit své ukazatele v sociálních médiích;</w:t>
      </w:r>
    </w:p>
    <w:p w:rsidR="00377E9A" w:rsidRPr="00EB4664" w:rsidRDefault="00377E9A" w:rsidP="00377E9A">
      <w:pPr>
        <w:pStyle w:val="Normal12Hanging"/>
        <w:rPr>
          <w:szCs w:val="24"/>
          <w:lang w:val="cs-CZ"/>
        </w:rPr>
      </w:pPr>
      <w:r w:rsidRPr="00EB4664">
        <w:rPr>
          <w:lang w:val="cs-CZ"/>
        </w:rPr>
        <w:t>26.</w:t>
      </w:r>
      <w:r w:rsidRPr="00EB4664">
        <w:rPr>
          <w:lang w:val="cs-CZ"/>
        </w:rPr>
        <w:tab/>
        <w:t>zdůrazňuje, že odborné vzdělávání a příprava a vzdělávání dospělých jsou klíčovými prioritami Evropského sociálního fondu plus (ESF+) pro dosažení zeleného a digitálního oživení a že ESF+ má na období 2021–2027 rozpočet ve výši téměř 99,3 miliardy EUR;</w:t>
      </w:r>
    </w:p>
    <w:p w:rsidR="00377E9A" w:rsidRPr="00EB4664" w:rsidRDefault="00377E9A" w:rsidP="00377E9A">
      <w:pPr>
        <w:pStyle w:val="NormalHanging12a"/>
      </w:pPr>
      <w:r w:rsidRPr="00EB4664">
        <w:t>27.</w:t>
      </w:r>
      <w:r w:rsidRPr="00EB4664">
        <w:tab/>
        <w:t>konstatuje, že v důsledku vysoké míry inflace a související úpravy platů, zvýšení platů nad rámec původních prognóz spolu se zvýšením váhového faktoru byla omezena flexibilita při zajišťování dodatečných zdrojů na hlavní činnost;</w:t>
      </w:r>
    </w:p>
    <w:p w:rsidR="00377E9A" w:rsidRPr="00EB4664" w:rsidRDefault="00377E9A" w:rsidP="00377E9A">
      <w:pPr>
        <w:pStyle w:val="NormalCenter12a"/>
      </w:pPr>
      <w:r w:rsidRPr="00EB4664">
        <w:t>°</w:t>
      </w:r>
    </w:p>
    <w:p w:rsidR="00377E9A" w:rsidRPr="00EB4664" w:rsidRDefault="00377E9A" w:rsidP="00377E9A">
      <w:pPr>
        <w:pStyle w:val="NormalCenter12a"/>
      </w:pPr>
      <w:r w:rsidRPr="00EB4664">
        <w:t>°</w:t>
      </w:r>
      <w:r w:rsidRPr="00EB4664">
        <w:tab/>
        <w:t>°</w:t>
      </w:r>
    </w:p>
    <w:p w:rsidR="00377E9A" w:rsidRDefault="00377E9A" w:rsidP="00377E9A">
      <w:pPr>
        <w:pStyle w:val="Normal12Hanging"/>
        <w:rPr>
          <w:lang w:val="cs-CZ"/>
        </w:rPr>
      </w:pPr>
      <w:r w:rsidRPr="00EB4664">
        <w:rPr>
          <w:lang w:val="cs-CZ"/>
        </w:rPr>
        <w:t>28.</w:t>
      </w:r>
      <w:r w:rsidRPr="00EB4664">
        <w:rPr>
          <w:lang w:val="cs-CZ"/>
        </w:rPr>
        <w:tab/>
        <w:t>pokud jde o další připomínky, které jsou připojeny k rozhodnutí o udělení absolutoria a jsou horizontální povahy, odkazuje na své usnesení ze dne</w:t>
      </w:r>
      <w:r w:rsidR="006700D7">
        <w:rPr>
          <w:lang w:val="cs-CZ"/>
        </w:rPr>
        <w:t xml:space="preserve"> 11. dubna</w:t>
      </w:r>
      <w:r w:rsidRPr="00EB4664">
        <w:rPr>
          <w:lang w:val="cs-CZ"/>
        </w:rPr>
        <w:t xml:space="preserve"> 2024</w:t>
      </w:r>
      <w:r w:rsidRPr="00EB4664">
        <w:rPr>
          <w:rStyle w:val="FootnoteReference"/>
          <w:lang w:val="cs-CZ"/>
        </w:rPr>
        <w:footnoteReference w:id="12"/>
      </w:r>
      <w:r w:rsidRPr="00EB4664">
        <w:rPr>
          <w:lang w:val="cs-CZ"/>
        </w:rPr>
        <w:t xml:space="preserve"> o výkonnosti, finančním řízení a kontrole agentur.</w:t>
      </w:r>
    </w:p>
    <w:sectPr w:rsidR="00377E9A" w:rsidSect="00EB466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2EF4" w:rsidRPr="00EB4664" w:rsidRDefault="002B2EF4">
      <w:r w:rsidRPr="00EB4664">
        <w:separator/>
      </w:r>
    </w:p>
  </w:endnote>
  <w:endnote w:type="continuationSeparator" w:id="0">
    <w:p w:rsidR="002B2EF4" w:rsidRPr="00EB4664" w:rsidRDefault="002B2EF4">
      <w:r w:rsidRPr="00EB466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E9A" w:rsidRPr="00EB4664" w:rsidRDefault="00377E9A" w:rsidP="00A97703">
    <w:pPr>
      <w:pStyle w:val="EPFooter"/>
    </w:pPr>
    <w:r w:rsidRPr="00EB4664">
      <w:t>PE</w:t>
    </w:r>
    <w:r w:rsidRPr="00EB4664">
      <w:rPr>
        <w:rStyle w:val="HideTWBExt"/>
      </w:rPr>
      <w:t>&lt;NoPE&gt;</w:t>
    </w:r>
    <w:r w:rsidRPr="00EB4664">
      <w:t>753.509</w:t>
    </w:r>
    <w:r w:rsidRPr="00EB4664">
      <w:rPr>
        <w:rStyle w:val="HideTWBExt"/>
      </w:rPr>
      <w:t>&lt;/NoPE&gt;&lt;Version&gt;</w:t>
    </w:r>
    <w:r w:rsidRPr="00EB4664">
      <w:t>v02-00</w:t>
    </w:r>
    <w:r w:rsidRPr="00EB4664">
      <w:rPr>
        <w:rStyle w:val="HideTWBExt"/>
      </w:rPr>
      <w:t>&lt;/Version&gt;</w:t>
    </w:r>
    <w:r w:rsidRPr="00EB4664">
      <w:tab/>
    </w:r>
    <w:r w:rsidRPr="00EB4664">
      <w:fldChar w:fldCharType="begin"/>
    </w:r>
    <w:r w:rsidRPr="00EB4664">
      <w:instrText xml:space="preserve"> PAGE  \* MERGEFORMAT </w:instrText>
    </w:r>
    <w:r w:rsidRPr="00EB4664">
      <w:fldChar w:fldCharType="separate"/>
    </w:r>
    <w:r w:rsidRPr="00EB4664">
      <w:rPr>
        <w:noProof/>
      </w:rPr>
      <w:t>12</w:t>
    </w:r>
    <w:r w:rsidRPr="00EB4664">
      <w:fldChar w:fldCharType="end"/>
    </w:r>
    <w:r w:rsidRPr="00EB4664">
      <w:t>/</w:t>
    </w:r>
    <w:fldSimple w:instr=" NUMPAGES  \* MERGEFORMAT ">
      <w:r w:rsidRPr="00EB4664">
        <w:rPr>
          <w:noProof/>
        </w:rPr>
        <w:t>12</w:t>
      </w:r>
    </w:fldSimple>
    <w:r w:rsidRPr="00EB4664">
      <w:tab/>
    </w:r>
    <w:r w:rsidRPr="00EB4664">
      <w:rPr>
        <w:rStyle w:val="HideTWBExt"/>
      </w:rPr>
      <w:t>&lt;PathFdR&gt;</w:t>
    </w:r>
    <w:r w:rsidRPr="00EB4664">
      <w:t>RR\1298579CS.docx</w:t>
    </w:r>
    <w:r w:rsidRPr="00EB4664">
      <w:rPr>
        <w:rStyle w:val="HideTWBExt"/>
      </w:rPr>
      <w:t>&lt;/PathFdR&gt;</w:t>
    </w:r>
  </w:p>
  <w:p w:rsidR="00377E9A" w:rsidRPr="00EB4664" w:rsidRDefault="00377E9A" w:rsidP="00A97703">
    <w:pPr>
      <w:pStyle w:val="EPFooter2"/>
    </w:pPr>
    <w:r w:rsidRPr="00EB4664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E9A" w:rsidRPr="00EB4664" w:rsidRDefault="00377E9A" w:rsidP="00A97703">
    <w:pPr>
      <w:pStyle w:val="EPFooter"/>
    </w:pPr>
    <w:r w:rsidRPr="00EB4664">
      <w:rPr>
        <w:rStyle w:val="HideTWBExt"/>
      </w:rPr>
      <w:t>&lt;PathFdR&gt;</w:t>
    </w:r>
    <w:r w:rsidRPr="00EB4664">
      <w:t>RR\1298579CS.docx</w:t>
    </w:r>
    <w:r w:rsidRPr="00EB4664">
      <w:rPr>
        <w:rStyle w:val="HideTWBExt"/>
      </w:rPr>
      <w:t>&lt;/PathFdR&gt;</w:t>
    </w:r>
    <w:r w:rsidRPr="00EB4664">
      <w:tab/>
    </w:r>
    <w:r w:rsidRPr="00EB4664">
      <w:tab/>
      <w:t>PE</w:t>
    </w:r>
    <w:r w:rsidRPr="00EB4664">
      <w:rPr>
        <w:rStyle w:val="HideTWBExt"/>
      </w:rPr>
      <w:t>&lt;NoPE&gt;</w:t>
    </w:r>
    <w:r w:rsidRPr="00EB4664">
      <w:t>753.509</w:t>
    </w:r>
    <w:r w:rsidRPr="00EB4664">
      <w:rPr>
        <w:rStyle w:val="HideTWBExt"/>
      </w:rPr>
      <w:t>&lt;/NoPE&gt;&lt;Version&gt;</w:t>
    </w:r>
    <w:r w:rsidRPr="00EB4664">
      <w:t>v02-00</w:t>
    </w:r>
    <w:r w:rsidRPr="00EB4664">
      <w:rPr>
        <w:rStyle w:val="HideTWBExt"/>
      </w:rPr>
      <w:t>&lt;/Version&gt;</w:t>
    </w:r>
  </w:p>
  <w:p w:rsidR="00377E9A" w:rsidRPr="00EB4664" w:rsidRDefault="00377E9A" w:rsidP="00A97703">
    <w:pPr>
      <w:pStyle w:val="EPFooter2"/>
    </w:pPr>
    <w:r w:rsidRPr="00EB4664">
      <w:t>CS</w:t>
    </w:r>
    <w:r w:rsidRPr="00EB4664">
      <w:tab/>
    </w:r>
    <w:r w:rsidRPr="00EB4664">
      <w:rPr>
        <w:b w:val="0"/>
        <w:i/>
        <w:color w:val="C0C0C0"/>
        <w:sz w:val="22"/>
      </w:rPr>
      <w:t>Jednotná v rozmanitosti</w:t>
    </w:r>
    <w:r w:rsidRPr="00EB4664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B4664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B4664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B466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2EF4" w:rsidRPr="00EB4664" w:rsidRDefault="002B2EF4">
      <w:r w:rsidRPr="00EB4664">
        <w:separator/>
      </w:r>
    </w:p>
  </w:footnote>
  <w:footnote w:type="continuationSeparator" w:id="0">
    <w:p w:rsidR="002B2EF4" w:rsidRPr="00EB4664" w:rsidRDefault="002B2EF4">
      <w:r w:rsidRPr="00EB4664">
        <w:continuationSeparator/>
      </w:r>
    </w:p>
  </w:footnote>
  <w:footnote w:id="1">
    <w:p w:rsidR="00377E9A" w:rsidRPr="00EB4664" w:rsidRDefault="00377E9A" w:rsidP="00EB4664">
      <w:pPr>
        <w:pStyle w:val="FootnoteText"/>
        <w:ind w:left="567" w:hanging="567"/>
        <w:rPr>
          <w:sz w:val="24"/>
          <w:lang w:val="cs-CZ"/>
        </w:rPr>
      </w:pPr>
      <w:r w:rsidRPr="00EB4664">
        <w:rPr>
          <w:rStyle w:val="FootnoteReference"/>
          <w:sz w:val="24"/>
          <w:lang w:val="cs-CZ"/>
        </w:rPr>
        <w:footnoteRef/>
      </w:r>
      <w:r w:rsidR="00EB4664" w:rsidRPr="00EB4664">
        <w:rPr>
          <w:sz w:val="24"/>
          <w:lang w:val="cs-CZ"/>
        </w:rPr>
        <w:t xml:space="preserve"> </w:t>
      </w:r>
      <w:r w:rsidR="00EB4664" w:rsidRPr="00EB4664">
        <w:rPr>
          <w:sz w:val="24"/>
          <w:lang w:val="cs-CZ"/>
        </w:rPr>
        <w:tab/>
      </w:r>
      <w:proofErr w:type="spellStart"/>
      <w:r w:rsidRPr="00EB4664">
        <w:rPr>
          <w:sz w:val="24"/>
          <w:lang w:val="cs-CZ"/>
        </w:rPr>
        <w:t>Úř</w:t>
      </w:r>
      <w:proofErr w:type="spellEnd"/>
      <w:r w:rsidRPr="00EB4664">
        <w:rPr>
          <w:sz w:val="24"/>
          <w:lang w:val="cs-CZ"/>
        </w:rPr>
        <w:t xml:space="preserve">. </w:t>
      </w:r>
      <w:proofErr w:type="spellStart"/>
      <w:proofErr w:type="gramStart"/>
      <w:r w:rsidRPr="00EB4664">
        <w:rPr>
          <w:sz w:val="24"/>
          <w:lang w:val="cs-CZ"/>
        </w:rPr>
        <w:t>věst</w:t>
      </w:r>
      <w:proofErr w:type="spellEnd"/>
      <w:proofErr w:type="gramEnd"/>
      <w:r w:rsidRPr="00EB4664">
        <w:rPr>
          <w:sz w:val="24"/>
          <w:lang w:val="cs-CZ"/>
        </w:rPr>
        <w:t xml:space="preserve">. </w:t>
      </w:r>
      <w:r w:rsidR="00132AB3">
        <w:rPr>
          <w:sz w:val="24"/>
          <w:lang w:val="cs-CZ"/>
        </w:rPr>
        <w:t xml:space="preserve">C, </w:t>
      </w:r>
      <w:r w:rsidRPr="00EB4664">
        <w:rPr>
          <w:sz w:val="24"/>
          <w:lang w:val="cs-CZ"/>
        </w:rPr>
        <w:t>C</w:t>
      </w:r>
      <w:r w:rsidR="00530B7A">
        <w:rPr>
          <w:sz w:val="24"/>
          <w:lang w:val="cs-CZ"/>
        </w:rPr>
        <w:t xml:space="preserve">/2023/594, </w:t>
      </w:r>
      <w:proofErr w:type="gramStart"/>
      <w:r w:rsidR="00530B7A">
        <w:rPr>
          <w:sz w:val="24"/>
          <w:lang w:val="cs-CZ"/>
        </w:rPr>
        <w:t>27.10.2023</w:t>
      </w:r>
      <w:proofErr w:type="gramEnd"/>
      <w:r w:rsidR="00530B7A">
        <w:rPr>
          <w:sz w:val="24"/>
          <w:lang w:val="cs-CZ"/>
        </w:rPr>
        <w:t>.</w:t>
      </w:r>
    </w:p>
  </w:footnote>
  <w:footnote w:id="2">
    <w:p w:rsidR="00377E9A" w:rsidRPr="00EB4664" w:rsidRDefault="00377E9A" w:rsidP="00EB4664">
      <w:pPr>
        <w:pStyle w:val="FootnoteText"/>
        <w:ind w:left="567" w:hanging="567"/>
        <w:rPr>
          <w:sz w:val="24"/>
          <w:lang w:val="cs-CZ"/>
        </w:rPr>
      </w:pPr>
      <w:r w:rsidRPr="00EB4664">
        <w:rPr>
          <w:rStyle w:val="FootnoteReference"/>
          <w:sz w:val="24"/>
          <w:lang w:val="cs-CZ"/>
        </w:rPr>
        <w:footnoteRef/>
      </w:r>
      <w:r w:rsidR="00EB4664" w:rsidRPr="00EB4664">
        <w:rPr>
          <w:sz w:val="24"/>
          <w:lang w:val="cs-CZ"/>
        </w:rPr>
        <w:t xml:space="preserve"> </w:t>
      </w:r>
      <w:r w:rsidR="00EB4664" w:rsidRPr="00EB4664">
        <w:rPr>
          <w:sz w:val="24"/>
          <w:lang w:val="cs-CZ"/>
        </w:rPr>
        <w:tab/>
      </w:r>
      <w:proofErr w:type="spellStart"/>
      <w:r w:rsidR="006700D7">
        <w:rPr>
          <w:sz w:val="24"/>
          <w:lang w:val="cs-CZ"/>
        </w:rPr>
        <w:t>Úř</w:t>
      </w:r>
      <w:proofErr w:type="spellEnd"/>
      <w:r w:rsidR="006700D7">
        <w:rPr>
          <w:sz w:val="24"/>
          <w:lang w:val="cs-CZ"/>
        </w:rPr>
        <w:t xml:space="preserve">. </w:t>
      </w:r>
      <w:proofErr w:type="spellStart"/>
      <w:proofErr w:type="gramStart"/>
      <w:r w:rsidR="006700D7">
        <w:rPr>
          <w:sz w:val="24"/>
          <w:lang w:val="cs-CZ"/>
        </w:rPr>
        <w:t>věst</w:t>
      </w:r>
      <w:proofErr w:type="spellEnd"/>
      <w:proofErr w:type="gramEnd"/>
      <w:r w:rsidR="006700D7">
        <w:rPr>
          <w:sz w:val="24"/>
          <w:lang w:val="cs-CZ"/>
        </w:rPr>
        <w:t xml:space="preserve">. </w:t>
      </w:r>
      <w:r w:rsidR="00132AB3">
        <w:rPr>
          <w:sz w:val="24"/>
          <w:lang w:val="cs-CZ"/>
        </w:rPr>
        <w:t xml:space="preserve">C, </w:t>
      </w:r>
      <w:r w:rsidR="006700D7">
        <w:rPr>
          <w:sz w:val="24"/>
          <w:lang w:val="cs-CZ"/>
        </w:rPr>
        <w:t>C/2023/112,</w:t>
      </w:r>
      <w:r w:rsidRPr="00EB4664">
        <w:rPr>
          <w:sz w:val="24"/>
          <w:lang w:val="cs-CZ"/>
        </w:rPr>
        <w:t xml:space="preserve"> </w:t>
      </w:r>
      <w:proofErr w:type="gramStart"/>
      <w:r w:rsidRPr="00EB4664">
        <w:rPr>
          <w:sz w:val="24"/>
          <w:lang w:val="cs-CZ"/>
        </w:rPr>
        <w:t>12.10.2023</w:t>
      </w:r>
      <w:proofErr w:type="gramEnd"/>
      <w:r w:rsidRPr="00EB4664">
        <w:rPr>
          <w:sz w:val="24"/>
          <w:lang w:val="cs-CZ"/>
        </w:rPr>
        <w:t>.</w:t>
      </w:r>
    </w:p>
  </w:footnote>
  <w:footnote w:id="3">
    <w:p w:rsidR="00377E9A" w:rsidRPr="00EB4664" w:rsidRDefault="00377E9A" w:rsidP="00EB4664">
      <w:pPr>
        <w:pStyle w:val="FootnoteText"/>
        <w:ind w:left="567" w:hanging="567"/>
        <w:rPr>
          <w:sz w:val="24"/>
          <w:lang w:val="cs-CZ"/>
        </w:rPr>
      </w:pPr>
      <w:r w:rsidRPr="00EB4664">
        <w:rPr>
          <w:rStyle w:val="FootnoteReference"/>
          <w:sz w:val="24"/>
          <w:lang w:val="cs-CZ"/>
        </w:rPr>
        <w:footnoteRef/>
      </w:r>
      <w:r w:rsidR="00EB4664" w:rsidRPr="00EB4664">
        <w:rPr>
          <w:sz w:val="24"/>
          <w:lang w:val="cs-CZ"/>
        </w:rPr>
        <w:t xml:space="preserve"> </w:t>
      </w:r>
      <w:r w:rsidR="00EB4664" w:rsidRPr="00EB4664">
        <w:rPr>
          <w:sz w:val="24"/>
          <w:lang w:val="cs-CZ"/>
        </w:rPr>
        <w:tab/>
      </w:r>
      <w:proofErr w:type="spellStart"/>
      <w:r w:rsidRPr="00EB4664">
        <w:rPr>
          <w:sz w:val="24"/>
          <w:lang w:val="cs-CZ"/>
        </w:rPr>
        <w:t>Úř</w:t>
      </w:r>
      <w:proofErr w:type="spellEnd"/>
      <w:r w:rsidRPr="00EB4664">
        <w:rPr>
          <w:sz w:val="24"/>
          <w:lang w:val="cs-CZ"/>
        </w:rPr>
        <w:t xml:space="preserve">. </w:t>
      </w:r>
      <w:proofErr w:type="spellStart"/>
      <w:proofErr w:type="gramStart"/>
      <w:r w:rsidRPr="00EB4664">
        <w:rPr>
          <w:sz w:val="24"/>
          <w:lang w:val="cs-CZ"/>
        </w:rPr>
        <w:t>věst</w:t>
      </w:r>
      <w:proofErr w:type="spellEnd"/>
      <w:proofErr w:type="gramEnd"/>
      <w:r w:rsidRPr="00EB4664">
        <w:rPr>
          <w:sz w:val="24"/>
          <w:lang w:val="cs-CZ"/>
        </w:rPr>
        <w:t xml:space="preserve">. L 193, </w:t>
      </w:r>
      <w:proofErr w:type="gramStart"/>
      <w:r w:rsidRPr="00EB4664">
        <w:rPr>
          <w:sz w:val="24"/>
          <w:lang w:val="cs-CZ"/>
        </w:rPr>
        <w:t>30.7.2018</w:t>
      </w:r>
      <w:proofErr w:type="gramEnd"/>
      <w:r w:rsidRPr="00EB4664">
        <w:rPr>
          <w:sz w:val="24"/>
          <w:lang w:val="cs-CZ"/>
        </w:rPr>
        <w:t>, s. 1.</w:t>
      </w:r>
    </w:p>
  </w:footnote>
  <w:footnote w:id="4">
    <w:p w:rsidR="00377E9A" w:rsidRPr="00EB4664" w:rsidRDefault="00377E9A" w:rsidP="00EB4664">
      <w:pPr>
        <w:pStyle w:val="FootnoteText"/>
        <w:ind w:left="567" w:hanging="567"/>
        <w:rPr>
          <w:sz w:val="24"/>
          <w:lang w:val="cs-CZ"/>
        </w:rPr>
      </w:pPr>
      <w:r w:rsidRPr="00EB4664">
        <w:rPr>
          <w:rStyle w:val="FootnoteReference"/>
          <w:sz w:val="24"/>
          <w:lang w:val="cs-CZ"/>
        </w:rPr>
        <w:footnoteRef/>
      </w:r>
      <w:r w:rsidR="00EB4664" w:rsidRPr="00EB4664">
        <w:rPr>
          <w:sz w:val="24"/>
          <w:lang w:val="cs-CZ"/>
        </w:rPr>
        <w:t xml:space="preserve"> </w:t>
      </w:r>
      <w:r w:rsidR="00EB4664" w:rsidRPr="00EB4664">
        <w:rPr>
          <w:sz w:val="24"/>
          <w:lang w:val="cs-CZ"/>
        </w:rPr>
        <w:tab/>
      </w:r>
      <w:proofErr w:type="spellStart"/>
      <w:r w:rsidRPr="00EB4664">
        <w:rPr>
          <w:sz w:val="24"/>
          <w:lang w:val="cs-CZ"/>
        </w:rPr>
        <w:t>Úř</w:t>
      </w:r>
      <w:proofErr w:type="spellEnd"/>
      <w:r w:rsidRPr="00EB4664">
        <w:rPr>
          <w:sz w:val="24"/>
          <w:lang w:val="cs-CZ"/>
        </w:rPr>
        <w:t xml:space="preserve">. </w:t>
      </w:r>
      <w:proofErr w:type="spellStart"/>
      <w:proofErr w:type="gramStart"/>
      <w:r w:rsidRPr="00EB4664">
        <w:rPr>
          <w:sz w:val="24"/>
          <w:lang w:val="cs-CZ"/>
        </w:rPr>
        <w:t>věst</w:t>
      </w:r>
      <w:proofErr w:type="spellEnd"/>
      <w:proofErr w:type="gramEnd"/>
      <w:r w:rsidRPr="00EB4664">
        <w:rPr>
          <w:sz w:val="24"/>
          <w:lang w:val="cs-CZ"/>
        </w:rPr>
        <w:t xml:space="preserve">. L 30, </w:t>
      </w:r>
      <w:proofErr w:type="gramStart"/>
      <w:r w:rsidRPr="00EB4664">
        <w:rPr>
          <w:sz w:val="24"/>
          <w:lang w:val="cs-CZ"/>
        </w:rPr>
        <w:t>31.1.2019</w:t>
      </w:r>
      <w:proofErr w:type="gramEnd"/>
      <w:r w:rsidRPr="00EB4664">
        <w:rPr>
          <w:sz w:val="24"/>
          <w:lang w:val="cs-CZ"/>
        </w:rPr>
        <w:t>, s. 90.</w:t>
      </w:r>
    </w:p>
  </w:footnote>
  <w:footnote w:id="5">
    <w:p w:rsidR="00377E9A" w:rsidRPr="00EB4664" w:rsidRDefault="00377E9A" w:rsidP="00EB4664">
      <w:pPr>
        <w:pStyle w:val="FootnoteText"/>
        <w:ind w:left="567" w:hanging="567"/>
        <w:rPr>
          <w:sz w:val="24"/>
          <w:lang w:val="cs-CZ"/>
        </w:rPr>
      </w:pPr>
      <w:r w:rsidRPr="00EB4664">
        <w:rPr>
          <w:rStyle w:val="FootnoteReference"/>
          <w:sz w:val="24"/>
          <w:lang w:val="cs-CZ"/>
        </w:rPr>
        <w:footnoteRef/>
      </w:r>
      <w:r w:rsidR="00EB4664" w:rsidRPr="00EB4664">
        <w:rPr>
          <w:sz w:val="24"/>
          <w:lang w:val="cs-CZ"/>
        </w:rPr>
        <w:t xml:space="preserve"> </w:t>
      </w:r>
      <w:r w:rsidR="00EB4664" w:rsidRPr="00EB4664">
        <w:rPr>
          <w:sz w:val="24"/>
          <w:lang w:val="cs-CZ"/>
        </w:rPr>
        <w:tab/>
      </w:r>
      <w:proofErr w:type="spellStart"/>
      <w:r w:rsidRPr="00EB4664">
        <w:rPr>
          <w:sz w:val="24"/>
          <w:lang w:val="cs-CZ"/>
        </w:rPr>
        <w:t>Úř</w:t>
      </w:r>
      <w:proofErr w:type="spellEnd"/>
      <w:r w:rsidRPr="00EB4664">
        <w:rPr>
          <w:sz w:val="24"/>
          <w:lang w:val="cs-CZ"/>
        </w:rPr>
        <w:t xml:space="preserve">. </w:t>
      </w:r>
      <w:proofErr w:type="spellStart"/>
      <w:proofErr w:type="gramStart"/>
      <w:r w:rsidRPr="00EB4664">
        <w:rPr>
          <w:sz w:val="24"/>
          <w:lang w:val="cs-CZ"/>
        </w:rPr>
        <w:t>věst</w:t>
      </w:r>
      <w:proofErr w:type="spellEnd"/>
      <w:proofErr w:type="gramEnd"/>
      <w:r w:rsidRPr="00EB4664">
        <w:rPr>
          <w:sz w:val="24"/>
          <w:lang w:val="cs-CZ"/>
        </w:rPr>
        <w:t xml:space="preserve">. L 122, </w:t>
      </w:r>
      <w:proofErr w:type="gramStart"/>
      <w:r w:rsidRPr="00EB4664">
        <w:rPr>
          <w:sz w:val="24"/>
          <w:lang w:val="cs-CZ"/>
        </w:rPr>
        <w:t>10.5.2019</w:t>
      </w:r>
      <w:proofErr w:type="gramEnd"/>
      <w:r w:rsidRPr="00EB4664">
        <w:rPr>
          <w:sz w:val="24"/>
          <w:lang w:val="cs-CZ"/>
        </w:rPr>
        <w:t>, s. 1.</w:t>
      </w:r>
    </w:p>
  </w:footnote>
  <w:footnote w:id="6">
    <w:p w:rsidR="00377E9A" w:rsidRPr="00EB4664" w:rsidRDefault="00377E9A" w:rsidP="00EB4664">
      <w:pPr>
        <w:pStyle w:val="FootnoteText"/>
        <w:ind w:left="567" w:hanging="567"/>
        <w:rPr>
          <w:sz w:val="24"/>
          <w:lang w:val="cs-CZ"/>
        </w:rPr>
      </w:pPr>
      <w:r w:rsidRPr="00EB4664">
        <w:rPr>
          <w:rStyle w:val="FootnoteReference"/>
          <w:sz w:val="24"/>
          <w:lang w:val="cs-CZ"/>
        </w:rPr>
        <w:footnoteRef/>
      </w:r>
      <w:r w:rsidR="00EB4664" w:rsidRPr="00EB4664">
        <w:rPr>
          <w:sz w:val="24"/>
          <w:lang w:val="cs-CZ"/>
        </w:rPr>
        <w:t xml:space="preserve"> </w:t>
      </w:r>
      <w:r w:rsidR="00EB4664" w:rsidRPr="00EB4664">
        <w:rPr>
          <w:sz w:val="24"/>
          <w:lang w:val="cs-CZ"/>
        </w:rPr>
        <w:tab/>
      </w:r>
      <w:proofErr w:type="spellStart"/>
      <w:r w:rsidRPr="00EB4664">
        <w:rPr>
          <w:sz w:val="24"/>
          <w:lang w:val="cs-CZ"/>
        </w:rPr>
        <w:t>Úř</w:t>
      </w:r>
      <w:proofErr w:type="spellEnd"/>
      <w:r w:rsidRPr="00EB4664">
        <w:rPr>
          <w:sz w:val="24"/>
          <w:lang w:val="cs-CZ"/>
        </w:rPr>
        <w:t xml:space="preserve">. </w:t>
      </w:r>
      <w:proofErr w:type="spellStart"/>
      <w:proofErr w:type="gramStart"/>
      <w:r w:rsidRPr="00EB4664">
        <w:rPr>
          <w:sz w:val="24"/>
          <w:lang w:val="cs-CZ"/>
        </w:rPr>
        <w:t>věst</w:t>
      </w:r>
      <w:proofErr w:type="spellEnd"/>
      <w:proofErr w:type="gramEnd"/>
      <w:r w:rsidRPr="00EB4664">
        <w:rPr>
          <w:sz w:val="24"/>
          <w:lang w:val="cs-CZ"/>
        </w:rPr>
        <w:t xml:space="preserve">. </w:t>
      </w:r>
      <w:r w:rsidR="00132AB3">
        <w:rPr>
          <w:sz w:val="24"/>
          <w:lang w:val="cs-CZ"/>
        </w:rPr>
        <w:t xml:space="preserve">C, </w:t>
      </w:r>
      <w:r w:rsidRPr="00EB4664">
        <w:rPr>
          <w:sz w:val="24"/>
          <w:lang w:val="cs-CZ"/>
        </w:rPr>
        <w:t xml:space="preserve">C/2023/594, </w:t>
      </w:r>
      <w:proofErr w:type="gramStart"/>
      <w:r w:rsidRPr="00EB4664">
        <w:rPr>
          <w:sz w:val="24"/>
          <w:lang w:val="cs-CZ"/>
        </w:rPr>
        <w:t>27.10.2023</w:t>
      </w:r>
      <w:proofErr w:type="gramEnd"/>
      <w:r w:rsidRPr="00EB4664">
        <w:rPr>
          <w:sz w:val="24"/>
          <w:lang w:val="cs-CZ"/>
        </w:rPr>
        <w:t>.</w:t>
      </w:r>
    </w:p>
  </w:footnote>
  <w:footnote w:id="7">
    <w:p w:rsidR="00377E9A" w:rsidRPr="00EB4664" w:rsidRDefault="00377E9A" w:rsidP="00EB4664">
      <w:pPr>
        <w:pStyle w:val="FootnoteText"/>
        <w:ind w:left="567" w:hanging="567"/>
        <w:rPr>
          <w:sz w:val="24"/>
          <w:lang w:val="cs-CZ"/>
        </w:rPr>
      </w:pPr>
      <w:r w:rsidRPr="00EB4664">
        <w:rPr>
          <w:rStyle w:val="FootnoteReference"/>
          <w:sz w:val="24"/>
          <w:lang w:val="cs-CZ"/>
        </w:rPr>
        <w:footnoteRef/>
      </w:r>
      <w:r w:rsidR="00EB4664" w:rsidRPr="00EB4664">
        <w:rPr>
          <w:sz w:val="24"/>
          <w:lang w:val="cs-CZ"/>
        </w:rPr>
        <w:t xml:space="preserve"> </w:t>
      </w:r>
      <w:r w:rsidR="00EB4664" w:rsidRPr="00EB4664">
        <w:rPr>
          <w:sz w:val="24"/>
          <w:lang w:val="cs-CZ"/>
        </w:rPr>
        <w:tab/>
      </w:r>
      <w:proofErr w:type="spellStart"/>
      <w:r w:rsidR="006700D7">
        <w:rPr>
          <w:sz w:val="24"/>
          <w:lang w:val="cs-CZ"/>
        </w:rPr>
        <w:t>Úř</w:t>
      </w:r>
      <w:proofErr w:type="spellEnd"/>
      <w:r w:rsidR="006700D7">
        <w:rPr>
          <w:sz w:val="24"/>
          <w:lang w:val="cs-CZ"/>
        </w:rPr>
        <w:t xml:space="preserve">. </w:t>
      </w:r>
      <w:proofErr w:type="spellStart"/>
      <w:proofErr w:type="gramStart"/>
      <w:r w:rsidR="006700D7">
        <w:rPr>
          <w:sz w:val="24"/>
          <w:lang w:val="cs-CZ"/>
        </w:rPr>
        <w:t>věst</w:t>
      </w:r>
      <w:proofErr w:type="spellEnd"/>
      <w:proofErr w:type="gramEnd"/>
      <w:r w:rsidR="006700D7">
        <w:rPr>
          <w:sz w:val="24"/>
          <w:lang w:val="cs-CZ"/>
        </w:rPr>
        <w:t xml:space="preserve">. </w:t>
      </w:r>
      <w:r w:rsidR="00132AB3">
        <w:rPr>
          <w:sz w:val="24"/>
          <w:lang w:val="cs-CZ"/>
        </w:rPr>
        <w:t xml:space="preserve">C, </w:t>
      </w:r>
      <w:bookmarkStart w:id="9" w:name="_GoBack"/>
      <w:bookmarkEnd w:id="9"/>
      <w:r w:rsidR="006700D7">
        <w:rPr>
          <w:sz w:val="24"/>
          <w:lang w:val="cs-CZ"/>
        </w:rPr>
        <w:t>C/2023/112,</w:t>
      </w:r>
      <w:r w:rsidRPr="00EB4664">
        <w:rPr>
          <w:sz w:val="24"/>
          <w:lang w:val="cs-CZ"/>
        </w:rPr>
        <w:t xml:space="preserve"> 12.10.2023.</w:t>
      </w:r>
    </w:p>
  </w:footnote>
  <w:footnote w:id="8">
    <w:p w:rsidR="00377E9A" w:rsidRPr="00EB4664" w:rsidRDefault="00377E9A" w:rsidP="00EB4664">
      <w:pPr>
        <w:pStyle w:val="FootnoteText"/>
        <w:ind w:left="567" w:hanging="567"/>
        <w:rPr>
          <w:sz w:val="24"/>
          <w:lang w:val="cs-CZ"/>
        </w:rPr>
      </w:pPr>
      <w:r w:rsidRPr="00EB4664">
        <w:rPr>
          <w:rStyle w:val="FootnoteReference"/>
          <w:sz w:val="24"/>
          <w:lang w:val="cs-CZ"/>
        </w:rPr>
        <w:footnoteRef/>
      </w:r>
      <w:r w:rsidR="00EB4664" w:rsidRPr="00EB4664">
        <w:rPr>
          <w:sz w:val="24"/>
          <w:lang w:val="cs-CZ"/>
        </w:rPr>
        <w:t xml:space="preserve"> </w:t>
      </w:r>
      <w:r w:rsidR="00EB4664" w:rsidRPr="00EB4664">
        <w:rPr>
          <w:sz w:val="24"/>
          <w:lang w:val="cs-CZ"/>
        </w:rPr>
        <w:tab/>
      </w:r>
      <w:proofErr w:type="spellStart"/>
      <w:r w:rsidRPr="00EB4664">
        <w:rPr>
          <w:sz w:val="24"/>
          <w:lang w:val="cs-CZ"/>
        </w:rPr>
        <w:t>Úř</w:t>
      </w:r>
      <w:proofErr w:type="spellEnd"/>
      <w:r w:rsidRPr="00EB4664">
        <w:rPr>
          <w:sz w:val="24"/>
          <w:lang w:val="cs-CZ"/>
        </w:rPr>
        <w:t xml:space="preserve">. </w:t>
      </w:r>
      <w:proofErr w:type="spellStart"/>
      <w:proofErr w:type="gramStart"/>
      <w:r w:rsidRPr="00EB4664">
        <w:rPr>
          <w:sz w:val="24"/>
          <w:lang w:val="cs-CZ"/>
        </w:rPr>
        <w:t>věst</w:t>
      </w:r>
      <w:proofErr w:type="spellEnd"/>
      <w:proofErr w:type="gramEnd"/>
      <w:r w:rsidRPr="00EB4664">
        <w:rPr>
          <w:sz w:val="24"/>
          <w:lang w:val="cs-CZ"/>
        </w:rPr>
        <w:t xml:space="preserve">. L 193, </w:t>
      </w:r>
      <w:proofErr w:type="gramStart"/>
      <w:r w:rsidRPr="00EB4664">
        <w:rPr>
          <w:sz w:val="24"/>
          <w:lang w:val="cs-CZ"/>
        </w:rPr>
        <w:t>30.7.2018</w:t>
      </w:r>
      <w:proofErr w:type="gramEnd"/>
      <w:r w:rsidRPr="00EB4664">
        <w:rPr>
          <w:sz w:val="24"/>
          <w:lang w:val="cs-CZ"/>
        </w:rPr>
        <w:t>, s. 1.</w:t>
      </w:r>
    </w:p>
  </w:footnote>
  <w:footnote w:id="9">
    <w:p w:rsidR="00377E9A" w:rsidRPr="00EB4664" w:rsidRDefault="00377E9A" w:rsidP="00EB4664">
      <w:pPr>
        <w:pStyle w:val="FootnoteText"/>
        <w:ind w:left="567" w:hanging="567"/>
        <w:rPr>
          <w:sz w:val="24"/>
          <w:lang w:val="cs-CZ"/>
        </w:rPr>
      </w:pPr>
      <w:r w:rsidRPr="00EB4664">
        <w:rPr>
          <w:rStyle w:val="FootnoteReference"/>
          <w:sz w:val="24"/>
          <w:lang w:val="cs-CZ"/>
        </w:rPr>
        <w:footnoteRef/>
      </w:r>
      <w:r w:rsidR="00EB4664" w:rsidRPr="00EB4664">
        <w:rPr>
          <w:sz w:val="24"/>
          <w:lang w:val="cs-CZ"/>
        </w:rPr>
        <w:t xml:space="preserve"> </w:t>
      </w:r>
      <w:r w:rsidR="00EB4664" w:rsidRPr="00EB4664">
        <w:rPr>
          <w:sz w:val="24"/>
          <w:lang w:val="cs-CZ"/>
        </w:rPr>
        <w:tab/>
      </w:r>
      <w:proofErr w:type="spellStart"/>
      <w:r w:rsidRPr="00EB4664">
        <w:rPr>
          <w:sz w:val="24"/>
          <w:lang w:val="cs-CZ"/>
        </w:rPr>
        <w:t>Úř</w:t>
      </w:r>
      <w:proofErr w:type="spellEnd"/>
      <w:r w:rsidRPr="00EB4664">
        <w:rPr>
          <w:sz w:val="24"/>
          <w:lang w:val="cs-CZ"/>
        </w:rPr>
        <w:t xml:space="preserve">. </w:t>
      </w:r>
      <w:proofErr w:type="spellStart"/>
      <w:proofErr w:type="gramStart"/>
      <w:r w:rsidRPr="00EB4664">
        <w:rPr>
          <w:sz w:val="24"/>
          <w:lang w:val="cs-CZ"/>
        </w:rPr>
        <w:t>věst</w:t>
      </w:r>
      <w:proofErr w:type="spellEnd"/>
      <w:proofErr w:type="gramEnd"/>
      <w:r w:rsidRPr="00EB4664">
        <w:rPr>
          <w:sz w:val="24"/>
          <w:lang w:val="cs-CZ"/>
        </w:rPr>
        <w:t xml:space="preserve">. L 30, </w:t>
      </w:r>
      <w:proofErr w:type="gramStart"/>
      <w:r w:rsidRPr="00EB4664">
        <w:rPr>
          <w:sz w:val="24"/>
          <w:lang w:val="cs-CZ"/>
        </w:rPr>
        <w:t>31.1.2019</w:t>
      </w:r>
      <w:proofErr w:type="gramEnd"/>
      <w:r w:rsidRPr="00EB4664">
        <w:rPr>
          <w:sz w:val="24"/>
          <w:lang w:val="cs-CZ"/>
        </w:rPr>
        <w:t>, s. 90.</w:t>
      </w:r>
    </w:p>
  </w:footnote>
  <w:footnote w:id="10">
    <w:p w:rsidR="00377E9A" w:rsidRPr="00EB4664" w:rsidRDefault="00377E9A" w:rsidP="00EB4664">
      <w:pPr>
        <w:pStyle w:val="FootnoteText"/>
        <w:ind w:left="567" w:hanging="567"/>
        <w:rPr>
          <w:sz w:val="24"/>
          <w:lang w:val="cs-CZ"/>
        </w:rPr>
      </w:pPr>
      <w:r w:rsidRPr="00EB4664">
        <w:rPr>
          <w:rStyle w:val="FootnoteReference"/>
          <w:sz w:val="24"/>
          <w:lang w:val="cs-CZ"/>
        </w:rPr>
        <w:footnoteRef/>
      </w:r>
      <w:r w:rsidR="00EB4664" w:rsidRPr="00EB4664">
        <w:rPr>
          <w:sz w:val="24"/>
          <w:lang w:val="cs-CZ"/>
        </w:rPr>
        <w:t xml:space="preserve"> </w:t>
      </w:r>
      <w:r w:rsidR="00EB4664" w:rsidRPr="00EB4664">
        <w:rPr>
          <w:sz w:val="24"/>
          <w:lang w:val="cs-CZ"/>
        </w:rPr>
        <w:tab/>
      </w:r>
      <w:proofErr w:type="spellStart"/>
      <w:r w:rsidRPr="00EB4664">
        <w:rPr>
          <w:sz w:val="24"/>
          <w:lang w:val="cs-CZ"/>
        </w:rPr>
        <w:t>Úř</w:t>
      </w:r>
      <w:proofErr w:type="spellEnd"/>
      <w:r w:rsidRPr="00EB4664">
        <w:rPr>
          <w:sz w:val="24"/>
          <w:lang w:val="cs-CZ"/>
        </w:rPr>
        <w:t xml:space="preserve">. </w:t>
      </w:r>
      <w:proofErr w:type="spellStart"/>
      <w:proofErr w:type="gramStart"/>
      <w:r w:rsidRPr="00EB4664">
        <w:rPr>
          <w:sz w:val="24"/>
          <w:lang w:val="cs-CZ"/>
        </w:rPr>
        <w:t>věst</w:t>
      </w:r>
      <w:proofErr w:type="spellEnd"/>
      <w:proofErr w:type="gramEnd"/>
      <w:r w:rsidRPr="00EB4664">
        <w:rPr>
          <w:sz w:val="24"/>
          <w:lang w:val="cs-CZ"/>
        </w:rPr>
        <w:t xml:space="preserve">. L 122, </w:t>
      </w:r>
      <w:proofErr w:type="gramStart"/>
      <w:r w:rsidRPr="00EB4664">
        <w:rPr>
          <w:sz w:val="24"/>
          <w:lang w:val="cs-CZ"/>
        </w:rPr>
        <w:t>10.5.2019</w:t>
      </w:r>
      <w:proofErr w:type="gramEnd"/>
      <w:r w:rsidRPr="00EB4664">
        <w:rPr>
          <w:sz w:val="24"/>
          <w:lang w:val="cs-CZ"/>
        </w:rPr>
        <w:t>, s. 1.</w:t>
      </w:r>
    </w:p>
  </w:footnote>
  <w:footnote w:id="11">
    <w:p w:rsidR="00377E9A" w:rsidRPr="00EB4664" w:rsidRDefault="00377E9A" w:rsidP="00EB4664">
      <w:pPr>
        <w:pStyle w:val="FootnoteText"/>
        <w:ind w:left="567" w:hanging="567"/>
        <w:rPr>
          <w:sz w:val="24"/>
          <w:lang w:val="cs-CZ"/>
        </w:rPr>
      </w:pPr>
      <w:r w:rsidRPr="00EB4664">
        <w:rPr>
          <w:rStyle w:val="FootnoteReference"/>
          <w:sz w:val="24"/>
          <w:lang w:val="cs-CZ"/>
        </w:rPr>
        <w:footnoteRef/>
      </w:r>
      <w:r w:rsidR="00EB4664" w:rsidRPr="00EB4664">
        <w:rPr>
          <w:sz w:val="24"/>
          <w:lang w:val="cs-CZ"/>
        </w:rPr>
        <w:t xml:space="preserve"> </w:t>
      </w:r>
      <w:r w:rsidR="00EB4664" w:rsidRPr="00EB4664">
        <w:rPr>
          <w:sz w:val="24"/>
          <w:lang w:val="cs-CZ"/>
        </w:rPr>
        <w:tab/>
      </w:r>
      <w:proofErr w:type="spellStart"/>
      <w:r w:rsidRPr="00EB4664">
        <w:rPr>
          <w:sz w:val="24"/>
          <w:lang w:val="cs-CZ"/>
        </w:rPr>
        <w:t>Úř</w:t>
      </w:r>
      <w:proofErr w:type="spellEnd"/>
      <w:r w:rsidRPr="00EB4664">
        <w:rPr>
          <w:sz w:val="24"/>
          <w:lang w:val="cs-CZ"/>
        </w:rPr>
        <w:t xml:space="preserve">. </w:t>
      </w:r>
      <w:proofErr w:type="spellStart"/>
      <w:proofErr w:type="gramStart"/>
      <w:r w:rsidRPr="00EB4664">
        <w:rPr>
          <w:sz w:val="24"/>
          <w:lang w:val="cs-CZ"/>
        </w:rPr>
        <w:t>věst</w:t>
      </w:r>
      <w:proofErr w:type="spellEnd"/>
      <w:proofErr w:type="gramEnd"/>
      <w:r w:rsidRPr="00EB4664">
        <w:rPr>
          <w:sz w:val="24"/>
          <w:lang w:val="cs-CZ"/>
        </w:rPr>
        <w:t xml:space="preserve">. C 73, </w:t>
      </w:r>
      <w:proofErr w:type="gramStart"/>
      <w:r w:rsidRPr="00EB4664">
        <w:rPr>
          <w:sz w:val="24"/>
          <w:lang w:val="cs-CZ"/>
        </w:rPr>
        <w:t>28.2.2023</w:t>
      </w:r>
      <w:proofErr w:type="gramEnd"/>
      <w:r w:rsidRPr="00EB4664">
        <w:rPr>
          <w:sz w:val="24"/>
          <w:lang w:val="cs-CZ"/>
        </w:rPr>
        <w:t>, s. 4.</w:t>
      </w:r>
    </w:p>
  </w:footnote>
  <w:footnote w:id="12">
    <w:p w:rsidR="00377E9A" w:rsidRPr="00EB4664" w:rsidRDefault="00377E9A" w:rsidP="00EB4664">
      <w:pPr>
        <w:pStyle w:val="FootnoteText"/>
        <w:ind w:left="567" w:hanging="567"/>
        <w:rPr>
          <w:sz w:val="24"/>
          <w:lang w:val="cs-CZ"/>
        </w:rPr>
      </w:pPr>
      <w:r w:rsidRPr="00EB4664">
        <w:rPr>
          <w:rStyle w:val="FootnoteReference"/>
          <w:sz w:val="24"/>
          <w:lang w:val="cs-CZ"/>
        </w:rPr>
        <w:footnoteRef/>
      </w:r>
      <w:r w:rsidR="00EB4664" w:rsidRPr="00EB4664">
        <w:rPr>
          <w:sz w:val="24"/>
          <w:lang w:val="cs-CZ"/>
        </w:rPr>
        <w:t xml:space="preserve"> </w:t>
      </w:r>
      <w:r w:rsidR="00EB4664" w:rsidRPr="00EB4664">
        <w:rPr>
          <w:sz w:val="24"/>
          <w:lang w:val="cs-CZ"/>
        </w:rPr>
        <w:tab/>
      </w:r>
      <w:r w:rsidR="00530B7A">
        <w:rPr>
          <w:sz w:val="24"/>
          <w:lang w:val="cs-CZ"/>
        </w:rPr>
        <w:t>Přijaté texty, P9_TA(2024)0280</w:t>
      </w:r>
      <w:r w:rsidRPr="00EB4664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B466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B466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B466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80/2024"/>
    <w:docVar w:name="dvlangue" w:val="CS"/>
    <w:docVar w:name="dvnumam" w:val="0"/>
    <w:docVar w:name="dvpe" w:val="753.509"/>
    <w:docVar w:name="dvrapporteur" w:val="Zpravodaj: "/>
    <w:docVar w:name="dvtitre" w:val="1. Rozhodnutí Evropského parlamentu ze dne.... 2024 o udělení absolutoria za plnění rozpočtu Evropského střediska pro rozvoj odborného vzdělávání (Cedefop) na rozpočtový rok 2022(2023/2143(DEC))"/>
  </w:docVars>
  <w:rsids>
    <w:rsidRoot w:val="002B2EF4"/>
    <w:rsid w:val="00002272"/>
    <w:rsid w:val="00064002"/>
    <w:rsid w:val="000677B9"/>
    <w:rsid w:val="000831BA"/>
    <w:rsid w:val="000A1155"/>
    <w:rsid w:val="000A42CC"/>
    <w:rsid w:val="000E7DD9"/>
    <w:rsid w:val="0010095E"/>
    <w:rsid w:val="00125B37"/>
    <w:rsid w:val="00132AB3"/>
    <w:rsid w:val="00160687"/>
    <w:rsid w:val="00187494"/>
    <w:rsid w:val="001F32AE"/>
    <w:rsid w:val="002767FF"/>
    <w:rsid w:val="002B18FE"/>
    <w:rsid w:val="002B2EF4"/>
    <w:rsid w:val="002B5493"/>
    <w:rsid w:val="00343214"/>
    <w:rsid w:val="00361C00"/>
    <w:rsid w:val="00377E9A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0B7A"/>
    <w:rsid w:val="00545827"/>
    <w:rsid w:val="00560270"/>
    <w:rsid w:val="005C2568"/>
    <w:rsid w:val="006037C0"/>
    <w:rsid w:val="006631B6"/>
    <w:rsid w:val="006700D7"/>
    <w:rsid w:val="00680577"/>
    <w:rsid w:val="006F61F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5B2B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664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C7E8C0"/>
  <w15:chartTrackingRefBased/>
  <w15:docId w15:val="{5689AC17-01AE-4227-9D49-972F6CD07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377E9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377E9A"/>
    <w:pPr>
      <w:spacing w:before="480" w:after="240"/>
    </w:pPr>
  </w:style>
  <w:style w:type="paragraph" w:customStyle="1" w:styleId="PageHeading">
    <w:name w:val="PageHeading"/>
    <w:basedOn w:val="Normal"/>
    <w:rsid w:val="00377E9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377E9A"/>
    <w:rPr>
      <w:b/>
    </w:rPr>
  </w:style>
  <w:style w:type="paragraph" w:customStyle="1" w:styleId="NormalHanging12a">
    <w:name w:val="NormalHanging12a"/>
    <w:basedOn w:val="Normal"/>
    <w:link w:val="NormalHanging12aChar"/>
    <w:rsid w:val="00377E9A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377E9A"/>
    <w:pPr>
      <w:spacing w:after="240"/>
      <w:jc w:val="center"/>
    </w:pPr>
  </w:style>
  <w:style w:type="paragraph" w:styleId="Header">
    <w:name w:val="header"/>
    <w:basedOn w:val="Normal"/>
    <w:link w:val="HeaderChar"/>
    <w:rsid w:val="00377E9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77E9A"/>
    <w:rPr>
      <w:sz w:val="24"/>
      <w:lang w:val="cs-CZ"/>
    </w:rPr>
  </w:style>
  <w:style w:type="paragraph" w:customStyle="1" w:styleId="EPFooter">
    <w:name w:val="EPFooter"/>
    <w:basedOn w:val="Normal"/>
    <w:rsid w:val="00377E9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12HangingChar">
    <w:name w:val="Normal12Hanging Char"/>
    <w:link w:val="Normal12Hanging"/>
    <w:locked/>
    <w:rsid w:val="00377E9A"/>
    <w:rPr>
      <w:sz w:val="24"/>
    </w:rPr>
  </w:style>
  <w:style w:type="paragraph" w:customStyle="1" w:styleId="Normal12Hanging">
    <w:name w:val="Normal12Hanging"/>
    <w:basedOn w:val="Normal"/>
    <w:link w:val="Normal12HangingChar"/>
    <w:rsid w:val="00377E9A"/>
    <w:pPr>
      <w:spacing w:after="240"/>
      <w:ind w:left="567" w:hanging="567"/>
    </w:pPr>
    <w:rPr>
      <w:lang w:val="en-GB"/>
    </w:rPr>
  </w:style>
  <w:style w:type="character" w:customStyle="1" w:styleId="NormalHanging12aChar">
    <w:name w:val="NormalHanging12a Char"/>
    <w:basedOn w:val="DefaultParagraphFont"/>
    <w:link w:val="NormalHanging12a"/>
    <w:locked/>
    <w:rsid w:val="00377E9A"/>
    <w:rPr>
      <w:sz w:val="24"/>
      <w:lang w:val="cs-CZ"/>
    </w:rPr>
  </w:style>
  <w:style w:type="paragraph" w:customStyle="1" w:styleId="Normal24a">
    <w:name w:val="Normal24a"/>
    <w:basedOn w:val="Normal"/>
    <w:rsid w:val="00377E9A"/>
    <w:pPr>
      <w:spacing w:after="480"/>
    </w:pPr>
  </w:style>
  <w:style w:type="paragraph" w:customStyle="1" w:styleId="Normal12a">
    <w:name w:val="Normal12a"/>
    <w:basedOn w:val="Normal"/>
    <w:rsid w:val="00377E9A"/>
    <w:pPr>
      <w:spacing w:after="240"/>
    </w:pPr>
  </w:style>
  <w:style w:type="paragraph" w:customStyle="1" w:styleId="PageHeadingNotTOC">
    <w:name w:val="PageHeadingNotTOC"/>
    <w:basedOn w:val="Normal"/>
    <w:rsid w:val="00377E9A"/>
    <w:pPr>
      <w:keepNext/>
      <w:spacing w:after="480"/>
      <w:jc w:val="center"/>
    </w:pPr>
    <w:rPr>
      <w:rFonts w:ascii="Arial" w:hAnsi="Arial" w:cs="Arial"/>
      <w:b/>
    </w:rPr>
  </w:style>
  <w:style w:type="paragraph" w:styleId="Footer">
    <w:name w:val="footer"/>
    <w:basedOn w:val="Normal"/>
    <w:link w:val="FooterChar"/>
    <w:rsid w:val="006700D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700D7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1263BA-B155-41DD-98EC-9F2C48634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4005</Words>
  <Characters>23432</Characters>
  <Application>Microsoft Office Word</Application>
  <DocSecurity>0</DocSecurity>
  <Lines>195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Karina Pesa</cp:lastModifiedBy>
  <cp:revision>3</cp:revision>
  <cp:lastPrinted>2004-11-19T15:42:00Z</cp:lastPrinted>
  <dcterms:created xsi:type="dcterms:W3CDTF">2024-04-11T11:08:00Z</dcterms:created>
  <dcterms:modified xsi:type="dcterms:W3CDTF">2024-10-31T07:36:00Z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A9-0080/2024</vt:lpwstr>
  </property>
  <property fmtid="{D5CDD505-2E9C-101B-9397-08002B2CF9AE}" pid="4" name="&lt;Type&gt;">
    <vt:lpwstr>RR</vt:lpwstr>
  </property>
</Properties>
</file>