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4E5F" w:rsidTr="0010095E">
        <w:trPr>
          <w:trHeight w:hRule="exact" w:val="1418"/>
        </w:trPr>
        <w:tc>
          <w:tcPr>
            <w:tcW w:w="6804" w:type="dxa"/>
            <w:shd w:val="clear" w:color="auto" w:fill="auto"/>
            <w:vAlign w:val="center"/>
          </w:tcPr>
          <w:p w:rsidR="00751A4A" w:rsidRPr="00C74E5F" w:rsidRDefault="00A90367" w:rsidP="0010095E">
            <w:pPr>
              <w:pStyle w:val="EPName"/>
            </w:pPr>
            <w:r w:rsidRPr="00C74E5F">
              <w:t>Ευρωπαϊκό Κοινοβούλιο</w:t>
            </w:r>
          </w:p>
          <w:p w:rsidR="00751A4A" w:rsidRPr="00C74E5F" w:rsidRDefault="00817416" w:rsidP="00756632">
            <w:pPr>
              <w:pStyle w:val="EPTerm"/>
              <w:rPr>
                <w:rStyle w:val="HideTWBExt"/>
                <w:noProof w:val="0"/>
                <w:vanish w:val="0"/>
                <w:color w:val="auto"/>
              </w:rPr>
            </w:pPr>
            <w:r w:rsidRPr="00C74E5F">
              <w:t>2019-2024</w:t>
            </w:r>
          </w:p>
        </w:tc>
        <w:tc>
          <w:tcPr>
            <w:tcW w:w="2268" w:type="dxa"/>
            <w:shd w:val="clear" w:color="auto" w:fill="auto"/>
          </w:tcPr>
          <w:p w:rsidR="00751A4A" w:rsidRPr="00C74E5F" w:rsidRDefault="00187494" w:rsidP="0010095E">
            <w:pPr>
              <w:pStyle w:val="EPLogo"/>
            </w:pPr>
            <w:r w:rsidRPr="00C74E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74E5F" w:rsidRDefault="00D058B8" w:rsidP="004C5D52">
      <w:pPr>
        <w:pStyle w:val="LineTop"/>
      </w:pPr>
    </w:p>
    <w:p w:rsidR="00680577" w:rsidRPr="00C74E5F" w:rsidRDefault="00A90367" w:rsidP="00680577">
      <w:pPr>
        <w:pStyle w:val="EPBodyTA1"/>
      </w:pPr>
      <w:r w:rsidRPr="00C74E5F">
        <w:t>ΚΕΙΜΕΝΑ ΠΟΥ ΕΓΚΡΙΘΗΚΑΝ</w:t>
      </w:r>
    </w:p>
    <w:p w:rsidR="00D058B8" w:rsidRPr="00C74E5F" w:rsidRDefault="00D058B8" w:rsidP="00D058B8">
      <w:pPr>
        <w:pStyle w:val="LineBottom"/>
      </w:pPr>
    </w:p>
    <w:p w:rsidR="00A90367" w:rsidRPr="00C74E5F" w:rsidRDefault="00A90367" w:rsidP="00A90367">
      <w:pPr>
        <w:pStyle w:val="ATHeading1"/>
      </w:pPr>
      <w:bookmarkStart w:id="0" w:name="TANumber"/>
      <w:r w:rsidRPr="00C74E5F">
        <w:t>P9_TA(2024)0</w:t>
      </w:r>
      <w:r w:rsidR="00E676AB">
        <w:t>238</w:t>
      </w:r>
      <w:bookmarkEnd w:id="0"/>
    </w:p>
    <w:p w:rsidR="00A90367" w:rsidRPr="00C74E5F" w:rsidRDefault="00A90367" w:rsidP="00A90367">
      <w:pPr>
        <w:pStyle w:val="ATHeading2"/>
      </w:pPr>
      <w:bookmarkStart w:id="1" w:name="title"/>
      <w:r w:rsidRPr="00C74E5F">
        <w:t>Απαλλαγή 2022: Ευρωπαϊκό Κέντρο για την Ανάπτυξη της Επαγγελματικής Κατάρτισης (</w:t>
      </w:r>
      <w:proofErr w:type="spellStart"/>
      <w:r w:rsidRPr="00C74E5F">
        <w:t>Cedefop</w:t>
      </w:r>
      <w:proofErr w:type="spellEnd"/>
      <w:r w:rsidRPr="00C74E5F">
        <w:t>)</w:t>
      </w:r>
      <w:bookmarkEnd w:id="1"/>
    </w:p>
    <w:p w:rsidR="00A90367" w:rsidRPr="00C74E5F" w:rsidRDefault="00A90367" w:rsidP="00A90367">
      <w:pPr>
        <w:rPr>
          <w:i/>
          <w:vanish/>
        </w:rPr>
      </w:pPr>
      <w:r w:rsidRPr="00C74E5F">
        <w:rPr>
          <w:i/>
        </w:rPr>
        <w:fldChar w:fldCharType="begin"/>
      </w:r>
      <w:r w:rsidRPr="00C74E5F">
        <w:rPr>
          <w:i/>
        </w:rPr>
        <w:instrText xml:space="preserve"> TC"(</w:instrText>
      </w:r>
      <w:bookmarkStart w:id="2" w:name="DocNumber"/>
      <w:r w:rsidRPr="00C74E5F">
        <w:rPr>
          <w:i/>
        </w:rPr>
        <w:instrText>A9-0080/2024</w:instrText>
      </w:r>
      <w:bookmarkEnd w:id="2"/>
      <w:r w:rsidRPr="00C74E5F">
        <w:rPr>
          <w:i/>
        </w:rPr>
        <w:instrText xml:space="preserve"> - Εισηγητής: Petri Sarvamaa)"\l3 \n&gt; \* MERGEFORMAT </w:instrText>
      </w:r>
      <w:r w:rsidRPr="00C74E5F">
        <w:rPr>
          <w:i/>
        </w:rPr>
        <w:fldChar w:fldCharType="end"/>
      </w:r>
    </w:p>
    <w:p w:rsidR="00A90367" w:rsidRPr="00C74E5F" w:rsidRDefault="00A90367" w:rsidP="00A90367">
      <w:pPr>
        <w:rPr>
          <w:vanish/>
        </w:rPr>
      </w:pPr>
      <w:bookmarkStart w:id="3" w:name="Commission"/>
      <w:r w:rsidRPr="00C74E5F">
        <w:rPr>
          <w:vanish/>
        </w:rPr>
        <w:t>Επιτροπή Ελέγχου του Προϋπολογισμού</w:t>
      </w:r>
      <w:bookmarkEnd w:id="3"/>
    </w:p>
    <w:p w:rsidR="00A90367" w:rsidRPr="00C74E5F" w:rsidRDefault="00A90367" w:rsidP="00A90367">
      <w:pPr>
        <w:rPr>
          <w:vanish/>
        </w:rPr>
      </w:pPr>
      <w:bookmarkStart w:id="4" w:name="PE"/>
      <w:r w:rsidRPr="00C74E5F">
        <w:rPr>
          <w:vanish/>
        </w:rPr>
        <w:t>PE753.509</w:t>
      </w:r>
      <w:bookmarkEnd w:id="4"/>
    </w:p>
    <w:p w:rsidR="00A90367" w:rsidRPr="00C74E5F" w:rsidRDefault="00CC7D1D" w:rsidP="00A90367">
      <w:pPr>
        <w:pStyle w:val="ATHeading3"/>
      </w:pPr>
      <w:bookmarkStart w:id="5" w:name="Sujet"/>
      <w:r>
        <w:t>1. Α</w:t>
      </w:r>
      <w:r w:rsidR="00A90367" w:rsidRPr="00C74E5F">
        <w:t xml:space="preserve">πόφαση του Ευρωπαϊκού Κοινοβουλίου </w:t>
      </w:r>
      <w:r w:rsidR="00E60205">
        <w:t xml:space="preserve">της </w:t>
      </w:r>
      <w:r w:rsidR="00820247" w:rsidRPr="00E676AB">
        <w:t>11</w:t>
      </w:r>
      <w:r w:rsidR="00E60205">
        <w:t xml:space="preserve">ης Απριλίου 2024 </w:t>
      </w:r>
      <w:r w:rsidR="00A90367" w:rsidRPr="00C74E5F">
        <w:t>σχετικά με την απαλλαγή όσον αφορά την εκτέλεση του προϋπολογισμού του Ευρωπαϊκού Κέντρου για την Ανάπτυξη της Επαγγελματικής Κατάρτισης (</w:t>
      </w:r>
      <w:proofErr w:type="spellStart"/>
      <w:r w:rsidR="00A90367" w:rsidRPr="00C74E5F">
        <w:t>Cedefop</w:t>
      </w:r>
      <w:proofErr w:type="spellEnd"/>
      <w:r w:rsidR="00A90367" w:rsidRPr="00C74E5F">
        <w:t>) για το οικονομικό έτος 2022</w:t>
      </w:r>
      <w:bookmarkEnd w:id="5"/>
      <w:r w:rsidR="00A90367" w:rsidRPr="00C74E5F">
        <w:t xml:space="preserve"> </w:t>
      </w:r>
      <w:bookmarkStart w:id="6" w:name="References"/>
      <w:r w:rsidR="00A90367" w:rsidRPr="00C74E5F">
        <w:t>(2023/2143(DEC))</w:t>
      </w:r>
      <w:bookmarkEnd w:id="6"/>
    </w:p>
    <w:p w:rsidR="00A02BD4" w:rsidRPr="00C74E5F" w:rsidRDefault="00A02BD4" w:rsidP="00A02BD4">
      <w:pPr>
        <w:pStyle w:val="EPComma"/>
      </w:pPr>
      <w:bookmarkStart w:id="7" w:name="TextBodyBegin"/>
      <w:bookmarkEnd w:id="7"/>
      <w:r w:rsidRPr="00C74E5F">
        <w:rPr>
          <w:i/>
        </w:rPr>
        <w:t>Το Ευρωπαϊκό Κοινοβούλιο</w:t>
      </w:r>
      <w:r w:rsidRPr="00C74E5F">
        <w:t>,</w:t>
      </w:r>
    </w:p>
    <w:p w:rsidR="00A02BD4" w:rsidRPr="00C74E5F" w:rsidRDefault="00A02BD4" w:rsidP="00A02BD4">
      <w:pPr>
        <w:pStyle w:val="NormalHanging12a"/>
      </w:pPr>
      <w:r w:rsidRPr="00C74E5F">
        <w:t>–</w:t>
      </w:r>
      <w:r w:rsidRPr="00C74E5F">
        <w:tab/>
        <w:t>έχοντας υπόψη τους οριστικούς ετήσιους λογαριασμούς του Ευρωπαϊκού Κέντρου για την Ανάπτυξη της Επαγγελματικής Κατάρτισης (</w:t>
      </w:r>
      <w:proofErr w:type="spellStart"/>
      <w:r w:rsidRPr="00C74E5F">
        <w:t>Cedefop</w:t>
      </w:r>
      <w:proofErr w:type="spellEnd"/>
      <w:r w:rsidRPr="00C74E5F">
        <w:t>) για το οικονομικό έτος 2022,</w:t>
      </w:r>
    </w:p>
    <w:p w:rsidR="00A02BD4" w:rsidRPr="00C74E5F" w:rsidRDefault="00A02BD4" w:rsidP="00A02BD4">
      <w:pPr>
        <w:pStyle w:val="NormalHanging12a"/>
      </w:pPr>
      <w:r w:rsidRPr="00C74E5F">
        <w:t>–</w:t>
      </w:r>
      <w:r w:rsidRPr="00C74E5F">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C74E5F">
        <w:rPr>
          <w:rStyle w:val="FootnoteReference"/>
        </w:rPr>
        <w:footnoteReference w:id="1"/>
      </w:r>
      <w:r w:rsidRPr="00C74E5F">
        <w:t>,</w:t>
      </w:r>
    </w:p>
    <w:p w:rsidR="00A02BD4" w:rsidRPr="00C74E5F" w:rsidRDefault="00A02BD4" w:rsidP="00A02BD4">
      <w:pPr>
        <w:pStyle w:val="NormalHanging12a"/>
      </w:pPr>
      <w:r w:rsidRPr="00C74E5F">
        <w:t>–</w:t>
      </w:r>
      <w:r w:rsidRPr="00C74E5F">
        <w:tab/>
        <w:t>έχοντας υπόψη τη δήλωση αξιοπιστίας</w:t>
      </w:r>
      <w:r w:rsidRPr="00C74E5F">
        <w:rPr>
          <w:rStyle w:val="FootnoteReference"/>
        </w:rPr>
        <w:footnoteReference w:id="2"/>
      </w:r>
      <w:r w:rsidRPr="00C74E5F">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A02BD4" w:rsidRPr="00C74E5F" w:rsidRDefault="00A02BD4" w:rsidP="00A02BD4">
      <w:pPr>
        <w:pStyle w:val="NormalHanging12a"/>
      </w:pPr>
      <w:r w:rsidRPr="00C74E5F">
        <w:t>–</w:t>
      </w:r>
      <w:r w:rsidRPr="00C74E5F">
        <w:tab/>
        <w:t>έχοντας υπόψη τη σύσταση του Συμβουλίου, της 22ας Φεβρουαρίου 2024, σχετικά με τη χορήγηση απαλλαγής στο Κέντρο όσον αφορά την εκτέλεση του προϋπολογισμού για το οικονομικό έτος 2022 (</w:t>
      </w:r>
      <w:r w:rsidR="00820247" w:rsidRPr="00E676AB">
        <w:t>06180</w:t>
      </w:r>
      <w:r w:rsidRPr="00C74E5F">
        <w:t>/2024 – C9-0</w:t>
      </w:r>
      <w:r w:rsidR="004801A3">
        <w:t>081</w:t>
      </w:r>
      <w:r w:rsidRPr="00C74E5F">
        <w:t>/202</w:t>
      </w:r>
      <w:r w:rsidR="004801A3">
        <w:t>4</w:t>
      </w:r>
      <w:r w:rsidRPr="00C74E5F">
        <w:t>),</w:t>
      </w:r>
    </w:p>
    <w:p w:rsidR="00A02BD4" w:rsidRPr="00C74E5F" w:rsidRDefault="00A02BD4" w:rsidP="00A02BD4">
      <w:pPr>
        <w:pStyle w:val="NormalHanging12a"/>
      </w:pPr>
      <w:r w:rsidRPr="00C74E5F">
        <w:t>–</w:t>
      </w:r>
      <w:r w:rsidRPr="00C74E5F">
        <w:tab/>
        <w:t>έχοντας υπόψη το άρθρο 319 της Συνθήκης για τη λειτουργία της Ευρωπαϊκής Ένωσης,</w:t>
      </w:r>
    </w:p>
    <w:p w:rsidR="00A02BD4" w:rsidRPr="00C74E5F" w:rsidRDefault="00A02BD4" w:rsidP="00A02BD4">
      <w:pPr>
        <w:pStyle w:val="NormalHanging12a"/>
      </w:pPr>
      <w:r w:rsidRPr="00C74E5F">
        <w:t>–</w:t>
      </w:r>
      <w:r w:rsidRPr="00C74E5F">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C74E5F">
        <w:rPr>
          <w:rStyle w:val="FootnoteReference"/>
        </w:rPr>
        <w:footnoteReference w:id="3"/>
      </w:r>
      <w:r w:rsidRPr="00C74E5F">
        <w:t>, και ιδίως το άρθρο 70,</w:t>
      </w:r>
    </w:p>
    <w:p w:rsidR="00A02BD4" w:rsidRPr="00C74E5F" w:rsidRDefault="00A02BD4" w:rsidP="00A02BD4">
      <w:pPr>
        <w:pStyle w:val="NormalHanging12a"/>
      </w:pPr>
      <w:r w:rsidRPr="00C74E5F">
        <w:t>–</w:t>
      </w:r>
      <w:r w:rsidRPr="00C74E5F">
        <w:tab/>
        <w:t xml:space="preserve">έχοντας υπόψη τον κανονισμό (EE) 2019/128 του Ευρωπαϊκού Κοινοβουλίου και του </w:t>
      </w:r>
      <w:r w:rsidRPr="00C74E5F">
        <w:lastRenderedPageBreak/>
        <w:t>Συμβουλίου, της 16ης Ιανουαρίου 2019, σχετικά με την ίδρυση Ευρωπαϊκού Κέντρου για την Ανάπτυξη της Επαγγελματικής Κατάρτισης (</w:t>
      </w:r>
      <w:proofErr w:type="spellStart"/>
      <w:r w:rsidRPr="00C74E5F">
        <w:t>Cedefop</w:t>
      </w:r>
      <w:proofErr w:type="spellEnd"/>
      <w:r w:rsidRPr="00C74E5F">
        <w:t>) και την κατάργηση του κανονισμού (ΕΟΚ) αριθ. 337/75 του Συμβουλίου</w:t>
      </w:r>
      <w:r w:rsidRPr="00C74E5F">
        <w:rPr>
          <w:rStyle w:val="FootnoteReference"/>
        </w:rPr>
        <w:footnoteReference w:id="4"/>
      </w:r>
      <w:r w:rsidRPr="00C74E5F">
        <w:t>, και ιδίως το άρθρο 15,</w:t>
      </w:r>
    </w:p>
    <w:p w:rsidR="00A02BD4" w:rsidRPr="00C74E5F" w:rsidRDefault="00A02BD4" w:rsidP="00A02BD4">
      <w:pPr>
        <w:pStyle w:val="NormalHanging12a"/>
      </w:pPr>
      <w:r w:rsidRPr="00C74E5F">
        <w:t>–</w:t>
      </w:r>
      <w:r w:rsidRPr="00C74E5F">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C74E5F">
        <w:rPr>
          <w:rStyle w:val="FootnoteReference"/>
        </w:rPr>
        <w:footnoteReference w:id="5"/>
      </w:r>
      <w:r w:rsidRPr="00C74E5F">
        <w:t>, και ιδίως το άρθρο 105,</w:t>
      </w:r>
    </w:p>
    <w:p w:rsidR="00A02BD4" w:rsidRPr="00C74E5F" w:rsidRDefault="00A02BD4" w:rsidP="00A02BD4">
      <w:pPr>
        <w:pStyle w:val="NormalHanging12a"/>
      </w:pPr>
      <w:r w:rsidRPr="00C74E5F">
        <w:t>–</w:t>
      </w:r>
      <w:r w:rsidRPr="00C74E5F">
        <w:tab/>
        <w:t>έχοντας υπόψη το άρθρο 100 και το παράρτημα V του Κανονισμού του,</w:t>
      </w:r>
    </w:p>
    <w:p w:rsidR="00A02BD4" w:rsidRPr="00C74E5F" w:rsidRDefault="00A02BD4" w:rsidP="00A02BD4">
      <w:pPr>
        <w:pStyle w:val="NormalHanging12a"/>
      </w:pPr>
      <w:r w:rsidRPr="00C74E5F">
        <w:t>–</w:t>
      </w:r>
      <w:r w:rsidRPr="00C74E5F">
        <w:tab/>
        <w:t>έχοντας υπόψη τη γνωμοδότηση της Επιτροπής Απασχόλησης και Κοινωνικών Υποθέσεων,</w:t>
      </w:r>
    </w:p>
    <w:p w:rsidR="00A02BD4" w:rsidRPr="00C74E5F" w:rsidRDefault="00A02BD4" w:rsidP="00A02BD4">
      <w:pPr>
        <w:pStyle w:val="NormalHanging12a"/>
      </w:pPr>
      <w:r w:rsidRPr="00C74E5F">
        <w:t>–</w:t>
      </w:r>
      <w:r w:rsidRPr="00C74E5F">
        <w:tab/>
        <w:t>έχοντας υπόψη την έκθεση της Επιτροπής Ελέγχου του Προϋπολογισμού (A9-0080/2024),</w:t>
      </w:r>
    </w:p>
    <w:p w:rsidR="00A02BD4" w:rsidRPr="00C74E5F" w:rsidRDefault="00A02BD4" w:rsidP="00A02BD4">
      <w:pPr>
        <w:pStyle w:val="NormalHanging12a"/>
      </w:pPr>
      <w:r w:rsidRPr="00C74E5F">
        <w:t>1.</w:t>
      </w:r>
      <w:r w:rsidRPr="00C74E5F">
        <w:tab/>
        <w:t>χορηγεί απαλλαγή στον εκτελεστικό διευθυντή του Ευρωπαϊκού Κέντρου για την Ανάπτυξη της Επαγγελματικής Κατάρτισης (</w:t>
      </w:r>
      <w:proofErr w:type="spellStart"/>
      <w:r w:rsidRPr="00C74E5F">
        <w:t>Cedefop</w:t>
      </w:r>
      <w:proofErr w:type="spellEnd"/>
      <w:r w:rsidRPr="00C74E5F">
        <w:t>) όσον αφορά την εκτέλεση του προϋπολογισμού του Κέντρου για το οικονομικό έτος 2022·</w:t>
      </w:r>
    </w:p>
    <w:p w:rsidR="00A02BD4" w:rsidRPr="00C74E5F" w:rsidRDefault="00A02BD4" w:rsidP="00A02BD4">
      <w:pPr>
        <w:pStyle w:val="NormalHanging12a"/>
      </w:pPr>
      <w:r w:rsidRPr="00C74E5F">
        <w:t>2.</w:t>
      </w:r>
      <w:r w:rsidRPr="00C74E5F">
        <w:tab/>
        <w:t>εκθέτει τις παρατηρήσεις του στο ψήφισμα που ακολουθεί·</w:t>
      </w:r>
    </w:p>
    <w:p w:rsidR="00A02BD4" w:rsidRPr="00C74E5F" w:rsidRDefault="00A02BD4" w:rsidP="00A02BD4">
      <w:pPr>
        <w:pStyle w:val="NormalHanging12a"/>
      </w:pPr>
      <w:r w:rsidRPr="00C74E5F">
        <w:t>3.</w:t>
      </w:r>
      <w:r w:rsidRPr="00C74E5F">
        <w:tab/>
        <w:t>αναθέτει στην Πρόεδρό του να διαβιβάσει την παρούσα απόφαση και το ψήφισμα που αποτελεί αναπόσπαστο μέρος της στον εκτελεστικό διευθυντή του Ευρωπαϊκού Κέντρου για την Ανάπτυξη της Επαγγελματικής Κατάρτισης (</w:t>
      </w:r>
      <w:proofErr w:type="spellStart"/>
      <w:r w:rsidRPr="00C74E5F">
        <w:t>Cedefop</w:t>
      </w:r>
      <w:proofErr w:type="spellEnd"/>
      <w:r w:rsidRPr="00C74E5F">
        <w:t xml:space="preserve">), στο Συμβούλιο, στην Επιτροπή και στο Ελεγκτικό Συνέδριο, και να μεριμνήσει για τη δημοσίευσή τους στην </w:t>
      </w:r>
      <w:r w:rsidRPr="00C74E5F">
        <w:rPr>
          <w:i/>
        </w:rPr>
        <w:t>Επίσημη Εφημερίδα της Ευρωπαϊκής Ένωσης</w:t>
      </w:r>
      <w:r w:rsidRPr="00C74E5F">
        <w:t xml:space="preserve"> (σειρά L).</w:t>
      </w:r>
    </w:p>
    <w:p w:rsidR="00A02BD4" w:rsidRPr="00C74E5F" w:rsidRDefault="00A02BD4" w:rsidP="00A02BD4"/>
    <w:p w:rsidR="00A02BD4" w:rsidRPr="00C74E5F" w:rsidRDefault="00A02BD4" w:rsidP="00A02BD4">
      <w:pPr>
        <w:pStyle w:val="PageHeading"/>
        <w:sectPr w:rsidR="00A02BD4" w:rsidRPr="00C74E5F" w:rsidSect="00C74E5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02BD4" w:rsidRPr="00C74E5F" w:rsidRDefault="00A02BD4" w:rsidP="00E676AB">
      <w:pPr>
        <w:pStyle w:val="ATHeading3"/>
      </w:pPr>
      <w:bookmarkStart w:id="8" w:name="_Toc161240216"/>
      <w:r w:rsidRPr="00C74E5F">
        <w:lastRenderedPageBreak/>
        <w:t xml:space="preserve">2. </w:t>
      </w:r>
      <w:r w:rsidR="00E60205">
        <w:t>Α</w:t>
      </w:r>
      <w:r w:rsidR="00E60205" w:rsidRPr="00C74E5F">
        <w:t xml:space="preserve">πόφαση του Ευρωπαϊκού Κοινοβουλίου </w:t>
      </w:r>
      <w:r w:rsidR="00E60205">
        <w:t xml:space="preserve">της </w:t>
      </w:r>
      <w:r w:rsidR="00820247" w:rsidRPr="00E676AB">
        <w:rPr>
          <w:b w:val="0"/>
        </w:rPr>
        <w:t>11</w:t>
      </w:r>
      <w:r w:rsidR="00E60205">
        <w:t xml:space="preserve">ης Απριλίου 2024 </w:t>
      </w:r>
      <w:bookmarkEnd w:id="8"/>
      <w:r w:rsidRPr="00C74E5F">
        <w:t>σχετικά με το κλείσιμο των λογαριασμών του Ευρωπαϊκού Κέντρου για την Ανάπτυξη της Επαγγελματικής Κατάρτισης (</w:t>
      </w:r>
      <w:proofErr w:type="spellStart"/>
      <w:r w:rsidRPr="00C74E5F">
        <w:t>Cedefop</w:t>
      </w:r>
      <w:proofErr w:type="spellEnd"/>
      <w:r w:rsidRPr="00C74E5F">
        <w:t>) για το οικονομικό έτος 2022</w:t>
      </w:r>
      <w:r w:rsidR="00E60205">
        <w:t xml:space="preserve"> </w:t>
      </w:r>
      <w:r w:rsidRPr="00C74E5F">
        <w:t>(2023/2143(DEC))</w:t>
      </w:r>
    </w:p>
    <w:p w:rsidR="00A02BD4" w:rsidRPr="00C74E5F" w:rsidRDefault="00A02BD4" w:rsidP="00A02BD4">
      <w:pPr>
        <w:pStyle w:val="EPComma"/>
      </w:pPr>
      <w:r w:rsidRPr="00C74E5F">
        <w:rPr>
          <w:i/>
        </w:rPr>
        <w:t>Το Ευρωπαϊκό Κοινοβούλιο</w:t>
      </w:r>
      <w:r w:rsidRPr="00C74E5F">
        <w:t>,</w:t>
      </w:r>
    </w:p>
    <w:p w:rsidR="00A02BD4" w:rsidRPr="00C74E5F" w:rsidRDefault="00A02BD4" w:rsidP="00A02BD4">
      <w:pPr>
        <w:pStyle w:val="NormalHanging12a"/>
      </w:pPr>
      <w:r w:rsidRPr="00C74E5F">
        <w:t>–</w:t>
      </w:r>
      <w:r w:rsidRPr="00C74E5F">
        <w:tab/>
        <w:t>έχοντας υπόψη τους οριστικούς ετήσιους λογαριασμούς του Ευρωπαϊκού Κέντρου για την Ανάπτυξη της Επαγγελματικής Κατάρτισης (</w:t>
      </w:r>
      <w:proofErr w:type="spellStart"/>
      <w:r w:rsidRPr="00C74E5F">
        <w:t>Cedefop</w:t>
      </w:r>
      <w:proofErr w:type="spellEnd"/>
      <w:r w:rsidRPr="00C74E5F">
        <w:t>) για το οικονομικό έτος 2022,</w:t>
      </w:r>
    </w:p>
    <w:p w:rsidR="00A02BD4" w:rsidRPr="00C74E5F" w:rsidRDefault="00A02BD4" w:rsidP="00A02BD4">
      <w:pPr>
        <w:pStyle w:val="NormalHanging12a"/>
      </w:pPr>
      <w:r w:rsidRPr="00C74E5F">
        <w:t>–</w:t>
      </w:r>
      <w:r w:rsidRPr="00C74E5F">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C74E5F">
        <w:rPr>
          <w:rStyle w:val="FootnoteReference"/>
        </w:rPr>
        <w:footnoteReference w:id="6"/>
      </w:r>
      <w:r w:rsidRPr="00C74E5F">
        <w:t>,</w:t>
      </w:r>
    </w:p>
    <w:p w:rsidR="00A02BD4" w:rsidRPr="00C74E5F" w:rsidRDefault="00A02BD4" w:rsidP="00A02BD4">
      <w:pPr>
        <w:pStyle w:val="NormalHanging12a"/>
      </w:pPr>
      <w:r w:rsidRPr="00C74E5F">
        <w:t>–</w:t>
      </w:r>
      <w:r w:rsidRPr="00C74E5F">
        <w:tab/>
        <w:t>έχοντας υπόψη τη δήλωση αξιοπιστίας</w:t>
      </w:r>
      <w:r w:rsidRPr="00C74E5F">
        <w:rPr>
          <w:rStyle w:val="FootnoteReference"/>
        </w:rPr>
        <w:footnoteReference w:id="7"/>
      </w:r>
      <w:r w:rsidRPr="00C74E5F">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A02BD4" w:rsidRPr="00C74E5F" w:rsidRDefault="00A02BD4" w:rsidP="00A02BD4">
      <w:pPr>
        <w:pStyle w:val="NormalHanging12a"/>
      </w:pPr>
      <w:r w:rsidRPr="00C74E5F">
        <w:t>–</w:t>
      </w:r>
      <w:r w:rsidRPr="00C74E5F">
        <w:tab/>
        <w:t>έχοντας υπόψη τη σύσταση του Συμβουλίου, της 22ας Φεβρουαρίου 2024, σχετικά με τη χορήγηση απαλλαγής στο Κέντρο όσον αφορά την εκτέλεση του προϋπολογισμού για το οικονομικό έτος 2022 (</w:t>
      </w:r>
      <w:r w:rsidR="004801A3" w:rsidRPr="00AF3260">
        <w:t>06180</w:t>
      </w:r>
      <w:r w:rsidR="004801A3" w:rsidRPr="00C74E5F">
        <w:t>/2024 – C9-0</w:t>
      </w:r>
      <w:r w:rsidR="004801A3">
        <w:t>081</w:t>
      </w:r>
      <w:r w:rsidR="004801A3" w:rsidRPr="00C74E5F">
        <w:t>/202</w:t>
      </w:r>
      <w:r w:rsidR="004801A3">
        <w:t>4</w:t>
      </w:r>
      <w:r w:rsidRPr="00C74E5F">
        <w:t>),</w:t>
      </w:r>
    </w:p>
    <w:p w:rsidR="00A02BD4" w:rsidRPr="00C74E5F" w:rsidRDefault="00A02BD4" w:rsidP="00A02BD4">
      <w:pPr>
        <w:pStyle w:val="NormalHanging12a"/>
      </w:pPr>
      <w:r w:rsidRPr="00C74E5F">
        <w:t>–</w:t>
      </w:r>
      <w:r w:rsidRPr="00C74E5F">
        <w:tab/>
        <w:t>έχοντας υπόψη το άρθρο 319 της Συνθήκης για τη λειτουργία της Ευρωπαϊκής Ένωσης,</w:t>
      </w:r>
    </w:p>
    <w:p w:rsidR="00A02BD4" w:rsidRPr="00C74E5F" w:rsidRDefault="00A02BD4" w:rsidP="00A02BD4">
      <w:pPr>
        <w:pStyle w:val="NormalHanging12a"/>
      </w:pPr>
      <w:r w:rsidRPr="00C74E5F">
        <w:t>–</w:t>
      </w:r>
      <w:r w:rsidRPr="00C74E5F">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C74E5F">
        <w:rPr>
          <w:rStyle w:val="FootnoteReference"/>
        </w:rPr>
        <w:footnoteReference w:id="8"/>
      </w:r>
      <w:r w:rsidRPr="00C74E5F">
        <w:t>, και ιδίως το άρθρο 70,</w:t>
      </w:r>
    </w:p>
    <w:p w:rsidR="00A02BD4" w:rsidRPr="00C74E5F" w:rsidRDefault="00A02BD4" w:rsidP="00A02BD4">
      <w:pPr>
        <w:pStyle w:val="NormalHanging12a"/>
      </w:pPr>
      <w:r w:rsidRPr="00C74E5F">
        <w:t>–</w:t>
      </w:r>
      <w:r w:rsidRPr="00C74E5F">
        <w:tab/>
        <w:t>έχοντας υπόψη τον κανονισμό (EE) 2019/128 του Ευρωπαϊκού Κοινοβουλίου και του Συμβουλίου, της 16ης Ιανουαρίου 2019, σχετικά με την ίδρυση Ευρωπαϊκού Κέντρου για την Ανάπτυξη της Επαγγελματικής Κατάρτισης (</w:t>
      </w:r>
      <w:proofErr w:type="spellStart"/>
      <w:r w:rsidRPr="00C74E5F">
        <w:t>Cedefop</w:t>
      </w:r>
      <w:proofErr w:type="spellEnd"/>
      <w:r w:rsidRPr="00C74E5F">
        <w:t>) και την κατάργηση του κανονισμού (ΕΟΚ) αριθ. 337/75 του Συμβουλίου</w:t>
      </w:r>
      <w:r w:rsidRPr="00C74E5F">
        <w:rPr>
          <w:rStyle w:val="FootnoteReference"/>
        </w:rPr>
        <w:footnoteReference w:id="9"/>
      </w:r>
      <w:r w:rsidRPr="00C74E5F">
        <w:t>, και ιδίως το άρθρο 15,</w:t>
      </w:r>
    </w:p>
    <w:p w:rsidR="00A02BD4" w:rsidRPr="00C74E5F" w:rsidRDefault="00A02BD4" w:rsidP="00A02BD4">
      <w:pPr>
        <w:pStyle w:val="NormalHanging12a"/>
      </w:pPr>
      <w:r w:rsidRPr="00C74E5F">
        <w:t>–</w:t>
      </w:r>
      <w:r w:rsidRPr="00C74E5F">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C74E5F">
        <w:rPr>
          <w:rStyle w:val="FootnoteReference"/>
        </w:rPr>
        <w:footnoteReference w:id="10"/>
      </w:r>
      <w:r w:rsidRPr="00C74E5F">
        <w:t>, και ιδίως το άρθρο 105,</w:t>
      </w:r>
    </w:p>
    <w:p w:rsidR="00A02BD4" w:rsidRPr="00C74E5F" w:rsidRDefault="00A02BD4" w:rsidP="00A02BD4">
      <w:pPr>
        <w:pStyle w:val="NormalHanging12a"/>
      </w:pPr>
      <w:r w:rsidRPr="00C74E5F">
        <w:t>–</w:t>
      </w:r>
      <w:r w:rsidRPr="00C74E5F">
        <w:tab/>
        <w:t>έχοντας υπόψη το άρθρο 100 και το παράρτημα V του Κανονισμού του,</w:t>
      </w:r>
    </w:p>
    <w:p w:rsidR="00A02BD4" w:rsidRPr="00C74E5F" w:rsidRDefault="00A02BD4" w:rsidP="00A02BD4">
      <w:pPr>
        <w:pStyle w:val="NormalHanging12a"/>
      </w:pPr>
      <w:r w:rsidRPr="00C74E5F">
        <w:t>–</w:t>
      </w:r>
      <w:r w:rsidRPr="00C74E5F">
        <w:tab/>
        <w:t xml:space="preserve">έχοντας υπόψη τη γνωμοδότηση της Επιτροπής Απασχόλησης και Κοινωνικών </w:t>
      </w:r>
      <w:r w:rsidRPr="00C74E5F">
        <w:lastRenderedPageBreak/>
        <w:t>Υποθέσεων,</w:t>
      </w:r>
    </w:p>
    <w:p w:rsidR="00A02BD4" w:rsidRPr="00C74E5F" w:rsidRDefault="00A02BD4" w:rsidP="00A02BD4">
      <w:pPr>
        <w:pStyle w:val="NormalHanging12a"/>
      </w:pPr>
      <w:r w:rsidRPr="00C74E5F">
        <w:t>–</w:t>
      </w:r>
      <w:r w:rsidRPr="00C74E5F">
        <w:tab/>
        <w:t>έχοντας υπόψη την έκθεση της Επιτροπής Ελέγχου του Προϋπολογισμού (A9-0080/2024),</w:t>
      </w:r>
    </w:p>
    <w:p w:rsidR="00A02BD4" w:rsidRPr="00C74E5F" w:rsidRDefault="00A02BD4" w:rsidP="00A02BD4">
      <w:pPr>
        <w:pStyle w:val="NormalHanging12a"/>
      </w:pPr>
      <w:r w:rsidRPr="00C74E5F">
        <w:t>1.</w:t>
      </w:r>
      <w:r w:rsidRPr="00C74E5F">
        <w:tab/>
        <w:t>εγκρίνει το κλείσιμο των λογαριασμών του Ευρωπαϊκού Κέντρου για την Ανάπτυξη της Επαγγελματικής Κατάρτισης (</w:t>
      </w:r>
      <w:proofErr w:type="spellStart"/>
      <w:r w:rsidRPr="00C74E5F">
        <w:t>Cedefop</w:t>
      </w:r>
      <w:proofErr w:type="spellEnd"/>
      <w:r w:rsidRPr="00C74E5F">
        <w:t>) για το οικονομικό έτος 2022·</w:t>
      </w:r>
    </w:p>
    <w:p w:rsidR="00A02BD4" w:rsidRPr="00C74E5F" w:rsidRDefault="00A02BD4" w:rsidP="00A02BD4">
      <w:pPr>
        <w:pStyle w:val="NormalHanging12a"/>
      </w:pPr>
      <w:r w:rsidRPr="00C74E5F">
        <w:t>2.</w:t>
      </w:r>
      <w:r w:rsidRPr="00C74E5F">
        <w:tab/>
        <w:t>αναθέτει στην Πρόεδρό του να διαβιβάσει την παρούσα απόφαση στον εκτελεστικό διευθυντή του Ευρωπαϊκού Κέντρου για την Ανάπτυξη της Επαγγελματικής Κατάρτισης (</w:t>
      </w:r>
      <w:proofErr w:type="spellStart"/>
      <w:r w:rsidRPr="00C74E5F">
        <w:t>Cedefop</w:t>
      </w:r>
      <w:proofErr w:type="spellEnd"/>
      <w:r w:rsidRPr="00C74E5F">
        <w:t xml:space="preserve">), στο Συμβούλιο, στην Επιτροπή και στο Ελεγκτικό Συνέδριο, και να μεριμνήσει για τη δημοσίευσή της στην </w:t>
      </w:r>
      <w:r w:rsidRPr="00C74E5F">
        <w:rPr>
          <w:i/>
        </w:rPr>
        <w:t>Επίσημη Εφημερίδα της Ευρωπαϊκής Ένωσης</w:t>
      </w:r>
      <w:r w:rsidRPr="00C74E5F">
        <w:t xml:space="preserve"> (σειρά L).</w:t>
      </w:r>
    </w:p>
    <w:p w:rsidR="00A02BD4" w:rsidRPr="00C74E5F" w:rsidRDefault="00A02BD4" w:rsidP="00A02BD4"/>
    <w:p w:rsidR="00A02BD4" w:rsidRPr="00C74E5F" w:rsidRDefault="00A02BD4" w:rsidP="00A02BD4">
      <w:pPr>
        <w:pStyle w:val="PageHeading"/>
        <w:sectPr w:rsidR="00A02BD4" w:rsidRPr="00C74E5F" w:rsidSect="00C74E5F">
          <w:footnotePr>
            <w:numRestart w:val="eachPage"/>
          </w:footnotePr>
          <w:endnotePr>
            <w:numFmt w:val="decimal"/>
          </w:endnotePr>
          <w:pgSz w:w="11906" w:h="16838" w:code="9"/>
          <w:pgMar w:top="1134" w:right="1418" w:bottom="1418" w:left="1418" w:header="567" w:footer="567" w:gutter="0"/>
          <w:cols w:space="720"/>
          <w:noEndnote/>
          <w:docGrid w:linePitch="326"/>
        </w:sectPr>
      </w:pPr>
    </w:p>
    <w:p w:rsidR="00A02BD4" w:rsidRPr="00C74E5F" w:rsidRDefault="00A02BD4" w:rsidP="00E676AB">
      <w:pPr>
        <w:pStyle w:val="ATHeading3"/>
      </w:pPr>
      <w:bookmarkStart w:id="9" w:name="_Toc161240217"/>
      <w:r w:rsidRPr="00C74E5F">
        <w:lastRenderedPageBreak/>
        <w:t xml:space="preserve">3. </w:t>
      </w:r>
      <w:r w:rsidR="00E60205">
        <w:t xml:space="preserve">Ψήφισμα </w:t>
      </w:r>
      <w:bookmarkEnd w:id="9"/>
      <w:r w:rsidR="00E60205" w:rsidRPr="00C74E5F">
        <w:t xml:space="preserve">του Ευρωπαϊκού Κοινοβουλίου </w:t>
      </w:r>
      <w:r w:rsidR="00E60205">
        <w:t xml:space="preserve">της </w:t>
      </w:r>
      <w:r w:rsidR="00820247" w:rsidRPr="00E676AB">
        <w:rPr>
          <w:b w:val="0"/>
        </w:rPr>
        <w:t>11</w:t>
      </w:r>
      <w:r w:rsidR="00E60205">
        <w:t xml:space="preserve">ης Απριλίου 2024 </w:t>
      </w:r>
      <w:r w:rsidRPr="00C74E5F">
        <w:t>με τις παρατηρήσεις που αποτελούν αναπόσπαστο μέρος της απόφασης σχετικά με την απαλλαγή όσον αφορά την εκτέλεση του προϋπολογισμού του Ευρωπαϊκού Κέντρου για την Ανάπτυξη της Επαγγελματικής Κατάρτισης (</w:t>
      </w:r>
      <w:proofErr w:type="spellStart"/>
      <w:r w:rsidRPr="00C74E5F">
        <w:t>Cedefop</w:t>
      </w:r>
      <w:proofErr w:type="spellEnd"/>
      <w:r w:rsidRPr="00C74E5F">
        <w:t>) για το οικονομικό έτος 2022</w:t>
      </w:r>
      <w:r w:rsidR="00E60205">
        <w:t xml:space="preserve"> </w:t>
      </w:r>
      <w:r w:rsidRPr="00C74E5F">
        <w:t>(2023/2143(DEC))</w:t>
      </w:r>
    </w:p>
    <w:p w:rsidR="00A02BD4" w:rsidRPr="00C74E5F" w:rsidRDefault="00A02BD4" w:rsidP="00A02BD4">
      <w:pPr>
        <w:pStyle w:val="EPComma"/>
      </w:pPr>
      <w:r w:rsidRPr="00C74E5F">
        <w:rPr>
          <w:i/>
        </w:rPr>
        <w:t>Το Ευρωπαϊκό Κοινοβούλιο</w:t>
      </w:r>
      <w:r w:rsidRPr="00C74E5F">
        <w:t>,</w:t>
      </w:r>
    </w:p>
    <w:p w:rsidR="00A02BD4" w:rsidRPr="00C74E5F" w:rsidRDefault="00A02BD4" w:rsidP="00E60205">
      <w:pPr>
        <w:pStyle w:val="NormalHanging12a"/>
        <w:widowControl/>
      </w:pPr>
      <w:r w:rsidRPr="00C74E5F">
        <w:t>–</w:t>
      </w:r>
      <w:r w:rsidRPr="00C74E5F">
        <w:tab/>
        <w:t>έχοντας υπόψη την απόφασή του σχετικά με την απαλλαγή όσον αφορά την εκτέλεση του προϋπολογισμού του Ευρωπαϊκού Κέντρου για την Ανάπτυξη της Επαγγελματικής Κατάρτισης (</w:t>
      </w:r>
      <w:proofErr w:type="spellStart"/>
      <w:r w:rsidRPr="00C74E5F">
        <w:t>Cedefop</w:t>
      </w:r>
      <w:proofErr w:type="spellEnd"/>
      <w:r w:rsidRPr="00C74E5F">
        <w:t>) για το οικονομικό έτος 2022,</w:t>
      </w:r>
    </w:p>
    <w:p w:rsidR="00A02BD4" w:rsidRPr="00C74E5F" w:rsidRDefault="00A02BD4" w:rsidP="00E60205">
      <w:pPr>
        <w:pStyle w:val="NormalHanging12a"/>
        <w:widowControl/>
      </w:pPr>
      <w:r w:rsidRPr="00C74E5F">
        <w:t>–</w:t>
      </w:r>
      <w:r w:rsidRPr="00C74E5F">
        <w:tab/>
        <w:t>έχοντας υπόψη το άρθρο 100 και το παράρτημα V του Κανονισμού του,</w:t>
      </w:r>
    </w:p>
    <w:p w:rsidR="00A02BD4" w:rsidRPr="00C74E5F" w:rsidRDefault="00A02BD4" w:rsidP="00E60205">
      <w:pPr>
        <w:pStyle w:val="NormalHanging12a"/>
        <w:widowControl/>
      </w:pPr>
      <w:r w:rsidRPr="00C74E5F">
        <w:t>–</w:t>
      </w:r>
      <w:r w:rsidRPr="00C74E5F">
        <w:tab/>
        <w:t>έχοντας υπόψη τη γνωμοδότηση της Επιτροπής Απασχόλησης και Κοινωνικών Υποθέσεων,</w:t>
      </w:r>
    </w:p>
    <w:p w:rsidR="00A02BD4" w:rsidRPr="00C74E5F" w:rsidRDefault="00A02BD4" w:rsidP="00E60205">
      <w:pPr>
        <w:pStyle w:val="NormalHanging12a"/>
        <w:widowControl/>
      </w:pPr>
      <w:r w:rsidRPr="00C74E5F">
        <w:t>–</w:t>
      </w:r>
      <w:r w:rsidRPr="00C74E5F">
        <w:tab/>
        <w:t>έχοντας υπόψη την έκθεση της Επιτροπής Ελέγχου του Προϋπολογισμού (A9-0080/2024),</w:t>
      </w:r>
    </w:p>
    <w:p w:rsidR="00A02BD4" w:rsidRPr="00C74E5F" w:rsidRDefault="00A02BD4" w:rsidP="00E60205">
      <w:pPr>
        <w:pStyle w:val="Normal12Hanging"/>
        <w:widowControl/>
        <w:rPr>
          <w:szCs w:val="24"/>
          <w:lang w:val="el-GR"/>
        </w:rPr>
      </w:pPr>
      <w:r w:rsidRPr="00C74E5F">
        <w:rPr>
          <w:lang w:val="el-GR"/>
        </w:rPr>
        <w:t>Α.</w:t>
      </w:r>
      <w:r w:rsidRPr="00C74E5F">
        <w:rPr>
          <w:lang w:val="el-GR"/>
        </w:rPr>
        <w:tab/>
        <w:t>λαμβάνοντας υπόψη ότι, σύμφωνα με την κατάσταση εσόδων και δαπανών του</w:t>
      </w:r>
      <w:r w:rsidRPr="00C74E5F">
        <w:rPr>
          <w:rStyle w:val="FootnoteReference"/>
          <w:szCs w:val="24"/>
          <w:lang w:val="el-GR"/>
        </w:rPr>
        <w:footnoteReference w:id="11"/>
      </w:r>
      <w:r w:rsidRPr="00C74E5F">
        <w:rPr>
          <w:lang w:val="el-GR"/>
        </w:rPr>
        <w:t>, ο οριστικός προϋπολογισμός του Ευρωπαϊκού Κέντρου για την Ανάπτυξη της Επαγγελματικής Κατάρτισης (</w:t>
      </w:r>
      <w:proofErr w:type="spellStart"/>
      <w:r w:rsidRPr="00C74E5F">
        <w:rPr>
          <w:lang w:val="el-GR"/>
        </w:rPr>
        <w:t>Cedefop</w:t>
      </w:r>
      <w:proofErr w:type="spellEnd"/>
      <w:r w:rsidRPr="00C74E5F">
        <w:rPr>
          <w:lang w:val="el-GR"/>
        </w:rPr>
        <w:t>) («το Κέντρο») για το οικονομικό έτος 2022 ήταν 18 434 420 EUR, που συνιστά μείωση κατά 0,29 % σε σύγκριση με το 2021· λαμβάνοντας υπόψη ότι ο προϋπολογισμός του Κέντρου προέρχεται κυρίως από τον προϋπολογισμό της Ένωσης·</w:t>
      </w:r>
    </w:p>
    <w:p w:rsidR="00A02BD4" w:rsidRPr="00C74E5F" w:rsidRDefault="00A02BD4" w:rsidP="00E60205">
      <w:pPr>
        <w:pStyle w:val="Normal12Hanging"/>
        <w:widowControl/>
        <w:rPr>
          <w:szCs w:val="24"/>
          <w:lang w:val="el-GR"/>
        </w:rPr>
      </w:pPr>
      <w:r w:rsidRPr="00C74E5F">
        <w:rPr>
          <w:lang w:val="el-GR"/>
        </w:rPr>
        <w:t>Β.</w:t>
      </w:r>
      <w:r w:rsidRPr="00C74E5F">
        <w:rPr>
          <w:lang w:val="el-GR"/>
        </w:rPr>
        <w:tab/>
        <w:t>λαμβάνοντας υπόψη ότι, πέραν από τη συνεισφορά της Ένωσης ύψους 17 960 000 EUR, ο προϋπολογισμός του Κέντρου που ήταν διαθέσιμος το 2022 περιλάμβανε συνεισφορές ύψους 464 420 EUR από συνδεδεμένες χώρες (Νορβηγία και Ισλανδία) και διάφορα ίδια έσοδα και επιστρεφόμενα ποσά ύψους 43 960 EUR·</w:t>
      </w:r>
    </w:p>
    <w:p w:rsidR="00A02BD4" w:rsidRPr="00C74E5F" w:rsidRDefault="00A02BD4" w:rsidP="00E60205">
      <w:pPr>
        <w:pStyle w:val="Normal12Hanging"/>
        <w:widowControl/>
        <w:rPr>
          <w:szCs w:val="24"/>
          <w:lang w:val="el-GR"/>
        </w:rPr>
      </w:pPr>
      <w:r w:rsidRPr="00C74E5F">
        <w:rPr>
          <w:lang w:val="el-GR"/>
        </w:rPr>
        <w:t>Γ.</w:t>
      </w:r>
      <w:r w:rsidRPr="00C74E5F">
        <w:rPr>
          <w:lang w:val="el-GR"/>
        </w:rPr>
        <w:tab/>
        <w:t>λαμβάνοντας υπόψη ότι το Κέντρο προσχώρησε στο πρωτόκολλο 31 της συμφωνίας για τον Ευρωπαϊκό Οικονομικό Χώρο (ΕΟΧ), με ισχύ από την 1η Ιανουαρίου 2023, σύμφωνα με το οποίο το Κέντρο θα λαμβάνει συνεισφορές από συνδεδεμένες χώρες μέσω του προϋπολογισμού ΕΟΧ-ΕΖΕΣ·</w:t>
      </w:r>
    </w:p>
    <w:p w:rsidR="00A02BD4" w:rsidRPr="00C74E5F" w:rsidRDefault="00A02BD4" w:rsidP="00E60205">
      <w:pPr>
        <w:pStyle w:val="Normal12Hanging"/>
        <w:widowControl/>
        <w:rPr>
          <w:szCs w:val="24"/>
          <w:lang w:val="el-GR"/>
        </w:rPr>
      </w:pPr>
      <w:r w:rsidRPr="00C74E5F">
        <w:rPr>
          <w:lang w:val="el-GR"/>
        </w:rPr>
        <w:t>Δ.</w:t>
      </w:r>
      <w:r w:rsidRPr="00C74E5F">
        <w:rPr>
          <w:lang w:val="el-GR"/>
        </w:rPr>
        <w:tab/>
        <w:t>λαμβάνοντας υπόψη ότι, όσον αφορά τον τομέα των δημόσιων συμβάσεων του Κέντρου, δεν αναφέρθηκαν ζητήματα που να απαιτούν διορθωτικές ενέργειες για το 2022, ούτε υπάρχουν εν εξελίξει ή εκκρεμή διορθωτικά μέτρα από ελέγχους και αξιολογήσεις προηγούμενων ετών·</w:t>
      </w:r>
    </w:p>
    <w:p w:rsidR="00A02BD4" w:rsidRPr="00C74E5F" w:rsidRDefault="00A02BD4" w:rsidP="00E60205">
      <w:pPr>
        <w:pStyle w:val="Normal12Hanging"/>
        <w:widowControl/>
        <w:rPr>
          <w:szCs w:val="24"/>
          <w:lang w:val="el-GR"/>
        </w:rPr>
      </w:pPr>
      <w:r w:rsidRPr="00C74E5F">
        <w:rPr>
          <w:lang w:val="el-GR"/>
        </w:rPr>
        <w:t>Ε.</w:t>
      </w:r>
      <w:r w:rsidRPr="00C74E5F">
        <w:rPr>
          <w:lang w:val="el-GR"/>
        </w:rPr>
        <w:tab/>
        <w:t>λαμβάνοντας υπόψη ότι το Ελεγκτικό Συνέδριο, στην έκθεσή του για τους ετήσιους λογαριασμούς του Κέντρου για το οικονομικό έτος 2022 («η έκθεση του Ελεγκτικού Συνεδρίου»), δηλώνει πως αποκόμισε εύλογη βεβαιότητα ότι οι ετήσιοι λογαριασμοί του Κέντρου είναι αξιόπιστοι και ότι οι πράξεις στις οποίες βασίζονται είναι νόμιμες και κανονικές·</w:t>
      </w:r>
    </w:p>
    <w:p w:rsidR="00A02BD4" w:rsidRPr="00C74E5F" w:rsidRDefault="00A02BD4" w:rsidP="00E60205">
      <w:pPr>
        <w:pStyle w:val="Normal12Hanging"/>
        <w:widowControl/>
        <w:rPr>
          <w:b/>
          <w:i/>
          <w:szCs w:val="24"/>
          <w:lang w:val="el-GR"/>
        </w:rPr>
      </w:pPr>
      <w:r w:rsidRPr="00C74E5F">
        <w:rPr>
          <w:b/>
          <w:i/>
          <w:lang w:val="el-GR"/>
        </w:rPr>
        <w:t>Δημοσιονομική και χρηματοοικονομική διαχείριση</w:t>
      </w:r>
    </w:p>
    <w:p w:rsidR="00A02BD4" w:rsidRPr="00C74E5F" w:rsidRDefault="00E676AB" w:rsidP="00E676AB">
      <w:pPr>
        <w:pStyle w:val="Normal12Hanging"/>
        <w:widowControl/>
        <w:ind w:left="570" w:hanging="570"/>
        <w:rPr>
          <w:szCs w:val="24"/>
          <w:lang w:val="el-GR"/>
        </w:rPr>
      </w:pPr>
      <w:r w:rsidRPr="00C74E5F">
        <w:rPr>
          <w:szCs w:val="24"/>
          <w:lang w:val="el-GR"/>
        </w:rPr>
        <w:lastRenderedPageBreak/>
        <w:t>1.</w:t>
      </w:r>
      <w:r w:rsidRPr="00C74E5F">
        <w:rPr>
          <w:szCs w:val="24"/>
          <w:lang w:val="el-GR"/>
        </w:rPr>
        <w:tab/>
      </w:r>
      <w:r w:rsidR="00A02BD4" w:rsidRPr="00C74E5F">
        <w:rPr>
          <w:lang w:val="el-GR"/>
        </w:rPr>
        <w:t>σημειώνει με ικανοποίηση ότι οι προσπάθειες παρακολούθησης του προϋπολογισμού είχαν ως αποτέλεσμα ποσοστό εκτέλεσης του προϋπολογισμού 99,98 % το 2022, που συνιστά ελαφρά μείωση κατά 0,02 % σε σύγκριση με το 2021· εκφράζει τη λύπη του για το χαμηλό ποσοστό πιστώσεων πληρωμών του τρέχοντος έτους (77,64 %), που συνιστά μείωση κατά 2,38 % σε σύγκριση με το 2021·</w:t>
      </w:r>
    </w:p>
    <w:p w:rsidR="00A02BD4" w:rsidRPr="00C74E5F" w:rsidRDefault="00E676AB" w:rsidP="00E676AB">
      <w:pPr>
        <w:pStyle w:val="Normal12Hanging"/>
        <w:widowControl/>
        <w:ind w:left="570" w:hanging="570"/>
        <w:rPr>
          <w:szCs w:val="24"/>
          <w:lang w:val="el-GR"/>
        </w:rPr>
      </w:pPr>
      <w:r w:rsidRPr="00C74E5F">
        <w:rPr>
          <w:szCs w:val="24"/>
          <w:lang w:val="el-GR"/>
        </w:rPr>
        <w:t>2.</w:t>
      </w:r>
      <w:r w:rsidRPr="00C74E5F">
        <w:rPr>
          <w:szCs w:val="24"/>
          <w:lang w:val="el-GR"/>
        </w:rPr>
        <w:tab/>
      </w:r>
      <w:r w:rsidR="00A02BD4" w:rsidRPr="00C74E5F">
        <w:rPr>
          <w:lang w:val="el-GR"/>
        </w:rPr>
        <w:t>υπενθυμίζει την παρατήρηση, στην έκθεση του Ελεγκτικού Συνεδρίου για το 2021, σχετικά με τις αδυναμίες στη μετάβαση του Κέντρου σε νέο λογιστικό σύστημα (ABAC) που χρησιμοποιείται επίσης από την Επιτροπή· παρατηρεί ότι, σύμφωνα με την έκθεση του Ελεγκτικού Συνεδρίου, το 2022 παρατηρήθηκαν παρόμοιες περιπτώσεις (ανακολουθίες μεταξύ της πραγματικής τελικής ημερομηνίας εκτέλεσης των νομικών δεσμεύσεων και της ημερομηνίας που καταχωρίστηκαν στο ABAC) και στις δημοσιονομικές αναλήψεις υποχρεώσεων που μεταφέρθηκαν από το 2022 στο 2023· σημειώνει με ικανοποίηση ότι, σύμφωνα με την έκθεση του Κέντρου σχετικά με τη συνέχεια που δόθηκε στην απαλλαγή για το 2021 («η έκθεση παρακολούθησης»), το Κέντρο έχει στο μεταξύ εφαρμόσει σύστημα παρακολούθησης για την καταγραφή εκείνων των ειδών ασυνεπειών που, μόλις εντοπιστούν, διορθώνονται αμέσως στο ABAC·</w:t>
      </w:r>
    </w:p>
    <w:p w:rsidR="00A02BD4" w:rsidRPr="00C74E5F" w:rsidRDefault="00E676AB" w:rsidP="00E676AB">
      <w:pPr>
        <w:pStyle w:val="Normal12Hanging"/>
        <w:widowControl/>
        <w:ind w:left="570" w:hanging="570"/>
        <w:rPr>
          <w:szCs w:val="24"/>
          <w:lang w:val="el-GR"/>
        </w:rPr>
      </w:pPr>
      <w:r w:rsidRPr="00C74E5F">
        <w:rPr>
          <w:szCs w:val="24"/>
          <w:lang w:val="el-GR"/>
        </w:rPr>
        <w:t>3.</w:t>
      </w:r>
      <w:r w:rsidRPr="00C74E5F">
        <w:rPr>
          <w:szCs w:val="24"/>
          <w:lang w:val="el-GR"/>
        </w:rPr>
        <w:tab/>
      </w:r>
      <w:r w:rsidR="00A02BD4" w:rsidRPr="00C74E5F">
        <w:rPr>
          <w:lang w:val="el-GR"/>
        </w:rPr>
        <w:t>σημειώνει ότι, σύμφωνα με την έκθεση του Ελεγκτικού Συνεδρίου, το Κέντρο δεν εφάρμοσε ορθά, στον τροποποιητικό προϋπολογισμό αριθ. 1 του Κέντρου, τη μέθοδο υπολογισμού των συνεισφορών που περιγράφεται στη δήλωση σχετικά με τη συνεργασία μεταξύ του Κέντρου και της ΕΖΕΣ· σημειώνει ότι, συνεπώς, για το 2022 οι συνεισφορές της Ισλανδίας και της Νορβηγίας στον προϋπολογισμό του Κέντρου, αφενός, και η συνεισφορά της Ένωσης, αφετέρου, ήταν υψηλότερες και, αντίστοιχα, χαμηλότερες από ό,τι θα έπρεπε· σημειώνει ακόμη ότι το Ελεγκτικό Συνέδριο αναγνωρίζει πως υπεγράφη τροποποίηση του πρωτοκόλλου 31 της Συμφωνίας για τον ΕΟΧ σχετικά με τη συνεργασία σε ειδικούς τομείς εκτός του πλαισίου των τεσσάρων ελευθεριών, η οποία τέθηκε σε ισχύ την 1η Ιανουαρίου 2023, και, επομένως, από το 2023 δεν θα ανακύψει πλέον το ζήτημα της προσαρμογής των συνεισφορών των χωρών της ΕΖΕΣ λόγω τροποποιήσεων στον προϋπολογισμό του Κέντρου·</w:t>
      </w:r>
    </w:p>
    <w:p w:rsidR="00A02BD4" w:rsidRPr="00C74E5F" w:rsidRDefault="00A02BD4" w:rsidP="00E60205">
      <w:pPr>
        <w:pStyle w:val="Normal12Hanging"/>
        <w:widowControl/>
        <w:ind w:left="0" w:firstLine="0"/>
        <w:rPr>
          <w:b/>
          <w:i/>
          <w:szCs w:val="24"/>
          <w:lang w:val="el-GR"/>
        </w:rPr>
      </w:pPr>
      <w:r w:rsidRPr="00C74E5F">
        <w:rPr>
          <w:b/>
          <w:i/>
          <w:lang w:val="el-GR"/>
        </w:rPr>
        <w:t>Επιδόσεις</w:t>
      </w:r>
    </w:p>
    <w:p w:rsidR="00A02BD4" w:rsidRPr="00C74E5F" w:rsidRDefault="00E676AB" w:rsidP="00E676AB">
      <w:pPr>
        <w:pStyle w:val="Normal12Hanging"/>
        <w:widowControl/>
        <w:ind w:left="570" w:hanging="570"/>
        <w:rPr>
          <w:lang w:val="el-GR"/>
        </w:rPr>
      </w:pPr>
      <w:r w:rsidRPr="00C74E5F">
        <w:rPr>
          <w:lang w:val="el-GR"/>
        </w:rPr>
        <w:t>4.</w:t>
      </w:r>
      <w:r w:rsidRPr="00C74E5F">
        <w:rPr>
          <w:lang w:val="el-GR"/>
        </w:rPr>
        <w:tab/>
      </w:r>
      <w:r w:rsidR="00A02BD4" w:rsidRPr="00C74E5F">
        <w:rPr>
          <w:lang w:val="el-GR"/>
        </w:rPr>
        <w:t xml:space="preserve">σημειώνει με εκτίμηση ότι, παρά τις συνεχιζόμενες προκλήσεις που έθεσαν η πανδημία </w:t>
      </w:r>
      <w:r w:rsidR="00E60205">
        <w:rPr>
          <w:lang w:val="el-GR"/>
        </w:rPr>
        <w:t xml:space="preserve">της </w:t>
      </w:r>
      <w:r w:rsidR="00A02BD4" w:rsidRPr="00C74E5F">
        <w:rPr>
          <w:lang w:val="el-GR"/>
        </w:rPr>
        <w:t>COVID-19, ο αδικαιολόγητος πόλεμος στην Ουκρανία, η ενεργειακή κρίση και η επιδεινούμενη κλιματική κατάσταση έκτακτης ανάγκης, το Κέντρο υλοποίησε πλήρως το πρόγραμμα εργασίας του το 2022, με αξιοσημείωτα επιτεύγματα και στους τρεις στρατηγικούς τομείς λειτουργίας του που υπερβαίνουν τα προβλεπόμενα στο πρόγραμμα εργασίας του για το 2022· σημειώνει ότι η επαγγελματική εκπαίδευση και κατάρτιση (ΕΕΚ) έχει προσδιοριστεί ως τομέας εστίασης για συνεργασία στο πλαίσιο της πρωτοβουλίας για τον Ευρωπαϊκό Χώρο Εκπαίδευσης για την περίοδο 2021-2030·</w:t>
      </w:r>
    </w:p>
    <w:p w:rsidR="00A02BD4" w:rsidRPr="00C74E5F" w:rsidRDefault="00E676AB" w:rsidP="00E676AB">
      <w:pPr>
        <w:pStyle w:val="Normal12Hanging"/>
        <w:widowControl/>
        <w:ind w:left="570" w:hanging="570"/>
        <w:rPr>
          <w:lang w:val="el-GR"/>
        </w:rPr>
      </w:pPr>
      <w:r w:rsidRPr="00C74E5F">
        <w:rPr>
          <w:lang w:val="el-GR"/>
        </w:rPr>
        <w:t>5.</w:t>
      </w:r>
      <w:r w:rsidRPr="00C74E5F">
        <w:rPr>
          <w:lang w:val="el-GR"/>
        </w:rPr>
        <w:tab/>
      </w:r>
      <w:r w:rsidR="00A02BD4" w:rsidRPr="00C74E5F">
        <w:rPr>
          <w:lang w:val="el-GR"/>
        </w:rPr>
        <w:t xml:space="preserve">σημειώνει, μεταξύ των διαφόρων επιτευγμάτων του 2022, τα εξής: i) τη δρομολόγηση του Πράσινου Παρατηρητηρίου του Κέντρου, το οποίο εξέτασε τις επιπτώσεις της πράσινης μετάβασης για τις πόλεις και τρεις βασικούς τομείς (διαχείριση αποβλήτων, αγροδιατροφικά προϊόντα και κυκλική οικονομία)· </w:t>
      </w:r>
      <w:proofErr w:type="spellStart"/>
      <w:r w:rsidR="00A02BD4" w:rsidRPr="00C74E5F">
        <w:rPr>
          <w:lang w:val="el-GR"/>
        </w:rPr>
        <w:t>ii</w:t>
      </w:r>
      <w:proofErr w:type="spellEnd"/>
      <w:r w:rsidR="00A02BD4" w:rsidRPr="00C74E5F">
        <w:rPr>
          <w:lang w:val="el-GR"/>
        </w:rPr>
        <w:t xml:space="preserve">) την ανάλυση του Κέντρου όσον αφορά τα εθνικά σχέδια εφαρμογής, τα οποία παρουσιάζουν τις εν εξελίξει και τις επικείμενες εθνικές μεταρρυθμίσεις και πρωτοβουλίες στον τομέα της επαγγελματικής εκπαίδευσης και κατάρτισης (ΕΕΚ)· </w:t>
      </w:r>
      <w:proofErr w:type="spellStart"/>
      <w:r w:rsidR="00A02BD4" w:rsidRPr="00C74E5F">
        <w:rPr>
          <w:lang w:val="el-GR"/>
        </w:rPr>
        <w:t>iii</w:t>
      </w:r>
      <w:proofErr w:type="spellEnd"/>
      <w:r w:rsidR="00A02BD4" w:rsidRPr="00C74E5F">
        <w:rPr>
          <w:lang w:val="el-GR"/>
        </w:rPr>
        <w:t xml:space="preserve">) την παρουσίαση των πορισμάτων της μελέτης του Κέντρου σχετικά με τα </w:t>
      </w:r>
      <w:proofErr w:type="spellStart"/>
      <w:r w:rsidR="00A02BD4" w:rsidRPr="00C74E5F">
        <w:rPr>
          <w:lang w:val="el-GR"/>
        </w:rPr>
        <w:t>μικροδιαπιστευτήρια</w:t>
      </w:r>
      <w:proofErr w:type="spellEnd"/>
      <w:r w:rsidR="00A02BD4" w:rsidRPr="00C74E5F">
        <w:rPr>
          <w:lang w:val="el-GR"/>
        </w:rPr>
        <w:t xml:space="preserve">, η οποία τροφοδότησε την πρόταση της Επιτροπής για σύσταση του Συμβουλίου επί του θέματος· </w:t>
      </w:r>
      <w:proofErr w:type="spellStart"/>
      <w:r w:rsidR="00A02BD4" w:rsidRPr="00C74E5F">
        <w:rPr>
          <w:lang w:val="el-GR"/>
        </w:rPr>
        <w:t>iv</w:t>
      </w:r>
      <w:proofErr w:type="spellEnd"/>
      <w:r w:rsidR="00A02BD4" w:rsidRPr="00C74E5F">
        <w:rPr>
          <w:lang w:val="el-GR"/>
        </w:rPr>
        <w:t xml:space="preserve">) τη μελέτη </w:t>
      </w:r>
      <w:r w:rsidR="00A02BD4" w:rsidRPr="00C74E5F">
        <w:rPr>
          <w:lang w:val="el-GR"/>
        </w:rPr>
        <w:lastRenderedPageBreak/>
        <w:t xml:space="preserve">σκοπιμότητας που διενήργησε το Κέντρο για έρευνα απευθυνόμενη σε εκπαιδευτικούς και εκπαιδευτές αρχικής ΕΕΚ· v) την ολοκλήρωση του δεύτερου σχεδίου «Το μέλλον της ΕΕΚ» που συμβάλλει στην καλύτερη συνολική κατανόηση των προκλήσεων και ευκαιριών με τις οποίες θα βρεθεί αντιμέτωπη η ευρωπαϊκή ΕΕΚ τα προσεχή έτη· και </w:t>
      </w:r>
      <w:proofErr w:type="spellStart"/>
      <w:r w:rsidR="00A02BD4" w:rsidRPr="00C74E5F">
        <w:rPr>
          <w:lang w:val="el-GR"/>
        </w:rPr>
        <w:t>vi</w:t>
      </w:r>
      <w:proofErr w:type="spellEnd"/>
      <w:r w:rsidR="00A02BD4" w:rsidRPr="00C74E5F">
        <w:rPr>
          <w:lang w:val="el-GR"/>
        </w:rPr>
        <w:t>) τη δημοσίευση της δεύτερης ευρωπαϊκής έρευνας για τις δεξιότητες και τις θέσεις εργασίας (ESJS), η οποία συνέβαλε στην ανάδειξη της ψηφιοποίησης και του αντικτύπου της στις θέσεις εργασίας και τις δεξιότητες·</w:t>
      </w:r>
    </w:p>
    <w:p w:rsidR="00A02BD4" w:rsidRPr="00C74E5F" w:rsidRDefault="00E676AB" w:rsidP="00E676AB">
      <w:pPr>
        <w:pStyle w:val="NormalHanging12a"/>
        <w:widowControl/>
        <w:ind w:left="570" w:hanging="570"/>
        <w:rPr>
          <w:szCs w:val="24"/>
        </w:rPr>
      </w:pPr>
      <w:r w:rsidRPr="00C74E5F">
        <w:rPr>
          <w:szCs w:val="24"/>
        </w:rPr>
        <w:t>6.</w:t>
      </w:r>
      <w:r w:rsidRPr="00C74E5F">
        <w:rPr>
          <w:szCs w:val="24"/>
        </w:rPr>
        <w:tab/>
      </w:r>
      <w:r w:rsidR="00A02BD4" w:rsidRPr="00C74E5F">
        <w:t>εκφράζει την εκτίμησή του για τις δραστηριότητες και το υψηλής ποιότητας έργο του Κέντρου, που παρέχει έρευνες, αναλύσεις και τεχνικές συμβουλές, και εμπειρογνωσία σε σχέση με τη διαμόρφωση πολιτικών στους τομείς της ΕΕΚ, των επαγγελματικών προσόντων και των δεξιοτήτων, με στόχο την προώθηση ποιοτικής κατάρτισης, προσαρμοσμένης στις ανάγκες των ατόμων και της αγοράς εργασίας· υπενθυμίζει τον σημαντικό ρόλο του Κέντρου στην προσπάθεια να διασφαλιστεί η ενσωμάτωση των ψηφιακών δεξιοτήτων στην ΕΕΚ σε ολόκληρη την Ένωση, καθώς και τον ρόλο του στην παρακολούθηση της εφαρμογής και του αντικτύπου των συστάσεων του Συμβουλίου σχετικά με το Ευρωπαϊκό Θεματολόγιο Δεξιοτήτων, της ΕΕΚ για βιώσιμη ανταγωνιστικότητα, κοινωνική δικαιοσύνη και ανθεκτικότητα, και του σχεδίου δράσης για την ψηφιακή εκπαίδευση· επισημαίνει την ανάγκη να διατηρούνται επαρκείς ανθρώπινοι και οικονομικοί πόροι που θα επιτρέπουν στο Κέντρο να εκπληρώνει την εντολή του και να συνεχίσει να υλοποιεί το πρόγραμμα εργασίας του με υψηλό ποσοστό ολοκλήρωσης των δραστηριοτήτων·</w:t>
      </w:r>
    </w:p>
    <w:p w:rsidR="00A02BD4" w:rsidRPr="00C74E5F" w:rsidRDefault="00A02BD4" w:rsidP="00E60205">
      <w:pPr>
        <w:pStyle w:val="Normal12Hanging"/>
        <w:widowControl/>
        <w:ind w:left="0" w:firstLine="0"/>
        <w:rPr>
          <w:b/>
          <w:i/>
          <w:szCs w:val="24"/>
          <w:lang w:val="el-GR"/>
        </w:rPr>
      </w:pPr>
      <w:r w:rsidRPr="00C74E5F">
        <w:rPr>
          <w:b/>
          <w:i/>
          <w:lang w:val="el-GR"/>
        </w:rPr>
        <w:t>Αποδοτικότητα και οφέλη</w:t>
      </w:r>
    </w:p>
    <w:p w:rsidR="00A02BD4" w:rsidRPr="00C74E5F" w:rsidRDefault="00E676AB" w:rsidP="00E676AB">
      <w:pPr>
        <w:pStyle w:val="Normal12Hanging"/>
        <w:widowControl/>
        <w:ind w:left="570" w:hanging="570"/>
        <w:rPr>
          <w:lang w:val="el-GR"/>
        </w:rPr>
      </w:pPr>
      <w:r w:rsidRPr="00C74E5F">
        <w:rPr>
          <w:lang w:val="el-GR"/>
        </w:rPr>
        <w:t>7.</w:t>
      </w:r>
      <w:r w:rsidRPr="00C74E5F">
        <w:rPr>
          <w:lang w:val="el-GR"/>
        </w:rPr>
        <w:tab/>
      </w:r>
      <w:r w:rsidR="00A02BD4" w:rsidRPr="00C74E5F">
        <w:rPr>
          <w:lang w:val="el-GR"/>
        </w:rPr>
        <w:t>επαινεί τη μακροχρόνια πρακτική του Κέντρου όσον αφορά τη συνεργασία και την ανταλλαγή πληροφοριών με το Ευρωπαϊκό Ίδρυμα Επαγγελματικής Εκπαίδευσης (ETF) και το Ευρωπαϊκό Ίδρυμα για τη Βελτίωση των Συνθηκών Διαβίωσης και Εργασίας (</w:t>
      </w:r>
      <w:proofErr w:type="spellStart"/>
      <w:r w:rsidR="00A02BD4" w:rsidRPr="00C74E5F">
        <w:rPr>
          <w:lang w:val="el-GR"/>
        </w:rPr>
        <w:t>Eurofound</w:t>
      </w:r>
      <w:proofErr w:type="spellEnd"/>
      <w:r w:rsidR="00A02BD4" w:rsidRPr="00C74E5F">
        <w:rPr>
          <w:lang w:val="el-GR"/>
        </w:rPr>
        <w:t xml:space="preserve">)· σημειώνει ότι το Κέντρο και το ETF συνεργάζονται σε κοινά έργα όσον αφορά την ΕΕΚ, τις δημοσιεύσεις και την οικονομία πλατφορμών/την εργασία πλατφόρμας, για την αντιστοίχιση δεξιοτήτων και την πρόβλεψη ή αναγνώριση, την παρακολούθηση και την ανάλυση της προόδου των χωρών, καθώς και για την ESJS· σημειώνει επίσης ότι, το 2022, το Κέντρο ενίσχυσε περαιτέρω τη μακροχρόνια συνεργασία του με το </w:t>
      </w:r>
      <w:proofErr w:type="spellStart"/>
      <w:r w:rsidR="00A02BD4" w:rsidRPr="00C74E5F">
        <w:rPr>
          <w:lang w:val="el-GR"/>
        </w:rPr>
        <w:t>Eurofound</w:t>
      </w:r>
      <w:proofErr w:type="spellEnd"/>
      <w:r w:rsidR="00A02BD4" w:rsidRPr="00C74E5F">
        <w:rPr>
          <w:lang w:val="el-GR"/>
        </w:rPr>
        <w:t xml:space="preserve"> σχετικά με επιχειρησιακές δραστηριότητες, εκπονώντας από κοινού μια δεύτερη εμβληματική έκθεση σχετικά με τις δεξιότητες με βάση την έρευνα για τις ευρωπαϊκές επιχειρήσεις, συνεργαζόμενο στενότερα για τη δίκαιη πράσινη μετάβαση και αναλαμβάνοντας από κοινού την προετοιμασία και διοργάνωση της εκδήλωσης «Πρώτα οι νέοι» που πραγματοποιήθηκε στο Κοινοβούλιο από πέντε ενωσιακούς οργανισμούς· επαινεί τη σύναψη ειδικού μνημονίου συνεννόησης μεταξύ του Κέντρου και της Ευρωπαϊκής Αρχής Εργασίας, το οποίο καλύπτει την ανταλλαγή γνώσεων και τις συνέργειες με έμφαση στις δεξιότητες, τις τάσεις της αγοράς εργασίας και τη διασυνοριακή κινητικότητα του εργατικού δυναμικού· σημειώνει τις συμφωνίες σε επίπεδο υπηρεσιών του Κέντρου με το Ευρωπαϊκό Ινστιτούτο για την Ισότητα των Φύλων, για την ανταλλαγή λογιστικών υπηρεσιών, και με τον Οργανισμό της Ευρωπαϊκής Ένωσης για την Κυβερνοασφάλεια σε τομείς όπως, μεταξύ άλλων, η προστασία των δεδομένων, οι δημόσιες συμβάσεις και οι ΤΠΕ, καθώς και την εν εξελίξει συζήτηση με το ETF σχετικά με έναν κοινό υπεύθυνο κυβερνοασφάλειας· καλεί ακόμη το Κέντρο και άλλους οργανισμούς να διερευνήσουν και να εντοπίσουν νέες συνέργειες και τομείς συνεργασίας, προκειμένου να βελτιωθεί η αποδοτικότητα και να μειωθεί το κόστος·</w:t>
      </w:r>
    </w:p>
    <w:p w:rsidR="00A02BD4" w:rsidRPr="00C74E5F" w:rsidRDefault="00E676AB" w:rsidP="00E676AB">
      <w:pPr>
        <w:pStyle w:val="Normal12Hanging"/>
        <w:widowControl/>
        <w:ind w:left="570" w:hanging="570"/>
        <w:rPr>
          <w:szCs w:val="24"/>
          <w:lang w:val="el-GR"/>
        </w:rPr>
      </w:pPr>
      <w:r w:rsidRPr="00C74E5F">
        <w:rPr>
          <w:szCs w:val="24"/>
          <w:lang w:val="el-GR"/>
        </w:rPr>
        <w:lastRenderedPageBreak/>
        <w:t>8.</w:t>
      </w:r>
      <w:r w:rsidRPr="00C74E5F">
        <w:rPr>
          <w:szCs w:val="24"/>
          <w:lang w:val="el-GR"/>
        </w:rPr>
        <w:tab/>
      </w:r>
      <w:r w:rsidR="00A02BD4" w:rsidRPr="00C74E5F">
        <w:rPr>
          <w:lang w:val="el-GR"/>
        </w:rPr>
        <w:t>σημειώνει με εκτίμηση τη δέσμευση του Κέντρου να επιτύχει ουδέτερο ισοζύγιο άνθρακα έως το 2030 και την έγκριση, το 2023, της στρατηγικής και του σχεδίου δράσης του για την κλιματική ουδετερότητα· σημειώνει, στο πλαίσιο αυτό, συγκεκριμένες δράσεις που έχουν ήδη αναληφθεί το 2022, όπως η εγκατάσταση ενεργειακά αποδοτικών περσίδων παραθύρων και η ολοκλήρωση των προπαρασκευαστικών εργασιών για την εγκατάσταση φωτοβολταϊκών πάνελ το 2023, για την παραγωγή ίδιας ηλεκτρικής ενέργειας από ανανεώσιμες πηγές, η οποία αναμένεται να οδηγήσει σε απόδοση των επενδύσεων ύψους περίπου 50 %· επαινεί το Κέντρο για την επιτυχία του σε σχέση με την επίτευξη ή υπέρβαση των στόχων του για το 2022, έχοντας ως βάση το έτος 2019, όσον αφορά τη μείωση της χρήσης ηλεκτρικής ενέργειας (κατά 27 %), πετρελαίου θέρμανσης (κατά 43 %) και χαρτιού (κατά 73 %), καθώς και τη μείωση του κόστους των αποστολών (κατά 71 %) και των δαπανών συνεδριάσεων με φυσική παρουσία (κατά 56,5 %)·</w:t>
      </w:r>
    </w:p>
    <w:p w:rsidR="00A02BD4" w:rsidRPr="00C74E5F" w:rsidRDefault="00E676AB" w:rsidP="00E676AB">
      <w:pPr>
        <w:pStyle w:val="Normal12Hanging"/>
        <w:widowControl/>
        <w:ind w:left="570" w:hanging="570"/>
        <w:rPr>
          <w:szCs w:val="24"/>
          <w:lang w:val="el-GR"/>
        </w:rPr>
      </w:pPr>
      <w:r w:rsidRPr="00C74E5F">
        <w:rPr>
          <w:szCs w:val="24"/>
          <w:lang w:val="el-GR"/>
        </w:rPr>
        <w:t>9.</w:t>
      </w:r>
      <w:r w:rsidRPr="00C74E5F">
        <w:rPr>
          <w:szCs w:val="24"/>
          <w:lang w:val="el-GR"/>
        </w:rPr>
        <w:tab/>
      </w:r>
      <w:r w:rsidR="00A02BD4" w:rsidRPr="00C74E5F">
        <w:rPr>
          <w:lang w:val="el-GR"/>
        </w:rPr>
        <w:t>επαινεί την ενίσχυση των βασικών επιχειρηματικών δραστηριοτήτων του Κέντρου μέσω προσπαθειών απλούστευσης και εξορθολογισμού της διοίκησης, ανταλλαγής γνώσεων και πόρων με άλλους οργανισμούς, ψηφιοποίησης, εξορθολογισμού και αναδιοργάνωσης καθηκόντων, καθώς και μείωσης του αριθμού συνεδριάσεων με φυσική παρουσία και αύξησης της διαδικτυακής συμμετοχής σε εκδηλώσεις· σημειώνει το αποτέλεσμα των προσπαθειών αυτών, μεταξύ άλλων τη μετατροπή τριών θέσεων βοηθών σε θέσεις εμπειρογνωμόνων και την εξοικονόμηση περίπου 390 000 EUR χάρη στη μείωση του αριθμού συνεδριάσεων με φυσική παρουσία, μέτρα που συνολικά συνέβαλαν στην αξιέπαινη αύξηση του ποσοστού του βασικού υπηρεσιακού προσωπικού από 66,5 % το 2021 σε 73,2 % το 2022·</w:t>
      </w:r>
    </w:p>
    <w:p w:rsidR="00A02BD4" w:rsidRPr="00C74E5F" w:rsidRDefault="00E676AB" w:rsidP="00E676AB">
      <w:pPr>
        <w:pStyle w:val="Normal12Hanging"/>
        <w:widowControl/>
        <w:ind w:left="570" w:hanging="570"/>
        <w:rPr>
          <w:szCs w:val="24"/>
          <w:lang w:val="el-GR"/>
        </w:rPr>
      </w:pPr>
      <w:r w:rsidRPr="00C74E5F">
        <w:rPr>
          <w:szCs w:val="24"/>
          <w:lang w:val="el-GR"/>
        </w:rPr>
        <w:t>10.</w:t>
      </w:r>
      <w:r w:rsidRPr="00C74E5F">
        <w:rPr>
          <w:szCs w:val="24"/>
          <w:lang w:val="el-GR"/>
        </w:rPr>
        <w:tab/>
      </w:r>
      <w:r w:rsidR="00A02BD4" w:rsidRPr="00C74E5F">
        <w:rPr>
          <w:lang w:val="el-GR"/>
        </w:rPr>
        <w:t>επαινεί το Κέντρο για τη συνεχή πρόοδο που σημειώνει όσον αφορά την εφαρμογή της στρατηγικής του για τις ΤΠΕ και την ψηφιοποίηση, ώστε να επιτευχθεί περαιτέρω βελτίωση της αποδοτικότητας· σημειώνει ότι, το 2022, το Κέντρο ψηφιοποίησε όλες τις ροές εργασίας, εισήγαγε ένα ψηφιακό εργαλείο για τις διαδικασίες επιλογής και ένα νέο ψηφιακό περιβάλλον εργασίας και συνεργασίας, και προετοίμασε και δρομολόγησε τη χρήση, από τον Ιανουάριο του 2023, του εργαλείου διαχείρισης των δημόσιων συμβάσεων· επαινεί το γεγονός ότι το Κέντρο έχει εκδώσει ψηφιακές υπογραφές για όλο το προσωπικό του, τα στελέχη δε χρησιμοποιούν πιστοποιητικά EU-</w:t>
      </w:r>
      <w:proofErr w:type="spellStart"/>
      <w:r w:rsidR="00A02BD4" w:rsidRPr="00C74E5F">
        <w:rPr>
          <w:lang w:val="el-GR"/>
        </w:rPr>
        <w:t>Sign</w:t>
      </w:r>
      <w:proofErr w:type="spellEnd"/>
      <w:r w:rsidR="00A02BD4" w:rsidRPr="00C74E5F">
        <w:rPr>
          <w:lang w:val="el-GR"/>
        </w:rPr>
        <w:t xml:space="preserve"> για συμβάσεις, δελτία παραγγελίας και νομικώς δεσμευτικά έγγραφα·</w:t>
      </w:r>
    </w:p>
    <w:p w:rsidR="00A02BD4" w:rsidRPr="00E676AB" w:rsidRDefault="00E676AB" w:rsidP="00E676AB">
      <w:pPr>
        <w:widowControl/>
        <w:spacing w:after="240"/>
        <w:ind w:left="570" w:hanging="570"/>
        <w:rPr>
          <w:iCs/>
        </w:rPr>
      </w:pPr>
      <w:r w:rsidRPr="00E60205">
        <w:rPr>
          <w:iCs/>
        </w:rPr>
        <w:t>11.</w:t>
      </w:r>
      <w:r w:rsidRPr="00E60205">
        <w:rPr>
          <w:iCs/>
        </w:rPr>
        <w:tab/>
      </w:r>
      <w:r w:rsidR="00A02BD4" w:rsidRPr="00C74E5F">
        <w:t>σημειώνει ότι, σύμφωνα με την έκθεση του Ελεγκτικού Συνεδρίου, το Κέντρο δεν συγκαταλέγεται στους οργανισμούς που έχουν ενσωματώσει κάποια μορφή περιβαλλοντικών εκθέσεων στις ετήσιες εκθέσεις δραστηριοτήτων τους και έχουν εγγραφεί στο EMAS· σημειώνει, ωστόσο, το οικείο σύστημα περιβαλλοντικής διαχείρισης που βοηθά το Κέντρο να επιτύχει τους περιβαλλοντικούς του στόχους, μεταξύ άλλων με τη χρήση βασικών δεικτών επιδόσεων για την κατανάλωση ενέργειας, νερού και χαρτιού, καθώς και για τα απόβλητα και τις εκπομπές CO</w:t>
      </w:r>
      <w:r w:rsidR="00A02BD4" w:rsidRPr="00E676AB">
        <w:rPr>
          <w:vertAlign w:val="subscript"/>
        </w:rPr>
        <w:t>2</w:t>
      </w:r>
      <w:r w:rsidR="00A02BD4" w:rsidRPr="00C74E5F">
        <w:t>· σημειώνει με ικανοποίηση ότι το σύστημα διαχείρισης των επιδόσεων του Κέντρου περιλαμβάνει περιβαλλοντικό δείκτη [εκπομπές CO</w:t>
      </w:r>
      <w:r w:rsidR="00A02BD4" w:rsidRPr="00E676AB">
        <w:rPr>
          <w:vertAlign w:val="subscript"/>
        </w:rPr>
        <w:t>2</w:t>
      </w:r>
      <w:r w:rsidR="00A02BD4" w:rsidRPr="00C74E5F">
        <w:t xml:space="preserve"> (σε τόνους)] που αξιολογεί τις περιβαλλοντικές επιδόσεις του Κέντρου με βάση τις εκπομπές CO</w:t>
      </w:r>
      <w:r w:rsidR="00A02BD4" w:rsidRPr="00E676AB">
        <w:rPr>
          <w:vertAlign w:val="subscript"/>
        </w:rPr>
        <w:t>2</w:t>
      </w:r>
      <w:r w:rsidR="00A02BD4" w:rsidRPr="00C74E5F">
        <w:t xml:space="preserve"> και τις συνολικές εκπομπές αποβλήτων· σημειώνει ακόμη τη δέσμευση του Κέντρου να αναβαθμίσει το σύστημα περιβαλλοντικής διαχείρισής του και να λάβει μέτρα για την πιστοποίηση EMAS από το 2025·</w:t>
      </w:r>
    </w:p>
    <w:p w:rsidR="00A02BD4" w:rsidRPr="00C74E5F" w:rsidRDefault="00A02BD4" w:rsidP="00E60205">
      <w:pPr>
        <w:pStyle w:val="Normal12Hanging"/>
        <w:widowControl/>
        <w:ind w:left="0" w:firstLine="0"/>
        <w:rPr>
          <w:b/>
          <w:i/>
          <w:szCs w:val="24"/>
          <w:lang w:val="el-GR"/>
        </w:rPr>
      </w:pPr>
      <w:r w:rsidRPr="00C74E5F">
        <w:rPr>
          <w:b/>
          <w:i/>
          <w:lang w:val="el-GR"/>
        </w:rPr>
        <w:t>Πολιτική προσωπικού</w:t>
      </w:r>
    </w:p>
    <w:p w:rsidR="00A02BD4" w:rsidRPr="00C74E5F" w:rsidRDefault="00E676AB" w:rsidP="00E676AB">
      <w:pPr>
        <w:pStyle w:val="Normal12Hanging"/>
        <w:widowControl/>
        <w:ind w:left="570" w:hanging="570"/>
        <w:rPr>
          <w:szCs w:val="24"/>
          <w:lang w:val="el-GR"/>
        </w:rPr>
      </w:pPr>
      <w:r w:rsidRPr="00C74E5F">
        <w:rPr>
          <w:szCs w:val="24"/>
          <w:lang w:val="el-GR"/>
        </w:rPr>
        <w:lastRenderedPageBreak/>
        <w:t>12.</w:t>
      </w:r>
      <w:r w:rsidRPr="00C74E5F">
        <w:rPr>
          <w:szCs w:val="24"/>
          <w:lang w:val="el-GR"/>
        </w:rPr>
        <w:tab/>
      </w:r>
      <w:r w:rsidR="00A02BD4" w:rsidRPr="00C74E5F">
        <w:rPr>
          <w:lang w:val="el-GR"/>
        </w:rPr>
        <w:t>σημειώνει ότι, στις 31 Δεκεμβρίου 2022, το ποσοστό εκτέλεσης του πίνακα προσωπικού ήταν 95,60 % και ότι καλύπτονταν οι 79 από τις 83 θέσεις έκτακτων υπαλλήλων και οι οκτώ από τις οκτώ θέσεις μόνιμων υπαλλήλων που είχαν εγκριθεί στον προϋπολογισμό της Ένωσης· σημειώνει επίσης ότι, το 2022, καλύπτονταν 20 από τις 25 θέσεις συμβασιούχων υπαλλήλων που έχουν εγκριθεί στο πλαίσιο του προϋπολογισμού της Ένωσης, και εργάζονταν στο Κέντρο τέσσερις αποσπασμένοι εθνικοί εμπειρογνώμονες και πέντε προσωρινοί υπάλληλοι·</w:t>
      </w:r>
    </w:p>
    <w:p w:rsidR="00A02BD4" w:rsidRPr="00C74E5F" w:rsidRDefault="00E676AB" w:rsidP="00E676AB">
      <w:pPr>
        <w:pStyle w:val="NormalHanging12a"/>
        <w:widowControl/>
        <w:ind w:left="570" w:hanging="570"/>
      </w:pPr>
      <w:r w:rsidRPr="00C74E5F">
        <w:t>13.</w:t>
      </w:r>
      <w:r w:rsidRPr="00C74E5F">
        <w:tab/>
      </w:r>
      <w:r w:rsidR="00A02BD4" w:rsidRPr="00C74E5F">
        <w:t>σημειώνει ότι, όσον αφορά την εκπροσώπηση των φύλων που αναφέρθηκε για το 2022, τα ανώτερα διοικητικά στελέχη του Κέντρου αποτελούνται από τέσσερις άνδρες (66,7 %) και δύο γυναίκες (33,3 %)· σημειώνει ότι το διοικητικό συμβούλιο αποτελείται από 78 άνδρες (53 %) και 68 γυναίκες (47 %)· υπενθυμίζει την εντολή του Κέντρου και το γεγονός ότι ο μεγάλος αριθμός μελών του διοικητικού συμβουλίου (</w:t>
      </w:r>
      <w:r w:rsidR="004801A3">
        <w:t>146</w:t>
      </w:r>
      <w:r w:rsidR="00A02BD4" w:rsidRPr="00C74E5F">
        <w:t xml:space="preserve">) οφείλεται στην ειδική σύνθεσή του με βάση την αρχή της τριμερούς εκπροσώπησης, η οποία συνεπάγεται τη συμμετοχή εκπροσώπων των εθνικών αρχών και των κοινωνικών εταίρων· αναγνωρίζει ότι, μέσω των μελών του, το διοικητικό συμβούλιο του Κέντρου διασφαλίζει την αναγκαία ευθυγράμμιση μεταξύ του έργου του Κέντρου και των αναγκών και προτεραιοτήτων των συμφεροντούχων· σημειώνει ακόμη ότι, όσον αφορά το προσωπικό του Κέντρου συνολικά, η κατανομή ανά φύλο είναι 44 % άνδρες (47) και 56 % γυναίκες (61)· υπενθυμίζει τη σημασία της γεωγραφικής ισορροπίας, και επικροτεί εν προκειμένω, σύμφωνα με την έκθεση παρακολούθησης, τη δέσμευση του Κέντρου να </w:t>
      </w:r>
      <w:proofErr w:type="spellStart"/>
      <w:r w:rsidR="00A02BD4" w:rsidRPr="00C74E5F">
        <w:t>επανεξισορροπήσει</w:t>
      </w:r>
      <w:proofErr w:type="spellEnd"/>
      <w:r w:rsidR="00A02BD4" w:rsidRPr="00C74E5F">
        <w:t xml:space="preserve"> γεωγραφικά το προσωπικό του χρησιμοποιώντας καταλόγους επιτυχόντων άλλων οργανισμών, μεταξύ άλλων σε συνεργασία μαζί τους και με τη διεύρυνση της διάδοσης των προκηρύξεων κενών θέσεων·</w:t>
      </w:r>
    </w:p>
    <w:p w:rsidR="00A02BD4" w:rsidRPr="00C74E5F" w:rsidRDefault="00E676AB" w:rsidP="00E676AB">
      <w:pPr>
        <w:pStyle w:val="Normal12Hanging"/>
        <w:widowControl/>
        <w:ind w:left="570" w:hanging="570"/>
        <w:rPr>
          <w:szCs w:val="24"/>
          <w:lang w:val="el-GR"/>
        </w:rPr>
      </w:pPr>
      <w:r w:rsidRPr="00C74E5F">
        <w:rPr>
          <w:szCs w:val="24"/>
          <w:lang w:val="el-GR"/>
        </w:rPr>
        <w:t>14.</w:t>
      </w:r>
      <w:r w:rsidRPr="00C74E5F">
        <w:rPr>
          <w:szCs w:val="24"/>
          <w:lang w:val="el-GR"/>
        </w:rPr>
        <w:tab/>
      </w:r>
      <w:r w:rsidR="00A02BD4" w:rsidRPr="00C74E5F">
        <w:rPr>
          <w:lang w:val="el-GR"/>
        </w:rPr>
        <w:t>παρατηρεί με εκτίμηση ότι το Κέντρο εργάζεται προορατικά για τη βελτίωση της ευεξίας του προσωπικού και την εξισορρόπηση επαγγελματικής και προσωπικής ζωής· σημειώνει εν προκειμένω ότι, το 2022, το Κέντρο προσέφερε κατάρτιση, μεταξύ άλλων, σχετικά με τη διαχείριση του άγχους στον χώρο εργασίας, το στρες και την ψηφιακή ευεξία, διενήργησε «σφυγμομετρήσεις» ανθρώπινων πόρων, αναμόρφωσε τη μεικτή επιτροπή του, η οποία προάγει την ευεξία και την καλή υγεία του προσωπικού, και έθεσε σε εφαρμογή πρόγραμμα βοήθειας επί 24ώρου βάσης για την παροχή εμπιστευτικής υποστήριξης στους υπαλλήλους όσον αφορά διάφορες προκλήσεις σε σχέση με τη ζωή ή την εργασία με τις οποίες βρίσκεται αντιμέτωπο το προσωπικό του Κέντρου·</w:t>
      </w:r>
    </w:p>
    <w:p w:rsidR="00A02BD4" w:rsidRPr="00C74E5F" w:rsidRDefault="00E676AB" w:rsidP="00E676AB">
      <w:pPr>
        <w:pStyle w:val="NormalHanging12a"/>
        <w:widowControl/>
        <w:ind w:left="570" w:hanging="570"/>
      </w:pPr>
      <w:r w:rsidRPr="00C74E5F">
        <w:t>15.</w:t>
      </w:r>
      <w:r w:rsidRPr="00C74E5F">
        <w:tab/>
      </w:r>
      <w:r w:rsidR="00A02BD4" w:rsidRPr="00C74E5F">
        <w:t>σημειώνει ότι, το 2022, το Κέντρο δρομολόγησε την τακτική του έρευνα για την προσήλωση του προσωπικού, τα αποτελέσματα της οποίας έδειξαν θετικές απαντήσεις από το 65 % του προσωπικού του Κέντρου (ποσοστό απόκρισης 75 %), ενώ σε 10 από τις 12 πτυχές της ανάλυσης καταγράφηκαν θετικές αλλαγές σε σύγκριση με τα αποτελέσματα της έρευνας του 2019, παρά την εξαιρετικά ανατρεπτική περίοδο από την τελευταία έρευνα εκείνου του έτους, ορισμένοι τομείς δε χρήζουν περαιτέρω προσοχής, όπως ο φόρτος εργασίας, η διαφάνεια στη λήψη αποφάσεων και η εσωτερική συνεργασία· επικροτεί το γεγονός ότι τα αποτελέσματα της έρευνας παρουσιάστηκαν στο σύνολο του προσωπικού σε γενική συνέλευση και σε ειδικές συνεδριάσεις για την απάντηση ερωτήσεων·</w:t>
      </w:r>
    </w:p>
    <w:p w:rsidR="00A02BD4" w:rsidRPr="00C74E5F" w:rsidRDefault="00E676AB" w:rsidP="00E676AB">
      <w:pPr>
        <w:pStyle w:val="NormalHanging12a"/>
        <w:widowControl/>
        <w:ind w:left="570" w:hanging="570"/>
      </w:pPr>
      <w:r w:rsidRPr="00C74E5F">
        <w:t>16.</w:t>
      </w:r>
      <w:r w:rsidRPr="00C74E5F">
        <w:tab/>
      </w:r>
      <w:r w:rsidR="00A02BD4" w:rsidRPr="00C74E5F">
        <w:t xml:space="preserve">επικροτεί, στο πλαίσιο της πολιτικής του Κέντρου για τις ίσες ευκαιρίες και την πολυμορφία και όσον αφορά τη στήριξη των ατόμων με αναπηρία, τα μέτρα που λαμβάνονται, όπως η κατάρτιση (σχετικά με ζητήματα διαφορετικότητας και ένταξης) και η καθοδήγηση (σχετικά με τον εντοπισμό και την αντιμετώπιση των υποσυνείδητων </w:t>
      </w:r>
      <w:r w:rsidR="00A02BD4" w:rsidRPr="00C74E5F">
        <w:lastRenderedPageBreak/>
        <w:t>προκαταλήψεων) που παρέχονται στο προσωπικό ανθρώπινων πόρων και στις επιτροπές επιλογής, καθώς και η εύλογη προσαρμογή για τους αιτούντες με αναπηρία· σημειώνει επίσης, σύμφωνα με τις απαντήσεις του Κέντρου στις γραπτές ερωτήσεις του Κοινοβουλίου, τα σχέδια του Κέντρου να εγκρίνει τον «Χάρτη για τη διαφορετικότητα και την ένταξη» το 2023·</w:t>
      </w:r>
    </w:p>
    <w:p w:rsidR="00A02BD4" w:rsidRPr="00C74E5F" w:rsidRDefault="00E676AB" w:rsidP="00E676AB">
      <w:pPr>
        <w:pStyle w:val="Normal12Hanging"/>
        <w:widowControl/>
        <w:ind w:left="570" w:hanging="570"/>
        <w:rPr>
          <w:szCs w:val="24"/>
          <w:lang w:val="el-GR"/>
        </w:rPr>
      </w:pPr>
      <w:r w:rsidRPr="00C74E5F">
        <w:rPr>
          <w:szCs w:val="24"/>
          <w:lang w:val="el-GR"/>
        </w:rPr>
        <w:t>17.</w:t>
      </w:r>
      <w:r w:rsidRPr="00C74E5F">
        <w:rPr>
          <w:szCs w:val="24"/>
          <w:lang w:val="el-GR"/>
        </w:rPr>
        <w:tab/>
      </w:r>
      <w:r w:rsidR="00A02BD4" w:rsidRPr="00C74E5F">
        <w:rPr>
          <w:lang w:val="el-GR"/>
        </w:rPr>
        <w:t>σημειώνει με ανησυχία, σύμφωνα με την έκθεση του Ελεγκτικού Συνεδρίου, την παρατήρηση ότι το Κέντρο, κατά την περίοδο 2017-2022, κατέβαλε μηνιαίες και ημερήσιες αποζημιώσεις σε δύο Έλληνες υπηκόους που απασχολούνταν ως αποσπασμένοι εθνικοί εμπειρογνώμονες· σημειώνει, στο πλαίσιο αυτό, ότι οι δύο αποσπασμένοι εθνικοί εμπειρογνώμονες δεν δικαιούνταν τις εν λόγω αποζημιώσεις σύμφωνα με τους εσωτερικούς κανόνες του Κέντρου, δεδομένου ότι το Κέντρο είναι εγκατεστημένο στην Ελλάδα και, επομένως, κρίθηκαν παράτυπες οι συνολικές συναφείς πληρωμές που καταβλήθηκαν στους δύο αποσπασμένους εθνικούς εμπειρογνώμονες κατά την εν λόγω περίοδο και ανήλθαν σε 222 647 EUR (σε σύγκριση με 36 608 EUR το 2022)· σημειώνει επιπλέον ότι, όταν το Κέντρο εντόπισε το ζήτημα το 2022, καταχώρισε τις δύο περιπτώσεις στο μητρώο μη συμμόρφωσης και εξαιρέσεων, αποφάσισε να μην ζητήσει την επιστροφή των ποσών που καταβλήθηκαν παράτυπα και εισήγαγε περίοδο σταδιακής κατάργησης τριών μηνών για τους αποσπασμένους εθνικούς εμπειρογνώμονες που εξακολουθούσαν να απασχολούνται τότε· ζητεί να παρακολουθούνται αυστηρά και να αποφεύγονται τέτοιες καταστάσεις στο μέλλον·</w:t>
      </w:r>
    </w:p>
    <w:p w:rsidR="00A02BD4" w:rsidRPr="00C74E5F" w:rsidRDefault="00A02BD4" w:rsidP="00E60205">
      <w:pPr>
        <w:pStyle w:val="Normal12Hanging"/>
        <w:widowControl/>
        <w:ind w:left="0" w:firstLine="0"/>
        <w:rPr>
          <w:b/>
          <w:i/>
          <w:szCs w:val="24"/>
          <w:lang w:val="el-GR"/>
        </w:rPr>
      </w:pPr>
      <w:r w:rsidRPr="00C74E5F">
        <w:rPr>
          <w:b/>
          <w:i/>
          <w:lang w:val="el-GR"/>
        </w:rPr>
        <w:t>Πρόληψη και διαχείριση συγκρούσεων συμφερόντων και διαφάνεια</w:t>
      </w:r>
    </w:p>
    <w:p w:rsidR="00A02BD4" w:rsidRPr="00C74E5F" w:rsidRDefault="00E676AB" w:rsidP="00E676AB">
      <w:pPr>
        <w:pStyle w:val="Normal12Hanging"/>
        <w:widowControl/>
        <w:ind w:left="570" w:hanging="570"/>
        <w:rPr>
          <w:szCs w:val="24"/>
          <w:lang w:val="el-GR"/>
        </w:rPr>
      </w:pPr>
      <w:r w:rsidRPr="00C74E5F">
        <w:rPr>
          <w:szCs w:val="24"/>
          <w:lang w:val="el-GR"/>
        </w:rPr>
        <w:t>18.</w:t>
      </w:r>
      <w:r w:rsidRPr="00C74E5F">
        <w:rPr>
          <w:szCs w:val="24"/>
          <w:lang w:val="el-GR"/>
        </w:rPr>
        <w:tab/>
      </w:r>
      <w:r w:rsidR="00A02BD4" w:rsidRPr="00C74E5F">
        <w:rPr>
          <w:lang w:val="el-GR"/>
        </w:rPr>
        <w:t>σημειώνει τα μέτρα που εφαρμόζει σήμερα το Κέντρο και τις συνεχιζόμενες προσπάθειές του για την εξασφάλιση της διαφάνειας, την πρόληψη και διαχείριση των συγκρούσεων συμφερόντων και την προστασία των καταγγελτών· παρατηρεί ότι το Κέντρο ζητεί από τα μέλη του προσωπικού του να δηλώνουν δυνητικά ή πραγματικά συμφέροντα εάν εμπλέκονται σε κατάσταση όπου ενδέχεται να προκύψει σύγκρουση συμφερόντων· σημειώνει, στο πλαίσιο αυτό, ότι το Κέντρο έχει θεσπίσει δικό του μηχανισμό, ο οποίος περιλαμβάνει εκ των προτέρων μέτρα με δράσεις μετριασμού, εκ των υστέρων ελέγχους, και συνδρομή από τον συντονιστή εσωτερικού ελέγχου του Κέντρου, ο οποίος λαμβάνει πληροφορίες σχετικά με δηλωθείσες συγκρούσεις συμφερόντων·</w:t>
      </w:r>
    </w:p>
    <w:p w:rsidR="00A02BD4" w:rsidRPr="00C74E5F" w:rsidRDefault="00E676AB" w:rsidP="00E676AB">
      <w:pPr>
        <w:pStyle w:val="Normal12Hanging"/>
        <w:widowControl/>
        <w:ind w:left="570" w:hanging="570"/>
        <w:rPr>
          <w:szCs w:val="24"/>
          <w:lang w:val="el-GR"/>
        </w:rPr>
      </w:pPr>
      <w:r w:rsidRPr="00C74E5F">
        <w:rPr>
          <w:szCs w:val="24"/>
          <w:lang w:val="el-GR"/>
        </w:rPr>
        <w:t>19.</w:t>
      </w:r>
      <w:r w:rsidRPr="00C74E5F">
        <w:rPr>
          <w:szCs w:val="24"/>
          <w:lang w:val="el-GR"/>
        </w:rPr>
        <w:tab/>
      </w:r>
      <w:r w:rsidR="00A02BD4" w:rsidRPr="00C74E5F">
        <w:rPr>
          <w:lang w:val="el-GR"/>
        </w:rPr>
        <w:t xml:space="preserve">υπενθυμίζει ότι, σύμφωνα με τον κανονισμό (ΕΕ) 2019/128, όλα τα τακτικά και αναπληρωματικά μέλη που παρίστανται σε συνεδριάσεις του διοικητικού συμβουλίου ή ασκούν δικαίωμα ψήφου πρέπει να υποβάλλουν δήλωση συμφερόντων· επικροτεί το γεγονός ότι οι δηλώσεις συμφερόντων όλων των τακτικών και αναπληρωματικών μελών του διοικητικού συμβουλίου, καθώς και των ανώτερων και μεσαίων διοικητικών στελεχών του Κέντρου, έχουν δημοσιευθεί στον ιστότοπο του Κέντρου· παρατηρεί ότι, σύμφωνα με τις απαντήσεις του Κέντρου στις γραπτές ερωτήσεις του Κοινοβουλίου, από το 2022 τα τακτικά ή αναπληρωματικά μέλη του διοικητικού συμβουλίου που δεν παρέχουν υπογεγραμμένη δήλωση συμφερόντων δεν προσκαλούνται πλέον στις συνεδριάσεις του διοικητικού συμβουλίου, δεν λαμβάνουν έγγραφα του διοικητικού συμβουλίου και δεν συμμετέχουν σε γραπτές διαδικασίες για τη λήψη αποφάσεων· σημειώνει τη δημοσίευση, παρότι δεν απαιτείται επίσημα, των βιογραφικών σημειωμάτων των μελών του διοικητικού συμβουλίου· παρατηρεί ότι τα βιογραφικά σημειώματα ορισμένων μελών του διοικητικού συμβουλίου ακόμα λείπουν, συμπεριλαμβανομένου του βιογραφικού σημειώματος του προέδρου του διοικητικού </w:t>
      </w:r>
      <w:r w:rsidR="00A02BD4" w:rsidRPr="00C74E5F">
        <w:rPr>
          <w:lang w:val="el-GR"/>
        </w:rPr>
        <w:lastRenderedPageBreak/>
        <w:t>συμβουλίου· καλεί το Κέντρο να δημοσιεύσει τα βιογραφικά σημειώματα όλων των τακτικών και αναπληρωματικών μελών του διοικητικού συμβουλίου·</w:t>
      </w:r>
    </w:p>
    <w:p w:rsidR="00A02BD4" w:rsidRPr="00C74E5F" w:rsidRDefault="00E676AB" w:rsidP="00E676AB">
      <w:pPr>
        <w:pStyle w:val="Normal12Hanging"/>
        <w:widowControl/>
        <w:ind w:left="570" w:hanging="570"/>
        <w:rPr>
          <w:szCs w:val="24"/>
          <w:lang w:val="el-GR"/>
        </w:rPr>
      </w:pPr>
      <w:r w:rsidRPr="00C74E5F">
        <w:rPr>
          <w:szCs w:val="24"/>
          <w:lang w:val="el-GR"/>
        </w:rPr>
        <w:t>20.</w:t>
      </w:r>
      <w:r w:rsidRPr="00C74E5F">
        <w:rPr>
          <w:szCs w:val="24"/>
          <w:lang w:val="el-GR"/>
        </w:rPr>
        <w:tab/>
      </w:r>
      <w:r w:rsidR="00A02BD4" w:rsidRPr="00C74E5F">
        <w:rPr>
          <w:lang w:val="el-GR"/>
        </w:rPr>
        <w:t>σημειώνει ότι το Κέντρο αναγνωρίζει τη σημασία των καταστάσεων μεταπήδησης από τον δημόσιο στον ιδιωτικό τομέα και αυξάνει τακτικά την ενημέρωση όλου του προσωπικού του σχετικά με τους κανόνες εφαρμογής για τις εξωτερικές δραστηριότητες και αναθέσεις και τις επαγγελματικές δραστηριότητες μετά την αποχώρηση από την υπηρεσία· επαινεί το γεγονός ότι όλοι οι υπάλληλοι που αποχωρούν από το Κέντρο καλούνται να υπογράψουν επιστολή σχετικά με τις υποχρεώσεις τους αφότου αποχωρήσουν από την υπηρεσία, συμπεριλαμβανομένης δήλωσης ότι οποιαδήποτε μελλοντική απασχόληση δεν θα θίγει την υποχρέωση εχεμύθειας έναντι του Κέντρου·</w:t>
      </w:r>
    </w:p>
    <w:p w:rsidR="00A02BD4" w:rsidRPr="00C74E5F" w:rsidRDefault="00A02BD4" w:rsidP="00E60205">
      <w:pPr>
        <w:pStyle w:val="Normal12Hanging"/>
        <w:widowControl/>
        <w:ind w:left="0" w:firstLine="0"/>
        <w:rPr>
          <w:b/>
          <w:i/>
          <w:szCs w:val="24"/>
          <w:lang w:val="el-GR"/>
        </w:rPr>
      </w:pPr>
      <w:r w:rsidRPr="00C74E5F">
        <w:rPr>
          <w:b/>
          <w:i/>
          <w:lang w:val="el-GR"/>
        </w:rPr>
        <w:t>Εσωτερικός έλεγχος</w:t>
      </w:r>
    </w:p>
    <w:p w:rsidR="00A02BD4" w:rsidRPr="00C74E5F" w:rsidRDefault="00E676AB" w:rsidP="00E676AB">
      <w:pPr>
        <w:pStyle w:val="Normal12Hanging"/>
        <w:widowControl/>
        <w:ind w:left="570" w:hanging="570"/>
        <w:rPr>
          <w:szCs w:val="24"/>
          <w:lang w:val="el-GR"/>
        </w:rPr>
      </w:pPr>
      <w:r w:rsidRPr="00C74E5F">
        <w:rPr>
          <w:szCs w:val="24"/>
          <w:lang w:val="el-GR"/>
        </w:rPr>
        <w:t>21.</w:t>
      </w:r>
      <w:r w:rsidRPr="00C74E5F">
        <w:rPr>
          <w:szCs w:val="24"/>
          <w:lang w:val="el-GR"/>
        </w:rPr>
        <w:tab/>
      </w:r>
      <w:r w:rsidR="00A02BD4" w:rsidRPr="00C74E5F">
        <w:rPr>
          <w:lang w:val="el-GR"/>
        </w:rPr>
        <w:t>σημειώνει ότι το συνολικό κόστος του εσωτερικού ελέγχου ανήλθε σε 1 101 755 EUR για το έτος 2022 (29 024 EUR άμεσες δαπάνες και 1 072 731 EUR έμμεσες δαπάνες), ποσό που αντιστοιχεί στο 6 % του προϋπολογισμού του Κέντρου· σημειώνει ακόμη τη δήλωση του Κέντρου ότι η μέτρια αύξηση των δαπανών σε σύγκριση με το 2021 (5,3 %) οφείλεται στην αύξηση των μισθολογικών δαπανών και στον συνδυασμό του προσωπικού που συμμετέχει σε καθήκοντα εσωτερικού ελέγχου, με αποτέλεσμα υψηλότερες έμμεσες δαπάνες·</w:t>
      </w:r>
    </w:p>
    <w:p w:rsidR="00A02BD4" w:rsidRPr="00C74E5F" w:rsidRDefault="00E676AB" w:rsidP="00E676AB">
      <w:pPr>
        <w:pStyle w:val="Normal12Hanging"/>
        <w:widowControl/>
        <w:ind w:left="570" w:hanging="570"/>
        <w:rPr>
          <w:szCs w:val="24"/>
          <w:lang w:val="el-GR"/>
        </w:rPr>
      </w:pPr>
      <w:r w:rsidRPr="00C74E5F">
        <w:rPr>
          <w:szCs w:val="24"/>
          <w:lang w:val="el-GR"/>
        </w:rPr>
        <w:t>22.</w:t>
      </w:r>
      <w:r w:rsidRPr="00C74E5F">
        <w:rPr>
          <w:szCs w:val="24"/>
          <w:lang w:val="el-GR"/>
        </w:rPr>
        <w:tab/>
      </w:r>
      <w:r w:rsidR="00A02BD4" w:rsidRPr="00C74E5F">
        <w:rPr>
          <w:lang w:val="el-GR"/>
        </w:rPr>
        <w:t>αναγνωρίζει ότι, σύμφωνα με την οικεία πολιτική αξιολόγησης, το Κέντρο διενεργεί εκ των προτέρων αξιολογήσεις για διαδικασίες σύναψης συμβάσεων άνω των 500 000 EUR και εκ των υστέρων αξιολογήσεις για έργα και δραστηριότητες που συνεπάγονται συνολικές δαπάνες άνω των 500 000 EUR· σημειώνει ότι, σε έκθεση του 2022, ο επικεφαλής οικονομικών και δημόσιων συμβάσεων κατέληξε στο συμπέρασμα πως οι διαδικασίες σύναψης συμβάσεων που δρομολογήθηκαν κατά την υπό εξέταση περίοδο τηρούσαν τις απαιτήσεις της εκ των προτέρων αξιολόγησης· σημειώνει ότι, το 2022, το Κέντρο διενήργησε εκ των υστέρων αξιολόγηση μιας δραστηριότητας που εστίαζε σε σύμβαση-πλαίσιο στον τομέα των πληροφοριών για την αγορά εργασίας και της ανάλυσης των αναγκών σε δεξιότητες (αξία σύμβασης 1 088 350 EUR)· σημειώνει ότι το αποτέλεσμα της αξιολόγησης αυτής επιβεβαίωσε πως η εν λόγω δραστηριότητα ήταν αποτελεσματική, αποδοτική, συνεκτική και προσέφερε ενωσιακή προστιθέμενη αξία· παρατηρεί ακόμη ότι, το 2022, ομάδα εργασίας που διορίστηκε από τον εκτελεστικό διευθυντή κατέληξε στο συμπέρασμα πως, όσον αφορά δείγμα τριών διαδικασιών σύναψης συμβάσεων, υφίσταντο και τηρούνταν τα κριτήρια που σχετίζονται με τον αποτελεσματικό και αποδοτικό εσωτερικό έλεγχο, χωρίς να απαιτούνται διορθωτικά μέτρα·</w:t>
      </w:r>
    </w:p>
    <w:p w:rsidR="00A02BD4" w:rsidRPr="00C74E5F" w:rsidRDefault="00E676AB" w:rsidP="00E676AB">
      <w:pPr>
        <w:pStyle w:val="Normal12Hanging"/>
        <w:widowControl/>
        <w:ind w:left="570" w:hanging="570"/>
        <w:rPr>
          <w:szCs w:val="24"/>
          <w:lang w:val="el-GR"/>
        </w:rPr>
      </w:pPr>
      <w:r w:rsidRPr="00C74E5F">
        <w:rPr>
          <w:szCs w:val="24"/>
          <w:lang w:val="el-GR"/>
        </w:rPr>
        <w:t>23.</w:t>
      </w:r>
      <w:r w:rsidRPr="00C74E5F">
        <w:rPr>
          <w:szCs w:val="24"/>
          <w:lang w:val="el-GR"/>
        </w:rPr>
        <w:tab/>
      </w:r>
      <w:r w:rsidR="00A02BD4" w:rsidRPr="00C74E5F">
        <w:rPr>
          <w:lang w:val="el-GR"/>
        </w:rPr>
        <w:t>σημειώνει ότι, το 2022, το Κέντρο κατέγραψε 57 περιστατικά μη συμμόρφωσης και αιτήματα εξαίρεσης που συνδέονται με ζητήματα διαχείρισης συμβάσεων και δημοσιονομικής διαχείρισης· σημειώνει ακόμη ότι οι συστάσεις που εξέδωσε ο συντονιστής εσωτερικού ελέγχου εφαρμόστηκαν και αποτέλεσαν ακολούθως αντικείμενο παρακολούθησης προκειμένου να αποφευχθεί η επανάληψη·</w:t>
      </w:r>
    </w:p>
    <w:p w:rsidR="00A02BD4" w:rsidRPr="00C74E5F" w:rsidRDefault="00E676AB" w:rsidP="00E676AB">
      <w:pPr>
        <w:pStyle w:val="Normal12Hanging"/>
        <w:widowControl/>
        <w:ind w:left="570" w:hanging="570"/>
        <w:rPr>
          <w:szCs w:val="24"/>
          <w:lang w:val="el-GR"/>
        </w:rPr>
      </w:pPr>
      <w:r w:rsidRPr="00C74E5F">
        <w:rPr>
          <w:szCs w:val="24"/>
          <w:lang w:val="el-GR"/>
        </w:rPr>
        <w:t>24.</w:t>
      </w:r>
      <w:r w:rsidRPr="00C74E5F">
        <w:rPr>
          <w:szCs w:val="24"/>
          <w:lang w:val="el-GR"/>
        </w:rPr>
        <w:tab/>
      </w:r>
      <w:r w:rsidR="00A02BD4" w:rsidRPr="00C74E5F">
        <w:rPr>
          <w:lang w:val="el-GR"/>
        </w:rPr>
        <w:t xml:space="preserve">παρατηρεί ότι η αξιολόγηση του συνολικού πλαισίου εσωτερικού ελέγχου του Κέντρου, η οποία διενεργήθηκε από τον συντονιστή εσωτερικού ελέγχου με χρήση του εργαλείου που παρείχε η ΓΔ BUDG, κατέληξε στο συμπέρασμα πως το πλαίσιο εσωτερικού ελέγχου είναι αποτελεσματικό και όλες οι συνιστώσες του υφίστανται, λειτουργούν σωστά και εξυπηρετούν τον προβλεπόμενο σκοπό τους, ενώ απαιτούνται ορισμένες </w:t>
      </w:r>
      <w:r w:rsidR="00A02BD4" w:rsidRPr="00C74E5F">
        <w:rPr>
          <w:lang w:val="el-GR"/>
        </w:rPr>
        <w:lastRenderedPageBreak/>
        <w:t>βελτιώσεις όσον αφορά τη συνιστώσα εσωτερικού ελέγχου «δραστηριότητες ελέγχου»· σημειώνει με εκτίμηση ότι, σύμφωνα με την έκθεση παρακολούθησης, το Κέντρο, στο πλαίσιο των ενημερωτικών δραστηριοτήτων του σχετικά με ζητήματα δεοντολογίας, ακεραιότητας και εσωτερικού ελέγχου, διοργανώνει για όλο το προσωπικό, συμπεριλαμβανομένων των μελών του διοικητικού συμβουλίου, τακτικές υποχρεωτικές συνεδρίες όσον αφορά τη χρηστή διακυβέρνηση, συμπεριλαμβανομένων ζητημάτων που σχετίζονται με την απάτη·</w:t>
      </w:r>
    </w:p>
    <w:p w:rsidR="00A02BD4" w:rsidRPr="00C74E5F" w:rsidRDefault="00A02BD4" w:rsidP="00E60205">
      <w:pPr>
        <w:pStyle w:val="Normal12Hanging"/>
        <w:widowControl/>
        <w:ind w:left="0" w:firstLine="0"/>
        <w:rPr>
          <w:szCs w:val="24"/>
          <w:lang w:val="el-GR"/>
        </w:rPr>
      </w:pPr>
      <w:r w:rsidRPr="00C74E5F">
        <w:rPr>
          <w:b/>
          <w:i/>
          <w:lang w:val="el-GR"/>
        </w:rPr>
        <w:t>Λοιπ</w:t>
      </w:r>
      <w:r w:rsidR="00E22832">
        <w:rPr>
          <w:b/>
          <w:i/>
          <w:lang w:val="el-GR"/>
        </w:rPr>
        <w:t>ές παρατηρήσεις</w:t>
      </w:r>
    </w:p>
    <w:p w:rsidR="00A02BD4" w:rsidRPr="00C74E5F" w:rsidRDefault="00E676AB" w:rsidP="00E676AB">
      <w:pPr>
        <w:pStyle w:val="Normal12Hanging"/>
        <w:widowControl/>
        <w:ind w:left="570" w:hanging="570"/>
        <w:rPr>
          <w:szCs w:val="24"/>
          <w:lang w:val="el-GR"/>
        </w:rPr>
      </w:pPr>
      <w:r w:rsidRPr="00C74E5F">
        <w:rPr>
          <w:szCs w:val="24"/>
          <w:lang w:val="el-GR"/>
        </w:rPr>
        <w:t>25.</w:t>
      </w:r>
      <w:r w:rsidRPr="00C74E5F">
        <w:rPr>
          <w:szCs w:val="24"/>
          <w:lang w:val="el-GR"/>
        </w:rPr>
        <w:tab/>
      </w:r>
      <w:r w:rsidR="00A02BD4" w:rsidRPr="00C74E5F">
        <w:rPr>
          <w:lang w:val="el-GR"/>
        </w:rPr>
        <w:t xml:space="preserve">επικροτεί τις προσπάθειες του Κέντρου να επικοινωνεί με τρόπους που συμβάλλουν στην προσέγγιση ευρύτερου κοινού, μεταξύ άλλων εφαρμόζοντας σύστημα μηχανικής μετάφρασης στον ιστότοπο του Κέντρου, ώστε όλες οι ιστοσελίδες του να καταστούν προσβάσιμες σε όλες τις επίσημες γλώσσες των οργάνων της Ένωσης· σημειώνει ότι, το 2022, το Κέντρο επένδυσε σε διάφορα καινοτόμα προϊόντα, όπως υπηρεσιακές παραγωγές βίντεο, κινούμενα γραφικά, κινούμενα σχέδια (στα συστήματα ΕΕΚ των χωρών που ασκούσαν την προεδρία της Ένωσης το 2022, δηλαδή στη Γαλλία και την Τσεχία), </w:t>
      </w:r>
      <w:proofErr w:type="spellStart"/>
      <w:r w:rsidR="00A02BD4" w:rsidRPr="00C74E5F">
        <w:rPr>
          <w:lang w:val="el-GR"/>
        </w:rPr>
        <w:t>podcast</w:t>
      </w:r>
      <w:proofErr w:type="spellEnd"/>
      <w:r w:rsidR="00A02BD4" w:rsidRPr="00C74E5F">
        <w:rPr>
          <w:lang w:val="el-GR"/>
        </w:rPr>
        <w:t xml:space="preserve">, καθώς και σε νέες απεικονίσεις δεδομένων και διαδικτυακές βάσεις δεδομένων που ενίσχυσαν τη διαδικτυακή πύλη του Κέντρου· σημειώνει με εκτίμηση ότι δεκάδες χιλιάδες άτομα </w:t>
      </w:r>
      <w:proofErr w:type="spellStart"/>
      <w:r w:rsidR="00A02BD4" w:rsidRPr="00C74E5F">
        <w:rPr>
          <w:lang w:val="el-GR"/>
        </w:rPr>
        <w:t>τηλεφόρτωσαν</w:t>
      </w:r>
      <w:proofErr w:type="spellEnd"/>
      <w:r w:rsidR="00A02BD4" w:rsidRPr="00C74E5F">
        <w:rPr>
          <w:lang w:val="el-GR"/>
        </w:rPr>
        <w:t xml:space="preserve"> απευθείας από τον ιστότοπο του Κέντρου τις δημοσιεύσεις και τα ενημερωτικά δελτία του· επαινεί το Κέντρο για την αύξηση των οικείων δεικτών μέτρησης στα μέσα κοινωνικής δικτύωσης το 2022·</w:t>
      </w:r>
    </w:p>
    <w:p w:rsidR="00A02BD4" w:rsidRPr="00C74E5F" w:rsidRDefault="00E676AB" w:rsidP="00E676AB">
      <w:pPr>
        <w:pStyle w:val="Normal12Hanging"/>
        <w:widowControl/>
        <w:ind w:left="570" w:hanging="570"/>
        <w:rPr>
          <w:szCs w:val="24"/>
          <w:lang w:val="el-GR"/>
        </w:rPr>
      </w:pPr>
      <w:r w:rsidRPr="00C74E5F">
        <w:rPr>
          <w:szCs w:val="24"/>
          <w:lang w:val="el-GR"/>
        </w:rPr>
        <w:t>26.</w:t>
      </w:r>
      <w:r w:rsidRPr="00C74E5F">
        <w:rPr>
          <w:szCs w:val="24"/>
          <w:lang w:val="el-GR"/>
        </w:rPr>
        <w:tab/>
      </w:r>
      <w:r w:rsidR="00A02BD4" w:rsidRPr="00C74E5F">
        <w:rPr>
          <w:lang w:val="el-GR"/>
        </w:rPr>
        <w:t>επισημαίνει ότι η ΕΕΚ και η εκπαίδευση ενηλίκων αποτελούν βασικές προτεραιότητες για το Ευρωπαϊκό Κοινωνικό Ταμείο+ (ΕΚΤ+) προς την κατεύθυνση της πράσινης και της ψηφιακής ανάκαμψης, το ΕΚΤ+ δε διαθέτει προϋπολογισμό σχεδόν 99,3 δισ. EUR για την περίοδο 2021-2027·</w:t>
      </w:r>
    </w:p>
    <w:p w:rsidR="00A02BD4" w:rsidRPr="00C74E5F" w:rsidRDefault="00E676AB" w:rsidP="00E676AB">
      <w:pPr>
        <w:pStyle w:val="NormalHanging12a"/>
        <w:widowControl/>
        <w:ind w:left="570" w:hanging="570"/>
      </w:pPr>
      <w:r w:rsidRPr="00C74E5F">
        <w:t>27.</w:t>
      </w:r>
      <w:r w:rsidRPr="00C74E5F">
        <w:tab/>
      </w:r>
      <w:r w:rsidR="00A02BD4" w:rsidRPr="00C74E5F">
        <w:t>σημειώνει ότι η ευελιξία για την εξασφάλιση πρόσθετων πόρων στη βασική δραστηριότητα ήταν περιορισμένη, λόγω του υψηλού πληθωρισμού και της συνακόλουθης μισθολογικής αναπροσαρμογής και λόγω των μισθολογικών αυξήσεων πάνω από τις αρχικά προβλεπόμενες σε συνδυασμό με αύξηση του συντελεστή στάθμισης·</w:t>
      </w:r>
    </w:p>
    <w:p w:rsidR="00A02BD4" w:rsidRPr="00C74E5F" w:rsidRDefault="00A02BD4" w:rsidP="00E60205">
      <w:pPr>
        <w:pStyle w:val="NormalCenter12a"/>
        <w:widowControl/>
      </w:pPr>
      <w:r w:rsidRPr="00C74E5F">
        <w:t>°</w:t>
      </w:r>
    </w:p>
    <w:p w:rsidR="00A02BD4" w:rsidRPr="00C74E5F" w:rsidRDefault="00A02BD4" w:rsidP="00E60205">
      <w:pPr>
        <w:pStyle w:val="NormalCenter12a"/>
        <w:widowControl/>
      </w:pPr>
      <w:r w:rsidRPr="00C74E5F">
        <w:t>°</w:t>
      </w:r>
      <w:r w:rsidRPr="00C74E5F">
        <w:tab/>
        <w:t>°</w:t>
      </w:r>
    </w:p>
    <w:p w:rsidR="00A02BD4" w:rsidRDefault="00E676AB" w:rsidP="00E676AB">
      <w:pPr>
        <w:pStyle w:val="NormalHanging12a"/>
        <w:widowControl/>
        <w:ind w:left="570" w:hanging="570"/>
      </w:pPr>
      <w:r>
        <w:t>28.</w:t>
      </w:r>
      <w:r>
        <w:tab/>
      </w:r>
      <w:r w:rsidR="00A02BD4" w:rsidRPr="00C74E5F">
        <w:t xml:space="preserve">παραπέμπει, όσον αφορά τις άλλες παρατηρήσεις οριζόντιου χαρακτήρα που συνοδεύουν την απόφαση απαλλαγής, στο ψήφισμά του της </w:t>
      </w:r>
      <w:r w:rsidR="00820247" w:rsidRPr="00E676AB">
        <w:t>11</w:t>
      </w:r>
      <w:r w:rsidR="00E60205">
        <w:t>ης</w:t>
      </w:r>
      <w:r w:rsidR="00A02BD4" w:rsidRPr="00C74E5F">
        <w:t xml:space="preserve"> </w:t>
      </w:r>
      <w:r w:rsidR="00E60205">
        <w:t xml:space="preserve">Απριλίου </w:t>
      </w:r>
      <w:r w:rsidR="00A02BD4" w:rsidRPr="00C74E5F">
        <w:t>2024</w:t>
      </w:r>
      <w:r w:rsidR="00A02BD4" w:rsidRPr="00C74E5F">
        <w:rPr>
          <w:rStyle w:val="FootnoteReference"/>
        </w:rPr>
        <w:footnoteReference w:id="12"/>
      </w:r>
      <w:r w:rsidR="00A02BD4" w:rsidRPr="00C74E5F">
        <w:t xml:space="preserve"> σχετικά με τις επιδόσεις, τη χρηματοοικονομική διαχείριση και τον έλεγχο των οργανισμών.</w:t>
      </w:r>
    </w:p>
    <w:p w:rsidR="00E60205" w:rsidRPr="00C74E5F" w:rsidRDefault="00E60205" w:rsidP="00E60205">
      <w:pPr>
        <w:pStyle w:val="NormalHanging12a"/>
        <w:widowControl/>
      </w:pPr>
    </w:p>
    <w:sectPr w:rsidR="00E60205" w:rsidRPr="00C74E5F" w:rsidSect="00E6020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367" w:rsidRPr="00C74E5F" w:rsidRDefault="00A90367">
      <w:r w:rsidRPr="00C74E5F">
        <w:separator/>
      </w:r>
    </w:p>
  </w:endnote>
  <w:endnote w:type="continuationSeparator" w:id="0">
    <w:p w:rsidR="00A90367" w:rsidRPr="00C74E5F" w:rsidRDefault="00A90367">
      <w:r w:rsidRPr="00C74E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BD4" w:rsidRPr="00C74E5F" w:rsidRDefault="00A02BD4" w:rsidP="00F153EA">
    <w:pPr>
      <w:pStyle w:val="EPFooter"/>
    </w:pPr>
    <w:r w:rsidRPr="00C74E5F">
      <w:t>PE</w:t>
    </w:r>
    <w:r w:rsidRPr="00C74E5F">
      <w:rPr>
        <w:rStyle w:val="HideTWBExt"/>
      </w:rPr>
      <w:t>&lt;NoPE&gt;</w:t>
    </w:r>
    <w:r w:rsidRPr="00C74E5F">
      <w:t>753.509</w:t>
    </w:r>
    <w:r w:rsidRPr="00C74E5F">
      <w:rPr>
        <w:rStyle w:val="HideTWBExt"/>
      </w:rPr>
      <w:t>&lt;/NoPE&gt;&lt;Version&gt;</w:t>
    </w:r>
    <w:r w:rsidRPr="00C74E5F">
      <w:t>v02-00</w:t>
    </w:r>
    <w:r w:rsidRPr="00C74E5F">
      <w:rPr>
        <w:rStyle w:val="HideTWBExt"/>
      </w:rPr>
      <w:t>&lt;/Version&gt;</w:t>
    </w:r>
    <w:r w:rsidRPr="00C74E5F">
      <w:tab/>
    </w:r>
    <w:r w:rsidRPr="00C74E5F">
      <w:fldChar w:fldCharType="begin"/>
    </w:r>
    <w:r w:rsidRPr="00C74E5F">
      <w:instrText xml:space="preserve"> PAGE  \* MERGEFORMAT </w:instrText>
    </w:r>
    <w:r w:rsidRPr="00C74E5F">
      <w:fldChar w:fldCharType="separate"/>
    </w:r>
    <w:r w:rsidR="00C74E5F" w:rsidRPr="00C74E5F">
      <w:rPr>
        <w:noProof/>
      </w:rPr>
      <w:t>2</w:t>
    </w:r>
    <w:r w:rsidRPr="00C74E5F">
      <w:fldChar w:fldCharType="end"/>
    </w:r>
    <w:r w:rsidRPr="00C74E5F">
      <w:t>/</w:t>
    </w:r>
    <w:fldSimple w:instr=" NUMPAGES  \* MERGEFORMAT ">
      <w:r w:rsidR="00C74E5F" w:rsidRPr="00C74E5F">
        <w:rPr>
          <w:noProof/>
        </w:rPr>
        <w:t>4</w:t>
      </w:r>
    </w:fldSimple>
    <w:r w:rsidRPr="00C74E5F">
      <w:tab/>
    </w:r>
    <w:r w:rsidRPr="00C74E5F">
      <w:rPr>
        <w:rStyle w:val="HideTWBExt"/>
      </w:rPr>
      <w:t>&lt;PathFdR&gt;</w:t>
    </w:r>
    <w:r w:rsidRPr="00C74E5F">
      <w:t>RR\1298579EL.docx</w:t>
    </w:r>
    <w:r w:rsidRPr="00C74E5F">
      <w:rPr>
        <w:rStyle w:val="HideTWBExt"/>
      </w:rPr>
      <w:t>&lt;/PathFdR&gt;</w:t>
    </w:r>
  </w:p>
  <w:p w:rsidR="00A02BD4" w:rsidRPr="00C74E5F" w:rsidRDefault="00A02BD4" w:rsidP="00F153EA">
    <w:pPr>
      <w:pStyle w:val="EPFooter2"/>
    </w:pPr>
    <w:r w:rsidRPr="00C74E5F">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BD4" w:rsidRPr="00C74E5F" w:rsidRDefault="00A02BD4" w:rsidP="00F153EA">
    <w:pPr>
      <w:pStyle w:val="EPFooter"/>
    </w:pPr>
    <w:r w:rsidRPr="00C74E5F">
      <w:rPr>
        <w:rStyle w:val="HideTWBExt"/>
      </w:rPr>
      <w:t>&lt;PathFdR&gt;</w:t>
    </w:r>
    <w:r w:rsidRPr="00C74E5F">
      <w:t>RR\1298579EL.docx</w:t>
    </w:r>
    <w:r w:rsidRPr="00C74E5F">
      <w:rPr>
        <w:rStyle w:val="HideTWBExt"/>
      </w:rPr>
      <w:t>&lt;/PathFdR&gt;</w:t>
    </w:r>
    <w:r w:rsidRPr="00C74E5F">
      <w:tab/>
    </w:r>
    <w:r w:rsidRPr="00C74E5F">
      <w:tab/>
      <w:t>PE</w:t>
    </w:r>
    <w:r w:rsidRPr="00C74E5F">
      <w:rPr>
        <w:rStyle w:val="HideTWBExt"/>
      </w:rPr>
      <w:t>&lt;NoPE&gt;</w:t>
    </w:r>
    <w:r w:rsidRPr="00C74E5F">
      <w:t>753.509</w:t>
    </w:r>
    <w:r w:rsidRPr="00C74E5F">
      <w:rPr>
        <w:rStyle w:val="HideTWBExt"/>
      </w:rPr>
      <w:t>&lt;/NoPE&gt;&lt;Version&gt;</w:t>
    </w:r>
    <w:r w:rsidRPr="00C74E5F">
      <w:t>v02-00</w:t>
    </w:r>
    <w:r w:rsidRPr="00C74E5F">
      <w:rPr>
        <w:rStyle w:val="HideTWBExt"/>
      </w:rPr>
      <w:t>&lt;/Version&gt;</w:t>
    </w:r>
  </w:p>
  <w:p w:rsidR="00A02BD4" w:rsidRPr="00C74E5F" w:rsidRDefault="00A02BD4" w:rsidP="00F153EA">
    <w:pPr>
      <w:pStyle w:val="EPFooter2"/>
    </w:pPr>
    <w:r w:rsidRPr="00C74E5F">
      <w:t>EL</w:t>
    </w:r>
    <w:r w:rsidRPr="00C74E5F">
      <w:tab/>
    </w:r>
    <w:r w:rsidRPr="00C74E5F">
      <w:rPr>
        <w:b w:val="0"/>
        <w:i/>
        <w:color w:val="C0C0C0"/>
        <w:sz w:val="22"/>
      </w:rPr>
      <w:t>Ενωμένη στην πολυμορφία</w:t>
    </w:r>
    <w:r w:rsidRPr="00C74E5F">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4E5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4E5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4E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367" w:rsidRPr="00C74E5F" w:rsidRDefault="00A90367">
      <w:r w:rsidRPr="00C74E5F">
        <w:separator/>
      </w:r>
    </w:p>
  </w:footnote>
  <w:footnote w:type="continuationSeparator" w:id="0">
    <w:p w:rsidR="00A90367" w:rsidRPr="00C74E5F" w:rsidRDefault="00A90367">
      <w:r w:rsidRPr="00C74E5F">
        <w:continuationSeparator/>
      </w:r>
    </w:p>
  </w:footnote>
  <w:footnote w:id="1">
    <w:p w:rsidR="00A02BD4" w:rsidRPr="00C74E5F" w:rsidRDefault="00A02BD4" w:rsidP="00E676AB">
      <w:pPr>
        <w:pStyle w:val="FootnoteText"/>
        <w:spacing w:line="240" w:lineRule="auto"/>
        <w:ind w:left="567" w:hanging="567"/>
        <w:rPr>
          <w:sz w:val="24"/>
          <w:lang w:val="el-GR"/>
        </w:rPr>
      </w:pPr>
      <w:r w:rsidRPr="00C74E5F">
        <w:rPr>
          <w:rStyle w:val="FootnoteReference"/>
          <w:sz w:val="24"/>
          <w:lang w:val="el-GR"/>
        </w:rPr>
        <w:footnoteRef/>
      </w:r>
      <w:r w:rsidR="00C74E5F" w:rsidRPr="00C74E5F">
        <w:rPr>
          <w:sz w:val="24"/>
          <w:lang w:val="el-GR"/>
        </w:rPr>
        <w:t xml:space="preserve"> </w:t>
      </w:r>
      <w:r w:rsidR="00C74E5F" w:rsidRPr="00C74E5F">
        <w:rPr>
          <w:sz w:val="24"/>
          <w:lang w:val="el-GR"/>
        </w:rPr>
        <w:tab/>
      </w:r>
      <w:r w:rsidRPr="00C74E5F">
        <w:rPr>
          <w:sz w:val="24"/>
          <w:lang w:val="el-GR"/>
        </w:rPr>
        <w:t>ΕΕ C, C/2023/594, 27.10.2023.</w:t>
      </w:r>
    </w:p>
  </w:footnote>
  <w:footnote w:id="2">
    <w:p w:rsidR="00A02BD4" w:rsidRPr="00C74E5F" w:rsidRDefault="00A02BD4" w:rsidP="00E676AB">
      <w:pPr>
        <w:pStyle w:val="FootnoteText"/>
        <w:spacing w:line="240" w:lineRule="auto"/>
        <w:ind w:left="567" w:hanging="567"/>
        <w:rPr>
          <w:sz w:val="24"/>
          <w:lang w:val="el-GR"/>
        </w:rPr>
      </w:pPr>
      <w:r w:rsidRPr="00C74E5F">
        <w:rPr>
          <w:rStyle w:val="FootnoteReference"/>
          <w:sz w:val="24"/>
          <w:lang w:val="el-GR"/>
        </w:rPr>
        <w:footnoteRef/>
      </w:r>
      <w:r w:rsidR="00C74E5F" w:rsidRPr="00C74E5F">
        <w:rPr>
          <w:sz w:val="24"/>
          <w:lang w:val="el-GR"/>
        </w:rPr>
        <w:t xml:space="preserve"> </w:t>
      </w:r>
      <w:r w:rsidR="00C74E5F" w:rsidRPr="00C74E5F">
        <w:rPr>
          <w:sz w:val="24"/>
          <w:lang w:val="el-GR"/>
        </w:rPr>
        <w:tab/>
      </w:r>
      <w:r w:rsidRPr="00C74E5F">
        <w:rPr>
          <w:sz w:val="24"/>
          <w:lang w:val="el-GR"/>
        </w:rPr>
        <w:t>ΕΕ C</w:t>
      </w:r>
      <w:r w:rsidRPr="00C74E5F">
        <w:rPr>
          <w:color w:val="1F497D"/>
          <w:sz w:val="24"/>
          <w:lang w:val="el-GR"/>
        </w:rPr>
        <w:t>,</w:t>
      </w:r>
      <w:r w:rsidRPr="00C74E5F">
        <w:rPr>
          <w:sz w:val="24"/>
          <w:lang w:val="el-GR"/>
        </w:rPr>
        <w:t xml:space="preserve"> C/2023/112, 12.10.2023.</w:t>
      </w:r>
    </w:p>
  </w:footnote>
  <w:footnote w:id="3">
    <w:p w:rsidR="00A02BD4" w:rsidRPr="00C74E5F" w:rsidRDefault="00A02BD4" w:rsidP="00E676AB">
      <w:pPr>
        <w:pStyle w:val="FootnoteText"/>
        <w:spacing w:line="240" w:lineRule="auto"/>
        <w:ind w:left="567" w:hanging="567"/>
        <w:rPr>
          <w:sz w:val="24"/>
          <w:lang w:val="el-GR"/>
        </w:rPr>
      </w:pPr>
      <w:r w:rsidRPr="00C74E5F">
        <w:rPr>
          <w:rStyle w:val="FootnoteReference"/>
          <w:sz w:val="24"/>
          <w:lang w:val="el-GR"/>
        </w:rPr>
        <w:footnoteRef/>
      </w:r>
      <w:r w:rsidR="00C74E5F" w:rsidRPr="00C74E5F">
        <w:rPr>
          <w:sz w:val="24"/>
          <w:lang w:val="el-GR"/>
        </w:rPr>
        <w:t xml:space="preserve"> </w:t>
      </w:r>
      <w:r w:rsidR="00C74E5F" w:rsidRPr="00C74E5F">
        <w:rPr>
          <w:sz w:val="24"/>
          <w:lang w:val="el-GR"/>
        </w:rPr>
        <w:tab/>
      </w:r>
      <w:r w:rsidRPr="00C74E5F">
        <w:rPr>
          <w:sz w:val="24"/>
          <w:lang w:val="el-GR"/>
        </w:rPr>
        <w:t>ΕΕ L 193 της 30.7.2018, σ. 1.</w:t>
      </w:r>
    </w:p>
  </w:footnote>
  <w:footnote w:id="4">
    <w:p w:rsidR="00A02BD4" w:rsidRPr="00C74E5F" w:rsidRDefault="00A02BD4" w:rsidP="00E676AB">
      <w:pPr>
        <w:pStyle w:val="FootnoteText"/>
        <w:spacing w:line="240" w:lineRule="auto"/>
        <w:ind w:left="567" w:hanging="567"/>
        <w:rPr>
          <w:sz w:val="24"/>
          <w:lang w:val="el-GR"/>
        </w:rPr>
      </w:pPr>
      <w:r w:rsidRPr="00C74E5F">
        <w:rPr>
          <w:rStyle w:val="FootnoteReference"/>
          <w:sz w:val="24"/>
          <w:lang w:val="el-GR"/>
        </w:rPr>
        <w:footnoteRef/>
      </w:r>
      <w:r w:rsidR="00C74E5F" w:rsidRPr="00C74E5F">
        <w:rPr>
          <w:sz w:val="24"/>
          <w:lang w:val="el-GR"/>
        </w:rPr>
        <w:t xml:space="preserve"> </w:t>
      </w:r>
      <w:r w:rsidR="00C74E5F" w:rsidRPr="00C74E5F">
        <w:rPr>
          <w:sz w:val="24"/>
          <w:lang w:val="el-GR"/>
        </w:rPr>
        <w:tab/>
      </w:r>
      <w:r w:rsidRPr="00C74E5F">
        <w:rPr>
          <w:sz w:val="24"/>
          <w:lang w:val="el-GR"/>
        </w:rPr>
        <w:t>ΕΕ L 30 της 31.1.2019, σ. 90.</w:t>
      </w:r>
    </w:p>
  </w:footnote>
  <w:footnote w:id="5">
    <w:p w:rsidR="00A02BD4" w:rsidRPr="00C74E5F" w:rsidRDefault="00A02BD4" w:rsidP="00E676AB">
      <w:pPr>
        <w:pStyle w:val="FootnoteText"/>
        <w:spacing w:line="240" w:lineRule="auto"/>
        <w:ind w:left="567" w:hanging="567"/>
        <w:rPr>
          <w:sz w:val="24"/>
          <w:lang w:val="el-GR"/>
        </w:rPr>
      </w:pPr>
      <w:r w:rsidRPr="00C74E5F">
        <w:rPr>
          <w:rStyle w:val="FootnoteReference"/>
          <w:sz w:val="24"/>
          <w:lang w:val="el-GR"/>
        </w:rPr>
        <w:footnoteRef/>
      </w:r>
      <w:r w:rsidR="00C74E5F" w:rsidRPr="00C74E5F">
        <w:rPr>
          <w:sz w:val="24"/>
          <w:lang w:val="el-GR"/>
        </w:rPr>
        <w:t xml:space="preserve"> </w:t>
      </w:r>
      <w:r w:rsidR="00C74E5F" w:rsidRPr="00C74E5F">
        <w:rPr>
          <w:sz w:val="24"/>
          <w:lang w:val="el-GR"/>
        </w:rPr>
        <w:tab/>
      </w:r>
      <w:r w:rsidRPr="00C74E5F">
        <w:rPr>
          <w:sz w:val="24"/>
          <w:lang w:val="el-GR"/>
        </w:rPr>
        <w:t>ΕΕ L 122 της 10.5.2019, σ. 1.</w:t>
      </w:r>
    </w:p>
  </w:footnote>
  <w:footnote w:id="6">
    <w:p w:rsidR="00A02BD4" w:rsidRPr="00C74E5F" w:rsidRDefault="00A02BD4" w:rsidP="00E676AB">
      <w:pPr>
        <w:pStyle w:val="FootnoteText"/>
        <w:spacing w:line="240" w:lineRule="auto"/>
        <w:ind w:left="567" w:hanging="567"/>
        <w:rPr>
          <w:sz w:val="24"/>
          <w:lang w:val="el-GR"/>
        </w:rPr>
      </w:pPr>
      <w:r w:rsidRPr="00C74E5F">
        <w:rPr>
          <w:rStyle w:val="FootnoteReference"/>
          <w:sz w:val="24"/>
          <w:lang w:val="el-GR"/>
        </w:rPr>
        <w:footnoteRef/>
      </w:r>
      <w:r w:rsidR="00C74E5F" w:rsidRPr="00C74E5F">
        <w:rPr>
          <w:sz w:val="24"/>
          <w:lang w:val="el-GR"/>
        </w:rPr>
        <w:t xml:space="preserve"> </w:t>
      </w:r>
      <w:r w:rsidR="00C74E5F" w:rsidRPr="00C74E5F">
        <w:rPr>
          <w:sz w:val="24"/>
          <w:lang w:val="el-GR"/>
        </w:rPr>
        <w:tab/>
      </w:r>
      <w:r w:rsidRPr="00C74E5F">
        <w:rPr>
          <w:sz w:val="24"/>
          <w:lang w:val="el-GR"/>
        </w:rPr>
        <w:t>ΕΕ C, C/2023/594, 27.10.2023.</w:t>
      </w:r>
    </w:p>
  </w:footnote>
  <w:footnote w:id="7">
    <w:p w:rsidR="00A02BD4" w:rsidRPr="00C74E5F" w:rsidRDefault="00A02BD4" w:rsidP="00E676AB">
      <w:pPr>
        <w:pStyle w:val="FootnoteText"/>
        <w:spacing w:line="240" w:lineRule="auto"/>
        <w:ind w:left="567" w:hanging="567"/>
        <w:rPr>
          <w:sz w:val="24"/>
          <w:lang w:val="el-GR"/>
        </w:rPr>
      </w:pPr>
      <w:r w:rsidRPr="00C74E5F">
        <w:rPr>
          <w:rStyle w:val="FootnoteReference"/>
          <w:sz w:val="24"/>
          <w:lang w:val="el-GR"/>
        </w:rPr>
        <w:footnoteRef/>
      </w:r>
      <w:r w:rsidR="00C74E5F" w:rsidRPr="00C74E5F">
        <w:rPr>
          <w:sz w:val="24"/>
          <w:lang w:val="el-GR"/>
        </w:rPr>
        <w:t xml:space="preserve"> </w:t>
      </w:r>
      <w:r w:rsidR="00C74E5F" w:rsidRPr="00C74E5F">
        <w:rPr>
          <w:sz w:val="24"/>
          <w:lang w:val="el-GR"/>
        </w:rPr>
        <w:tab/>
      </w:r>
      <w:r w:rsidRPr="00C74E5F">
        <w:rPr>
          <w:sz w:val="24"/>
          <w:lang w:val="el-GR"/>
        </w:rPr>
        <w:t>ΕΕ C</w:t>
      </w:r>
      <w:r w:rsidRPr="00C74E5F">
        <w:rPr>
          <w:color w:val="1F497D"/>
          <w:sz w:val="24"/>
          <w:lang w:val="el-GR"/>
        </w:rPr>
        <w:t>,</w:t>
      </w:r>
      <w:r w:rsidRPr="00C74E5F">
        <w:rPr>
          <w:sz w:val="24"/>
          <w:lang w:val="el-GR"/>
        </w:rPr>
        <w:t xml:space="preserve"> C/2023/112, 12.10.2023.</w:t>
      </w:r>
    </w:p>
  </w:footnote>
  <w:footnote w:id="8">
    <w:p w:rsidR="00A02BD4" w:rsidRPr="00C74E5F" w:rsidRDefault="00A02BD4" w:rsidP="00E676AB">
      <w:pPr>
        <w:pStyle w:val="FootnoteText"/>
        <w:spacing w:line="240" w:lineRule="auto"/>
        <w:ind w:left="567" w:hanging="567"/>
        <w:rPr>
          <w:sz w:val="24"/>
          <w:lang w:val="el-GR"/>
        </w:rPr>
      </w:pPr>
      <w:r w:rsidRPr="00C74E5F">
        <w:rPr>
          <w:rStyle w:val="FootnoteReference"/>
          <w:sz w:val="24"/>
          <w:lang w:val="el-GR"/>
        </w:rPr>
        <w:footnoteRef/>
      </w:r>
      <w:r w:rsidR="00C74E5F" w:rsidRPr="00C74E5F">
        <w:rPr>
          <w:sz w:val="24"/>
          <w:lang w:val="el-GR"/>
        </w:rPr>
        <w:t xml:space="preserve"> </w:t>
      </w:r>
      <w:r w:rsidR="00C74E5F" w:rsidRPr="00C74E5F">
        <w:rPr>
          <w:sz w:val="24"/>
          <w:lang w:val="el-GR"/>
        </w:rPr>
        <w:tab/>
      </w:r>
      <w:r w:rsidRPr="00C74E5F">
        <w:rPr>
          <w:sz w:val="24"/>
          <w:lang w:val="el-GR"/>
        </w:rPr>
        <w:t>ΕΕ L 193 της 30.7.2018, σ. 1.</w:t>
      </w:r>
    </w:p>
  </w:footnote>
  <w:footnote w:id="9">
    <w:p w:rsidR="00A02BD4" w:rsidRPr="00C74E5F" w:rsidRDefault="00A02BD4" w:rsidP="00E676AB">
      <w:pPr>
        <w:pStyle w:val="FootnoteText"/>
        <w:spacing w:line="240" w:lineRule="auto"/>
        <w:ind w:left="567" w:hanging="567"/>
        <w:rPr>
          <w:sz w:val="24"/>
          <w:lang w:val="el-GR"/>
        </w:rPr>
      </w:pPr>
      <w:r w:rsidRPr="00C74E5F">
        <w:rPr>
          <w:rStyle w:val="FootnoteReference"/>
          <w:sz w:val="24"/>
          <w:lang w:val="el-GR"/>
        </w:rPr>
        <w:footnoteRef/>
      </w:r>
      <w:r w:rsidR="00C74E5F" w:rsidRPr="00C74E5F">
        <w:rPr>
          <w:sz w:val="24"/>
          <w:lang w:val="el-GR"/>
        </w:rPr>
        <w:t xml:space="preserve"> </w:t>
      </w:r>
      <w:r w:rsidR="00C74E5F" w:rsidRPr="00C74E5F">
        <w:rPr>
          <w:sz w:val="24"/>
          <w:lang w:val="el-GR"/>
        </w:rPr>
        <w:tab/>
      </w:r>
      <w:r w:rsidRPr="00C74E5F">
        <w:rPr>
          <w:sz w:val="24"/>
          <w:lang w:val="el-GR"/>
        </w:rPr>
        <w:t>ΕΕ L 30 της 31.1.2019, σ. 90.</w:t>
      </w:r>
    </w:p>
  </w:footnote>
  <w:footnote w:id="10">
    <w:p w:rsidR="00A02BD4" w:rsidRPr="00C74E5F" w:rsidRDefault="00A02BD4" w:rsidP="00E676AB">
      <w:pPr>
        <w:pStyle w:val="FootnoteText"/>
        <w:spacing w:line="240" w:lineRule="auto"/>
        <w:ind w:left="567" w:hanging="567"/>
        <w:rPr>
          <w:sz w:val="24"/>
          <w:lang w:val="el-GR"/>
        </w:rPr>
      </w:pPr>
      <w:r w:rsidRPr="00C74E5F">
        <w:rPr>
          <w:rStyle w:val="FootnoteReference"/>
          <w:sz w:val="24"/>
          <w:lang w:val="el-GR"/>
        </w:rPr>
        <w:footnoteRef/>
      </w:r>
      <w:r w:rsidR="00C74E5F" w:rsidRPr="00C74E5F">
        <w:rPr>
          <w:sz w:val="24"/>
          <w:lang w:val="el-GR"/>
        </w:rPr>
        <w:t xml:space="preserve"> </w:t>
      </w:r>
      <w:r w:rsidR="00C74E5F" w:rsidRPr="00C74E5F">
        <w:rPr>
          <w:sz w:val="24"/>
          <w:lang w:val="el-GR"/>
        </w:rPr>
        <w:tab/>
      </w:r>
      <w:r w:rsidRPr="00C74E5F">
        <w:rPr>
          <w:sz w:val="24"/>
          <w:lang w:val="el-GR"/>
        </w:rPr>
        <w:t>ΕΕ L 122 της 10.5.2019, σ. 1.</w:t>
      </w:r>
    </w:p>
  </w:footnote>
  <w:footnote w:id="11">
    <w:p w:rsidR="00A02BD4" w:rsidRPr="00C74E5F" w:rsidRDefault="00A02BD4" w:rsidP="00E676AB">
      <w:pPr>
        <w:pStyle w:val="FootnoteText"/>
        <w:spacing w:line="240" w:lineRule="auto"/>
        <w:ind w:left="567" w:hanging="567"/>
        <w:rPr>
          <w:sz w:val="24"/>
          <w:lang w:val="el-GR"/>
        </w:rPr>
      </w:pPr>
      <w:r w:rsidRPr="00C74E5F">
        <w:rPr>
          <w:rStyle w:val="FootnoteReference"/>
          <w:sz w:val="24"/>
          <w:lang w:val="el-GR"/>
        </w:rPr>
        <w:footnoteRef/>
      </w:r>
      <w:r w:rsidR="00C74E5F" w:rsidRPr="00C74E5F">
        <w:rPr>
          <w:sz w:val="24"/>
          <w:lang w:val="el-GR"/>
        </w:rPr>
        <w:t xml:space="preserve"> </w:t>
      </w:r>
      <w:r w:rsidR="00C74E5F" w:rsidRPr="00C74E5F">
        <w:rPr>
          <w:sz w:val="24"/>
          <w:lang w:val="el-GR"/>
        </w:rPr>
        <w:tab/>
      </w:r>
      <w:r w:rsidRPr="00C74E5F">
        <w:rPr>
          <w:sz w:val="24"/>
          <w:lang w:val="el-GR"/>
        </w:rPr>
        <w:t>ΕΕ C 73 της 28.2.2023, σ. 4.</w:t>
      </w:r>
    </w:p>
  </w:footnote>
  <w:footnote w:id="12">
    <w:p w:rsidR="00A02BD4" w:rsidRPr="00C74E5F" w:rsidRDefault="00A02BD4" w:rsidP="00E676AB">
      <w:pPr>
        <w:pStyle w:val="FootnoteText"/>
        <w:spacing w:line="240" w:lineRule="auto"/>
        <w:ind w:left="567" w:hanging="567"/>
        <w:rPr>
          <w:sz w:val="24"/>
          <w:lang w:val="el-GR"/>
        </w:rPr>
      </w:pPr>
      <w:r w:rsidRPr="00C74E5F">
        <w:rPr>
          <w:rStyle w:val="FootnoteReference"/>
          <w:sz w:val="24"/>
          <w:lang w:val="el-GR"/>
        </w:rPr>
        <w:footnoteRef/>
      </w:r>
      <w:r w:rsidR="00C74E5F" w:rsidRPr="00C74E5F">
        <w:rPr>
          <w:sz w:val="24"/>
          <w:lang w:val="el-GR"/>
        </w:rPr>
        <w:t xml:space="preserve"> </w:t>
      </w:r>
      <w:r w:rsidR="00C74E5F" w:rsidRPr="00C74E5F">
        <w:rPr>
          <w:sz w:val="24"/>
          <w:lang w:val="el-GR"/>
        </w:rPr>
        <w:tab/>
      </w:r>
      <w:r w:rsidRPr="00C74E5F">
        <w:rPr>
          <w:sz w:val="24"/>
          <w:lang w:val="el-GR"/>
        </w:rPr>
        <w:t xml:space="preserve">Κείμενα που εγκρίθηκαν, </w:t>
      </w:r>
      <w:r w:rsidRPr="00C74E5F">
        <w:rPr>
          <w:sz w:val="24"/>
          <w:lang w:val="el-GR"/>
        </w:rPr>
        <w:t>P9_TA(2024)0</w:t>
      </w:r>
      <w:r w:rsidR="00E676AB">
        <w:rPr>
          <w:sz w:val="24"/>
          <w:lang w:val="el-GR"/>
        </w:rPr>
        <w:t>280</w:t>
      </w:r>
      <w:bookmarkStart w:id="10" w:name="_GoBack"/>
      <w:bookmarkEnd w:id="10"/>
      <w:r w:rsidRPr="00C74E5F">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4E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4E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4E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0044A11"/>
    <w:multiLevelType w:val="hybridMultilevel"/>
    <w:tmpl w:val="677A0D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79917D2"/>
    <w:multiLevelType w:val="hybridMultilevel"/>
    <w:tmpl w:val="3E6C45EC"/>
    <w:lvl w:ilvl="0" w:tplc="E884CA5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EL"/>
    <w:docVar w:name="dvnumam" w:val="0"/>
    <w:docVar w:name="dvpe" w:val="753.509"/>
    <w:docVar w:name="dvrapporteur" w:val="Εισηγητής: "/>
    <w:docVar w:name="dvtitre" w:val="Απόφαση του Ευρωπαϊκού Κοινοβουλίου σχετικά με την απαλλαγή όσον αφορά την εκτέλεση του προϋπολογισμού του Ευρωπαϊκού Κέντρου για την Ανάπτυξη της Επαγγελματικής Κατάρτισης (Cedefop) για το οικονομικό έτος 2022(2023/2143(DEC))"/>
  </w:docVars>
  <w:rsids>
    <w:rsidRoot w:val="00A9036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01A3"/>
    <w:rsid w:val="004867E3"/>
    <w:rsid w:val="00494A28"/>
    <w:rsid w:val="004C0004"/>
    <w:rsid w:val="004C5D52"/>
    <w:rsid w:val="0050519A"/>
    <w:rsid w:val="005072A1"/>
    <w:rsid w:val="00514517"/>
    <w:rsid w:val="00545827"/>
    <w:rsid w:val="00560270"/>
    <w:rsid w:val="005C2568"/>
    <w:rsid w:val="006037C0"/>
    <w:rsid w:val="006631B6"/>
    <w:rsid w:val="00680577"/>
    <w:rsid w:val="006F0CDA"/>
    <w:rsid w:val="006F74FA"/>
    <w:rsid w:val="00731ADD"/>
    <w:rsid w:val="00734777"/>
    <w:rsid w:val="00747932"/>
    <w:rsid w:val="00751A4A"/>
    <w:rsid w:val="00756632"/>
    <w:rsid w:val="00762C74"/>
    <w:rsid w:val="00786EC0"/>
    <w:rsid w:val="007D1690"/>
    <w:rsid w:val="007E22AD"/>
    <w:rsid w:val="00817416"/>
    <w:rsid w:val="00820247"/>
    <w:rsid w:val="00842779"/>
    <w:rsid w:val="00865F67"/>
    <w:rsid w:val="00881A7B"/>
    <w:rsid w:val="008840E5"/>
    <w:rsid w:val="00887B3E"/>
    <w:rsid w:val="008C2AC6"/>
    <w:rsid w:val="00930C23"/>
    <w:rsid w:val="0093193B"/>
    <w:rsid w:val="009509D8"/>
    <w:rsid w:val="00950B64"/>
    <w:rsid w:val="00981893"/>
    <w:rsid w:val="00A02BD4"/>
    <w:rsid w:val="00A1687D"/>
    <w:rsid w:val="00A43E52"/>
    <w:rsid w:val="00A4678D"/>
    <w:rsid w:val="00A778C7"/>
    <w:rsid w:val="00A90367"/>
    <w:rsid w:val="00AB441E"/>
    <w:rsid w:val="00AB6293"/>
    <w:rsid w:val="00AE0928"/>
    <w:rsid w:val="00AF3B82"/>
    <w:rsid w:val="00B12E95"/>
    <w:rsid w:val="00B22876"/>
    <w:rsid w:val="00B558F0"/>
    <w:rsid w:val="00BD48FE"/>
    <w:rsid w:val="00BD7BD8"/>
    <w:rsid w:val="00BE6ADC"/>
    <w:rsid w:val="00C05BFE"/>
    <w:rsid w:val="00C23CD4"/>
    <w:rsid w:val="00C61C0C"/>
    <w:rsid w:val="00C74E5F"/>
    <w:rsid w:val="00C941CB"/>
    <w:rsid w:val="00CC2357"/>
    <w:rsid w:val="00CC7D1D"/>
    <w:rsid w:val="00CF071A"/>
    <w:rsid w:val="00D058B8"/>
    <w:rsid w:val="00D56C11"/>
    <w:rsid w:val="00D834A0"/>
    <w:rsid w:val="00D872DF"/>
    <w:rsid w:val="00D91E21"/>
    <w:rsid w:val="00DA7FCD"/>
    <w:rsid w:val="00E22832"/>
    <w:rsid w:val="00E365E1"/>
    <w:rsid w:val="00E60205"/>
    <w:rsid w:val="00E676A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A4F8A8"/>
  <w15:chartTrackingRefBased/>
  <w15:docId w15:val="{A8284F08-2217-4161-93E1-4FCB6869B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02BD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02BD4"/>
    <w:pPr>
      <w:spacing w:before="480" w:after="240"/>
    </w:pPr>
  </w:style>
  <w:style w:type="paragraph" w:customStyle="1" w:styleId="PageHeading">
    <w:name w:val="PageHeading"/>
    <w:basedOn w:val="Normal"/>
    <w:rsid w:val="00A02BD4"/>
    <w:pPr>
      <w:keepNext/>
      <w:spacing w:after="480"/>
      <w:jc w:val="center"/>
    </w:pPr>
    <w:rPr>
      <w:rFonts w:ascii="Arial" w:hAnsi="Arial" w:cs="Arial"/>
      <w:b/>
    </w:rPr>
  </w:style>
  <w:style w:type="paragraph" w:customStyle="1" w:styleId="NormalBold">
    <w:name w:val="NormalBold"/>
    <w:basedOn w:val="Normal"/>
    <w:rsid w:val="00A02BD4"/>
    <w:rPr>
      <w:b/>
    </w:rPr>
  </w:style>
  <w:style w:type="paragraph" w:customStyle="1" w:styleId="NormalHanging12a">
    <w:name w:val="NormalHanging12a"/>
    <w:basedOn w:val="Normal"/>
    <w:link w:val="NormalHanging12aChar"/>
    <w:rsid w:val="00A02BD4"/>
    <w:pPr>
      <w:spacing w:after="240"/>
      <w:ind w:left="567" w:hanging="567"/>
    </w:pPr>
  </w:style>
  <w:style w:type="paragraph" w:customStyle="1" w:styleId="NormalCenter12a">
    <w:name w:val="NormalCenter12a"/>
    <w:basedOn w:val="Normal"/>
    <w:rsid w:val="00A02BD4"/>
    <w:pPr>
      <w:spacing w:after="240"/>
      <w:jc w:val="center"/>
    </w:pPr>
  </w:style>
  <w:style w:type="paragraph" w:styleId="Header">
    <w:name w:val="header"/>
    <w:basedOn w:val="Normal"/>
    <w:link w:val="HeaderChar"/>
    <w:rsid w:val="00A02BD4"/>
    <w:pPr>
      <w:tabs>
        <w:tab w:val="center" w:pos="4513"/>
        <w:tab w:val="right" w:pos="9026"/>
      </w:tabs>
    </w:pPr>
  </w:style>
  <w:style w:type="character" w:customStyle="1" w:styleId="HeaderChar">
    <w:name w:val="Header Char"/>
    <w:basedOn w:val="DefaultParagraphFont"/>
    <w:link w:val="Header"/>
    <w:rsid w:val="00A02BD4"/>
    <w:rPr>
      <w:sz w:val="24"/>
      <w:lang w:val="el-GR"/>
    </w:rPr>
  </w:style>
  <w:style w:type="paragraph" w:customStyle="1" w:styleId="EPFooter">
    <w:name w:val="EPFooter"/>
    <w:basedOn w:val="Normal"/>
    <w:rsid w:val="00A02BD4"/>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A02BD4"/>
    <w:rPr>
      <w:sz w:val="24"/>
    </w:rPr>
  </w:style>
  <w:style w:type="paragraph" w:customStyle="1" w:styleId="Normal12Hanging">
    <w:name w:val="Normal12Hanging"/>
    <w:basedOn w:val="Normal"/>
    <w:link w:val="Normal12HangingChar"/>
    <w:rsid w:val="00A02BD4"/>
    <w:pPr>
      <w:spacing w:after="240"/>
      <w:ind w:left="567" w:hanging="567"/>
    </w:pPr>
    <w:rPr>
      <w:lang w:val="en-GB"/>
    </w:rPr>
  </w:style>
  <w:style w:type="paragraph" w:customStyle="1" w:styleId="Normal12a">
    <w:name w:val="Normal12a"/>
    <w:basedOn w:val="Normal"/>
    <w:rsid w:val="00A02BD4"/>
    <w:pPr>
      <w:spacing w:after="240"/>
    </w:pPr>
  </w:style>
  <w:style w:type="paragraph" w:customStyle="1" w:styleId="PageHeadingNotTOC">
    <w:name w:val="PageHeadingNotTOC"/>
    <w:basedOn w:val="Normal"/>
    <w:rsid w:val="00A02BD4"/>
    <w:pPr>
      <w:keepNext/>
      <w:spacing w:after="480"/>
      <w:jc w:val="center"/>
    </w:pPr>
    <w:rPr>
      <w:rFonts w:ascii="Arial" w:hAnsi="Arial" w:cs="Arial"/>
      <w:b/>
    </w:rPr>
  </w:style>
  <w:style w:type="character" w:customStyle="1" w:styleId="NormalHanging12aChar">
    <w:name w:val="NormalHanging12a Char"/>
    <w:basedOn w:val="DefaultParagraphFont"/>
    <w:link w:val="NormalHanging12a"/>
    <w:locked/>
    <w:rsid w:val="00A02BD4"/>
    <w:rPr>
      <w:sz w:val="24"/>
      <w:lang w:val="el-GR"/>
    </w:rPr>
  </w:style>
  <w:style w:type="paragraph" w:customStyle="1" w:styleId="RollCallSymbols14pt">
    <w:name w:val="RollCallSymbols14pt"/>
    <w:basedOn w:val="Normal"/>
    <w:rsid w:val="00A02BD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02BD4"/>
    <w:pPr>
      <w:tabs>
        <w:tab w:val="center" w:pos="284"/>
        <w:tab w:val="left" w:pos="426"/>
      </w:tabs>
    </w:pPr>
    <w:rPr>
      <w:snapToGrid w:val="0"/>
      <w:lang w:eastAsia="en-US"/>
    </w:rPr>
  </w:style>
  <w:style w:type="paragraph" w:customStyle="1" w:styleId="RollCallVotes">
    <w:name w:val="RollCallVotes"/>
    <w:basedOn w:val="Normal"/>
    <w:rsid w:val="00A02BD4"/>
    <w:pPr>
      <w:spacing w:before="120" w:after="120"/>
      <w:jc w:val="center"/>
    </w:pPr>
    <w:rPr>
      <w:b/>
      <w:bCs/>
      <w:snapToGrid w:val="0"/>
      <w:sz w:val="16"/>
      <w:lang w:eastAsia="en-US"/>
    </w:rPr>
  </w:style>
  <w:style w:type="paragraph" w:customStyle="1" w:styleId="RollCallTable">
    <w:name w:val="RollCallTable"/>
    <w:basedOn w:val="Normal"/>
    <w:rsid w:val="00A02BD4"/>
    <w:pPr>
      <w:spacing w:before="120" w:after="120"/>
    </w:pPr>
    <w:rPr>
      <w:snapToGrid w:val="0"/>
      <w:sz w:val="16"/>
      <w:lang w:eastAsia="en-US"/>
    </w:rPr>
  </w:style>
  <w:style w:type="paragraph" w:customStyle="1" w:styleId="Normal24a">
    <w:name w:val="Normal24a"/>
    <w:basedOn w:val="Normal"/>
    <w:rsid w:val="00A02BD4"/>
    <w:pPr>
      <w:spacing w:after="480"/>
    </w:pPr>
  </w:style>
  <w:style w:type="paragraph" w:styleId="Footer">
    <w:name w:val="footer"/>
    <w:basedOn w:val="Normal"/>
    <w:link w:val="FooterChar"/>
    <w:rsid w:val="006F0CDA"/>
    <w:pPr>
      <w:tabs>
        <w:tab w:val="center" w:pos="4513"/>
        <w:tab w:val="right" w:pos="9026"/>
      </w:tabs>
    </w:pPr>
  </w:style>
  <w:style w:type="character" w:customStyle="1" w:styleId="FooterChar">
    <w:name w:val="Footer Char"/>
    <w:basedOn w:val="DefaultParagraphFont"/>
    <w:link w:val="Footer"/>
    <w:rsid w:val="006F0CDA"/>
    <w:rPr>
      <w:sz w:val="24"/>
      <w:lang w:val="el-GR"/>
    </w:rPr>
  </w:style>
  <w:style w:type="paragraph" w:styleId="BalloonText">
    <w:name w:val="Balloon Text"/>
    <w:basedOn w:val="Normal"/>
    <w:link w:val="BalloonTextChar"/>
    <w:rsid w:val="00E60205"/>
    <w:rPr>
      <w:rFonts w:ascii="Segoe UI" w:hAnsi="Segoe UI" w:cs="Segoe UI"/>
      <w:sz w:val="18"/>
      <w:szCs w:val="18"/>
    </w:rPr>
  </w:style>
  <w:style w:type="character" w:customStyle="1" w:styleId="BalloonTextChar">
    <w:name w:val="Balloon Text Char"/>
    <w:basedOn w:val="DefaultParagraphFont"/>
    <w:link w:val="BalloonText"/>
    <w:rsid w:val="00E60205"/>
    <w:rPr>
      <w:rFonts w:ascii="Segoe UI" w:hAnsi="Segoe UI" w:cs="Segoe UI"/>
      <w:sz w:val="18"/>
      <w:szCs w:val="18"/>
      <w:lang w:val="el-GR"/>
    </w:rPr>
  </w:style>
  <w:style w:type="paragraph" w:styleId="ListParagraph">
    <w:name w:val="List Paragraph"/>
    <w:basedOn w:val="Normal"/>
    <w:uiPriority w:val="34"/>
    <w:qFormat/>
    <w:rsid w:val="00E602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9DAD0-F0BA-4046-8962-11822E5F1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4604</Words>
  <Characters>27453</Characters>
  <Application>Microsoft Office Word</Application>
  <DocSecurity>0</DocSecurity>
  <Lines>228</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2024-04-11T11:40:00Z</dcterms:created>
  <dcterms:modified xsi:type="dcterms:W3CDTF">2024-04-11T11:40:00Z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A9-0080/2024</vt:lpwstr>
  </property>
  <property fmtid="{D5CDD505-2E9C-101B-9397-08002B2CF9AE}" pid="4" name="&lt;Type&gt;">
    <vt:lpwstr>RR</vt:lpwstr>
  </property>
</Properties>
</file>