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4974" w:rsidTr="0010095E">
        <w:trPr>
          <w:trHeight w:hRule="exact" w:val="1418"/>
        </w:trPr>
        <w:tc>
          <w:tcPr>
            <w:tcW w:w="6804" w:type="dxa"/>
            <w:shd w:val="clear" w:color="auto" w:fill="auto"/>
            <w:vAlign w:val="center"/>
          </w:tcPr>
          <w:p w:rsidR="00751A4A" w:rsidRPr="00344974" w:rsidRDefault="00123B5A" w:rsidP="0010095E">
            <w:pPr>
              <w:pStyle w:val="EPName"/>
            </w:pPr>
            <w:r w:rsidRPr="00344974">
              <w:t>Europski parlament</w:t>
            </w:r>
          </w:p>
          <w:p w:rsidR="00751A4A" w:rsidRPr="00344974" w:rsidRDefault="00817416" w:rsidP="00756632">
            <w:pPr>
              <w:pStyle w:val="EPTerm"/>
              <w:rPr>
                <w:rStyle w:val="HideTWBExt"/>
                <w:noProof w:val="0"/>
                <w:vanish w:val="0"/>
                <w:color w:val="auto"/>
              </w:rPr>
            </w:pPr>
            <w:r w:rsidRPr="00344974">
              <w:t>2019-2024</w:t>
            </w:r>
          </w:p>
        </w:tc>
        <w:tc>
          <w:tcPr>
            <w:tcW w:w="2268" w:type="dxa"/>
            <w:shd w:val="clear" w:color="auto" w:fill="auto"/>
          </w:tcPr>
          <w:p w:rsidR="00751A4A" w:rsidRPr="00344974" w:rsidRDefault="00187494" w:rsidP="0010095E">
            <w:pPr>
              <w:pStyle w:val="EPLogo"/>
            </w:pPr>
            <w:r w:rsidRPr="00344974">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44974" w:rsidRDefault="00D058B8" w:rsidP="004C5D52">
      <w:pPr>
        <w:pStyle w:val="LineTop"/>
      </w:pPr>
    </w:p>
    <w:p w:rsidR="00680577" w:rsidRPr="00344974" w:rsidRDefault="00123B5A" w:rsidP="00680577">
      <w:pPr>
        <w:pStyle w:val="EPBodyTA1"/>
      </w:pPr>
      <w:r w:rsidRPr="00344974">
        <w:t>USVOJENI TEKSTOVI</w:t>
      </w:r>
    </w:p>
    <w:p w:rsidR="00D058B8" w:rsidRPr="00344974" w:rsidRDefault="00D058B8" w:rsidP="00D058B8">
      <w:pPr>
        <w:pStyle w:val="LineBottom"/>
      </w:pPr>
    </w:p>
    <w:p w:rsidR="00123B5A" w:rsidRPr="00344974" w:rsidRDefault="00123B5A" w:rsidP="00123B5A">
      <w:pPr>
        <w:pStyle w:val="ATHeading1"/>
      </w:pPr>
      <w:bookmarkStart w:id="0" w:name="TANumber"/>
      <w:r w:rsidRPr="00344974">
        <w:t>P9_TA(2024)0</w:t>
      </w:r>
      <w:bookmarkEnd w:id="0"/>
      <w:r w:rsidR="00601B8B">
        <w:t>238</w:t>
      </w:r>
    </w:p>
    <w:p w:rsidR="00123B5A" w:rsidRPr="00344974" w:rsidRDefault="00123B5A" w:rsidP="00123B5A">
      <w:pPr>
        <w:pStyle w:val="ATHeading2"/>
      </w:pPr>
      <w:bookmarkStart w:id="1" w:name="title"/>
      <w:r w:rsidRPr="00344974">
        <w:t>Razrješnica za 2022.: Europski centar za razvoj strukovnog osposobljavanja (</w:t>
      </w:r>
      <w:proofErr w:type="spellStart"/>
      <w:r w:rsidRPr="00344974">
        <w:t>Cedefop</w:t>
      </w:r>
      <w:proofErr w:type="spellEnd"/>
      <w:r w:rsidRPr="00344974">
        <w:t>)</w:t>
      </w:r>
      <w:bookmarkEnd w:id="1"/>
    </w:p>
    <w:p w:rsidR="00123B5A" w:rsidRPr="00344974" w:rsidRDefault="00123B5A" w:rsidP="00123B5A">
      <w:pPr>
        <w:rPr>
          <w:i/>
          <w:vanish/>
        </w:rPr>
      </w:pPr>
      <w:r w:rsidRPr="00344974">
        <w:rPr>
          <w:i/>
        </w:rPr>
        <w:fldChar w:fldCharType="begin"/>
      </w:r>
      <w:r w:rsidRPr="00344974">
        <w:rPr>
          <w:i/>
        </w:rPr>
        <w:instrText xml:space="preserve"> TC"(</w:instrText>
      </w:r>
      <w:bookmarkStart w:id="2" w:name="DocNumber"/>
      <w:r w:rsidRPr="00344974">
        <w:rPr>
          <w:i/>
        </w:rPr>
        <w:instrText>A9-0080/2024</w:instrText>
      </w:r>
      <w:bookmarkEnd w:id="2"/>
      <w:r w:rsidRPr="00344974">
        <w:rPr>
          <w:i/>
        </w:rPr>
        <w:instrText xml:space="preserve"> - Izvjestitelj: Petri </w:instrText>
      </w:r>
      <w:proofErr w:type="spellStart"/>
      <w:r w:rsidRPr="00344974">
        <w:rPr>
          <w:i/>
        </w:rPr>
        <w:instrText>Sarvamaa</w:instrText>
      </w:r>
      <w:proofErr w:type="spellEnd"/>
      <w:r w:rsidRPr="00344974">
        <w:rPr>
          <w:i/>
        </w:rPr>
        <w:instrText xml:space="preserve">)"\l3 \n&gt; \* MERGEFORMAT </w:instrText>
      </w:r>
      <w:r w:rsidRPr="00344974">
        <w:rPr>
          <w:i/>
        </w:rPr>
        <w:fldChar w:fldCharType="end"/>
      </w:r>
    </w:p>
    <w:p w:rsidR="00123B5A" w:rsidRPr="00344974" w:rsidRDefault="00123B5A" w:rsidP="00123B5A">
      <w:pPr>
        <w:rPr>
          <w:vanish/>
        </w:rPr>
      </w:pPr>
      <w:bookmarkStart w:id="3" w:name="Commission"/>
      <w:r w:rsidRPr="00344974">
        <w:rPr>
          <w:vanish/>
        </w:rPr>
        <w:t>Odbor za proračunski nadzor</w:t>
      </w:r>
      <w:bookmarkEnd w:id="3"/>
    </w:p>
    <w:p w:rsidR="00123B5A" w:rsidRPr="00344974" w:rsidRDefault="00123B5A" w:rsidP="00123B5A">
      <w:pPr>
        <w:rPr>
          <w:vanish/>
        </w:rPr>
      </w:pPr>
      <w:bookmarkStart w:id="4" w:name="PE"/>
      <w:r w:rsidRPr="00344974">
        <w:rPr>
          <w:vanish/>
        </w:rPr>
        <w:t>PE753.509</w:t>
      </w:r>
      <w:bookmarkEnd w:id="4"/>
    </w:p>
    <w:p w:rsidR="00123B5A" w:rsidRPr="00344974" w:rsidRDefault="008D436F" w:rsidP="00123B5A">
      <w:pPr>
        <w:pStyle w:val="ATHeading3"/>
      </w:pPr>
      <w:bookmarkStart w:id="5" w:name="Sujet"/>
      <w:r>
        <w:t xml:space="preserve">1. </w:t>
      </w:r>
      <w:r w:rsidR="00123B5A" w:rsidRPr="00344974">
        <w:t>Odl</w:t>
      </w:r>
      <w:r>
        <w:t>uka Europskog parlamenta od 11. travnja</w:t>
      </w:r>
      <w:r w:rsidR="00123B5A" w:rsidRPr="00344974">
        <w:t xml:space="preserve"> 2024. o razrješnici za izvršenje proračuna Europskog centra za razvoj strukovnog osposobljavanja (</w:t>
      </w:r>
      <w:proofErr w:type="spellStart"/>
      <w:r w:rsidR="00123B5A" w:rsidRPr="00344974">
        <w:t>Cedefop</w:t>
      </w:r>
      <w:proofErr w:type="spellEnd"/>
      <w:r w:rsidR="00123B5A" w:rsidRPr="00344974">
        <w:t>) za financijsku godinu 2022.</w:t>
      </w:r>
      <w:bookmarkEnd w:id="5"/>
      <w:r w:rsidR="00123B5A" w:rsidRPr="00344974">
        <w:t xml:space="preserve"> </w:t>
      </w:r>
      <w:bookmarkStart w:id="6" w:name="References"/>
      <w:r w:rsidR="00123B5A" w:rsidRPr="00344974">
        <w:t>(2023/2143(DEC))</w:t>
      </w:r>
      <w:bookmarkEnd w:id="6"/>
    </w:p>
    <w:p w:rsidR="004845FF" w:rsidRPr="00344974" w:rsidRDefault="004845FF" w:rsidP="004845FF">
      <w:pPr>
        <w:pStyle w:val="EPComma"/>
      </w:pPr>
      <w:bookmarkStart w:id="7" w:name="TextBodyBegin"/>
      <w:bookmarkEnd w:id="7"/>
      <w:r w:rsidRPr="00344974">
        <w:rPr>
          <w:i/>
        </w:rPr>
        <w:t>Europski parlament</w:t>
      </w:r>
      <w:r w:rsidRPr="00344974">
        <w:t>,</w:t>
      </w:r>
    </w:p>
    <w:p w:rsidR="004845FF" w:rsidRPr="00344974" w:rsidRDefault="004845FF" w:rsidP="004845FF">
      <w:pPr>
        <w:pStyle w:val="NormalHanging12a"/>
      </w:pPr>
      <w:r w:rsidRPr="00344974">
        <w:t>–</w:t>
      </w:r>
      <w:r w:rsidRPr="00344974">
        <w:tab/>
        <w:t>uzimajući u obzir završnu godišnju računovodstvenu dokumentaciju Europskog centra za razvoj strukovnog osposobljavanja (</w:t>
      </w:r>
      <w:proofErr w:type="spellStart"/>
      <w:r w:rsidRPr="00344974">
        <w:t>Cedefop</w:t>
      </w:r>
      <w:proofErr w:type="spellEnd"/>
      <w:r w:rsidRPr="00344974">
        <w:t>) za financijsku godinu 2022.,</w:t>
      </w:r>
    </w:p>
    <w:p w:rsidR="004845FF" w:rsidRPr="00344974" w:rsidRDefault="004845FF" w:rsidP="004845FF">
      <w:pPr>
        <w:pStyle w:val="NormalHanging12a"/>
      </w:pPr>
      <w:r w:rsidRPr="00344974">
        <w:t>–</w:t>
      </w:r>
      <w:r w:rsidRPr="00344974">
        <w:tab/>
        <w:t>uzimajući u obzir godišnje izvješće Revizorskog suda o agencijama EU-a za financijsku godinu 2022., kojemu su priloženi odgovori agencija</w:t>
      </w:r>
      <w:r w:rsidRPr="00344974">
        <w:rPr>
          <w:rStyle w:val="FootnoteReference"/>
        </w:rPr>
        <w:footnoteReference w:id="1"/>
      </w:r>
      <w:r w:rsidRPr="00344974">
        <w:t>,</w:t>
      </w:r>
    </w:p>
    <w:p w:rsidR="004845FF" w:rsidRPr="00344974" w:rsidRDefault="004845FF" w:rsidP="004845FF">
      <w:pPr>
        <w:pStyle w:val="NormalHanging12a"/>
      </w:pPr>
      <w:r w:rsidRPr="00344974">
        <w:t>–</w:t>
      </w:r>
      <w:r w:rsidRPr="00344974">
        <w:tab/>
        <w:t>uzimajući u obzir izjavu o jamstvu</w:t>
      </w:r>
      <w:r w:rsidRPr="00344974">
        <w:rPr>
          <w:rStyle w:val="FootnoteReference"/>
        </w:rPr>
        <w:footnoteReference w:id="2"/>
      </w:r>
      <w:r w:rsidRPr="00344974">
        <w:t xml:space="preserve"> u pogledu pouzdanosti računovodstvene dokumentacije te zakonitosti i pravilnosti temeljnih transakcija koju je u skladu s člankom 287. Ugovora o funkcioniranju Europske unije Revizorski sud podnio za financijsku godinu 2022.,</w:t>
      </w:r>
    </w:p>
    <w:p w:rsidR="004845FF" w:rsidRPr="00344974" w:rsidRDefault="004845FF" w:rsidP="004845FF">
      <w:pPr>
        <w:pStyle w:val="NormalHanging12a"/>
      </w:pPr>
      <w:r w:rsidRPr="00344974">
        <w:t>–</w:t>
      </w:r>
      <w:r w:rsidRPr="00344974">
        <w:tab/>
        <w:t>uzimajući u obzir preporuku Vijeća od 22. veljače 2024.o razrješnici koju Centar treba dobiti za izvršenje proračuna za</w:t>
      </w:r>
      <w:r w:rsidR="00195285">
        <w:t xml:space="preserve"> financijsku godinu 2022. (06180/2024 – C9</w:t>
      </w:r>
      <w:r w:rsidR="00195285">
        <w:noBreakHyphen/>
        <w:t>0081</w:t>
      </w:r>
      <w:r w:rsidRPr="00344974">
        <w:t>/2024),</w:t>
      </w:r>
    </w:p>
    <w:p w:rsidR="004845FF" w:rsidRPr="00344974" w:rsidRDefault="004845FF" w:rsidP="004845FF">
      <w:pPr>
        <w:pStyle w:val="NormalHanging12a"/>
      </w:pPr>
      <w:r w:rsidRPr="00344974">
        <w:t>–</w:t>
      </w:r>
      <w:r w:rsidRPr="00344974">
        <w:tab/>
        <w:t>uzimajući u obzir članak 319. Ugovora o funkcioniranju Europske unije,</w:t>
      </w:r>
    </w:p>
    <w:p w:rsidR="004845FF" w:rsidRPr="00344974" w:rsidRDefault="004845FF" w:rsidP="004845FF">
      <w:pPr>
        <w:pStyle w:val="NormalHanging12a"/>
      </w:pPr>
      <w:r w:rsidRPr="00344974">
        <w:t>–</w:t>
      </w:r>
      <w:r w:rsidRPr="00344974">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344974">
        <w:rPr>
          <w:rStyle w:val="FootnoteReference"/>
        </w:rPr>
        <w:footnoteReference w:id="3"/>
      </w:r>
      <w:r w:rsidRPr="00344974">
        <w:t>, a posebno njezin članak 70.,</w:t>
      </w:r>
    </w:p>
    <w:p w:rsidR="004845FF" w:rsidRPr="00344974" w:rsidRDefault="004845FF" w:rsidP="004845FF">
      <w:pPr>
        <w:pStyle w:val="NormalHanging12a"/>
      </w:pPr>
      <w:r w:rsidRPr="00344974">
        <w:lastRenderedPageBreak/>
        <w:t>–</w:t>
      </w:r>
      <w:r w:rsidRPr="00344974">
        <w:tab/>
        <w:t>uzimajući u obzir Uredbu (EU) 2019/128 Europskog parlamenta i Vijeća od 16. siječnja 2019. o osnivanju Europskog centra za razvoj strukovnog osposobljavanja (</w:t>
      </w:r>
      <w:proofErr w:type="spellStart"/>
      <w:r w:rsidRPr="00344974">
        <w:t>Cedefop</w:t>
      </w:r>
      <w:proofErr w:type="spellEnd"/>
      <w:r w:rsidRPr="00344974">
        <w:t>) te stavljanju izvan snage Uredbe Vijeća (EEZ) br. 337/75</w:t>
      </w:r>
      <w:r w:rsidRPr="00344974">
        <w:rPr>
          <w:rStyle w:val="FootnoteReference"/>
        </w:rPr>
        <w:footnoteReference w:id="4"/>
      </w:r>
      <w:r w:rsidRPr="00344974">
        <w:t>, a posebno njezin članak 15.,</w:t>
      </w:r>
    </w:p>
    <w:p w:rsidR="004845FF" w:rsidRPr="00344974" w:rsidRDefault="004845FF" w:rsidP="004845FF">
      <w:pPr>
        <w:pStyle w:val="NormalHanging12a"/>
      </w:pPr>
      <w:r w:rsidRPr="00344974">
        <w:t>–</w:t>
      </w:r>
      <w:r w:rsidRPr="00344974">
        <w:tab/>
        <w:t xml:space="preserve">uzimajući u obzir Delegiranu uredbu Komisije (EU) 2019/715 od 18. prosinca 2018. o okvirnoj financijskoj uredbi za tijela osnovana na temelju Ugovora o funkcioniranju Europske unije i Ugovora o </w:t>
      </w:r>
      <w:proofErr w:type="spellStart"/>
      <w:r w:rsidRPr="00344974">
        <w:t>Euratomu</w:t>
      </w:r>
      <w:proofErr w:type="spellEnd"/>
      <w:r w:rsidRPr="00344974">
        <w:t xml:space="preserve"> na koja se upućuje u članku 70. Uredbe (EU, Euratom) 2018/1046 Europskog parlamenta i Vijeća</w:t>
      </w:r>
      <w:r w:rsidRPr="00344974">
        <w:rPr>
          <w:rStyle w:val="FootnoteReference"/>
        </w:rPr>
        <w:footnoteReference w:id="5"/>
      </w:r>
      <w:r w:rsidRPr="00344974">
        <w:t>, a posebno njezin članak 105.,</w:t>
      </w:r>
    </w:p>
    <w:p w:rsidR="004845FF" w:rsidRPr="00344974" w:rsidRDefault="004845FF" w:rsidP="004845FF">
      <w:pPr>
        <w:pStyle w:val="NormalHanging12a"/>
      </w:pPr>
      <w:r w:rsidRPr="00344974">
        <w:t>–</w:t>
      </w:r>
      <w:r w:rsidRPr="00344974">
        <w:tab/>
        <w:t>uzimajući u obzir članak 100. Poslovnika i Prilog V. Poslovniku,</w:t>
      </w:r>
    </w:p>
    <w:p w:rsidR="004845FF" w:rsidRPr="00344974" w:rsidRDefault="004845FF" w:rsidP="004845FF">
      <w:pPr>
        <w:pStyle w:val="NormalHanging12a"/>
      </w:pPr>
      <w:r w:rsidRPr="00344974">
        <w:t>–</w:t>
      </w:r>
      <w:r w:rsidRPr="00344974">
        <w:tab/>
        <w:t>uzimajući u obzir mišljenje Odbora za zapošljavanje i socijalna pitanja,</w:t>
      </w:r>
    </w:p>
    <w:p w:rsidR="004845FF" w:rsidRPr="00344974" w:rsidRDefault="004845FF" w:rsidP="004845FF">
      <w:pPr>
        <w:pStyle w:val="NormalHanging12a"/>
      </w:pPr>
      <w:r w:rsidRPr="00344974">
        <w:t>–</w:t>
      </w:r>
      <w:r w:rsidRPr="00344974">
        <w:tab/>
        <w:t>uzimajući u obzir izvješće Odbora za proračunski nadzor (A9</w:t>
      </w:r>
      <w:r w:rsidRPr="00344974">
        <w:noBreakHyphen/>
        <w:t>0080/2024),</w:t>
      </w:r>
    </w:p>
    <w:p w:rsidR="004845FF" w:rsidRPr="00344974" w:rsidRDefault="004845FF" w:rsidP="004845FF">
      <w:pPr>
        <w:pStyle w:val="NormalHanging12a"/>
      </w:pPr>
      <w:r w:rsidRPr="00344974">
        <w:t>1.</w:t>
      </w:r>
      <w:r w:rsidRPr="00344974">
        <w:tab/>
        <w:t>daje razrješnicu izvršnom direktoru Europskog centra za razvoj strukovnog osposobljavanja (</w:t>
      </w:r>
      <w:proofErr w:type="spellStart"/>
      <w:r w:rsidRPr="00344974">
        <w:t>Cedefop</w:t>
      </w:r>
      <w:proofErr w:type="spellEnd"/>
      <w:r w:rsidRPr="00344974">
        <w:t>) za izvršenje proračuna Centra za financijsku godinu 2022.;</w:t>
      </w:r>
    </w:p>
    <w:p w:rsidR="004845FF" w:rsidRPr="00344974" w:rsidRDefault="004845FF" w:rsidP="004845FF">
      <w:pPr>
        <w:pStyle w:val="NormalHanging12a"/>
      </w:pPr>
      <w:r w:rsidRPr="00344974">
        <w:t>2.</w:t>
      </w:r>
      <w:r w:rsidRPr="00344974">
        <w:tab/>
        <w:t>iznosi svoje primjedbe u Rezoluciji u nastavku;</w:t>
      </w:r>
    </w:p>
    <w:p w:rsidR="004845FF" w:rsidRPr="00344974" w:rsidRDefault="004845FF" w:rsidP="004845FF">
      <w:pPr>
        <w:pStyle w:val="NormalHanging12a"/>
      </w:pPr>
      <w:r w:rsidRPr="00344974">
        <w:t>3.</w:t>
      </w:r>
      <w:r w:rsidRPr="00344974">
        <w:tab/>
        <w:t>nalaže svojoj predsjednici da ovu Odluku i Rezoluciju, koja je njezin sastavni dio, proslijedi izvršnom direktoru Europskog centra za razvoj strukovnog osposobljavanja (</w:t>
      </w:r>
      <w:proofErr w:type="spellStart"/>
      <w:r w:rsidRPr="00344974">
        <w:t>Cedefop</w:t>
      </w:r>
      <w:proofErr w:type="spellEnd"/>
      <w:r w:rsidRPr="00344974">
        <w:t xml:space="preserve">), Vijeću, Komisiji i Revizorskom sudu te da ih da na objavu u </w:t>
      </w:r>
      <w:r w:rsidRPr="00344974">
        <w:rPr>
          <w:i/>
        </w:rPr>
        <w:t>Službenom listu Europske unije</w:t>
      </w:r>
      <w:r w:rsidRPr="00344974">
        <w:t xml:space="preserve"> (serija L).</w:t>
      </w:r>
    </w:p>
    <w:p w:rsidR="004845FF" w:rsidRPr="00344974" w:rsidRDefault="004845FF" w:rsidP="004845FF"/>
    <w:p w:rsidR="004845FF" w:rsidRPr="00344974" w:rsidRDefault="004845FF" w:rsidP="004845FF">
      <w:pPr>
        <w:pStyle w:val="PageHeading"/>
        <w:sectPr w:rsidR="004845FF" w:rsidRPr="00344974" w:rsidSect="0034497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845FF" w:rsidRPr="00344974" w:rsidRDefault="008D436F" w:rsidP="004845FF">
      <w:pPr>
        <w:pStyle w:val="NormalBold"/>
      </w:pPr>
      <w:bookmarkStart w:id="8" w:name="_Toc161827619"/>
      <w:r>
        <w:lastRenderedPageBreak/>
        <w:t>2. Odluka E</w:t>
      </w:r>
      <w:r w:rsidRPr="008D436F">
        <w:t>uropskog parlamenta</w:t>
      </w:r>
      <w:bookmarkEnd w:id="8"/>
      <w:r>
        <w:t xml:space="preserve"> od 11. travnja 2024. </w:t>
      </w:r>
      <w:r w:rsidR="004845FF" w:rsidRPr="00344974">
        <w:t>o zaključenju poslovnih knjiga Europskog centra za razvoj strukovnog osposobljavanja (</w:t>
      </w:r>
      <w:proofErr w:type="spellStart"/>
      <w:r w:rsidR="004845FF" w:rsidRPr="00344974">
        <w:t>Cedefop</w:t>
      </w:r>
      <w:proofErr w:type="spellEnd"/>
      <w:r w:rsidR="004845FF" w:rsidRPr="00344974">
        <w:t>) za financijsku godinu 2022.</w:t>
      </w:r>
      <w:r>
        <w:t xml:space="preserve"> </w:t>
      </w:r>
      <w:r w:rsidR="004845FF" w:rsidRPr="00344974">
        <w:t>(2023/2143(DEC))</w:t>
      </w:r>
    </w:p>
    <w:p w:rsidR="004845FF" w:rsidRPr="00344974" w:rsidRDefault="004845FF" w:rsidP="004845FF">
      <w:pPr>
        <w:pStyle w:val="EPComma"/>
      </w:pPr>
      <w:r w:rsidRPr="00344974">
        <w:rPr>
          <w:i/>
        </w:rPr>
        <w:t>Europski parlament</w:t>
      </w:r>
      <w:r w:rsidRPr="00344974">
        <w:t>,</w:t>
      </w:r>
    </w:p>
    <w:p w:rsidR="004845FF" w:rsidRPr="00344974" w:rsidRDefault="004845FF" w:rsidP="004845FF">
      <w:pPr>
        <w:pStyle w:val="NormalHanging12a"/>
      </w:pPr>
      <w:r w:rsidRPr="00344974">
        <w:t>–</w:t>
      </w:r>
      <w:r w:rsidRPr="00344974">
        <w:tab/>
        <w:t>uzimajući u obzir završnu godišnju računovodstvenu dokumentaciju Europskog centra za razvoj strukovnog osposobljavanja (</w:t>
      </w:r>
      <w:proofErr w:type="spellStart"/>
      <w:r w:rsidRPr="00344974">
        <w:t>Cedefop</w:t>
      </w:r>
      <w:proofErr w:type="spellEnd"/>
      <w:r w:rsidRPr="00344974">
        <w:t>) za financijsku godinu 2022.,</w:t>
      </w:r>
    </w:p>
    <w:p w:rsidR="004845FF" w:rsidRPr="00344974" w:rsidRDefault="004845FF" w:rsidP="004845FF">
      <w:pPr>
        <w:pStyle w:val="NormalHanging12a"/>
      </w:pPr>
      <w:r w:rsidRPr="00344974">
        <w:t>–</w:t>
      </w:r>
      <w:r w:rsidRPr="00344974">
        <w:tab/>
        <w:t>uzimajući u obzir godišnje izvješće Revizorskog suda o agencijama EU-a za financijsku godinu 2022., kojemu su priloženi odgovori agencija</w:t>
      </w:r>
      <w:r w:rsidRPr="00344974">
        <w:rPr>
          <w:rStyle w:val="FootnoteReference"/>
        </w:rPr>
        <w:footnoteReference w:id="6"/>
      </w:r>
      <w:r w:rsidRPr="00344974">
        <w:t>,</w:t>
      </w:r>
    </w:p>
    <w:p w:rsidR="004845FF" w:rsidRPr="00344974" w:rsidRDefault="004845FF" w:rsidP="004845FF">
      <w:pPr>
        <w:pStyle w:val="NormalHanging12a"/>
      </w:pPr>
      <w:r w:rsidRPr="00344974">
        <w:t>–</w:t>
      </w:r>
      <w:r w:rsidRPr="00344974">
        <w:tab/>
        <w:t>uzimajući u obzir izjavu o jamstvu</w:t>
      </w:r>
      <w:r w:rsidRPr="00344974">
        <w:rPr>
          <w:rStyle w:val="FootnoteReference"/>
        </w:rPr>
        <w:footnoteReference w:id="7"/>
      </w:r>
      <w:r w:rsidRPr="00344974">
        <w:t xml:space="preserve"> u pogledu pouzdanosti računovodstvene dokumentacije te zakonitosti i pravilnosti temeljnih transakcija koju je u skladu s člankom 287. Ugovora o funkcioniranju Europske unije Revizorski sud podnio za financijsku godinu 2022.,</w:t>
      </w:r>
    </w:p>
    <w:p w:rsidR="004845FF" w:rsidRPr="00344974" w:rsidRDefault="004845FF" w:rsidP="004845FF">
      <w:pPr>
        <w:pStyle w:val="NormalHanging12a"/>
      </w:pPr>
      <w:r w:rsidRPr="00344974">
        <w:t>–</w:t>
      </w:r>
      <w:r w:rsidRPr="00344974">
        <w:tab/>
        <w:t>uzimajući u obzir preporuku Vijeća od 22. veljače 2024. o razrješnici koju Centar treba dobiti za izvršenje proračuna za financijsku</w:t>
      </w:r>
      <w:r w:rsidR="00195285">
        <w:t xml:space="preserve"> godinu 2022. (06180/2024 – C9</w:t>
      </w:r>
      <w:r w:rsidR="00195285">
        <w:noBreakHyphen/>
        <w:t>0081</w:t>
      </w:r>
      <w:r w:rsidRPr="00344974">
        <w:t>/2024),</w:t>
      </w:r>
    </w:p>
    <w:p w:rsidR="004845FF" w:rsidRPr="00344974" w:rsidRDefault="004845FF" w:rsidP="004845FF">
      <w:pPr>
        <w:pStyle w:val="NormalHanging12a"/>
      </w:pPr>
      <w:r w:rsidRPr="00344974">
        <w:t>–</w:t>
      </w:r>
      <w:r w:rsidRPr="00344974">
        <w:tab/>
        <w:t>uzimajući u obzir članak 319. Ugovora o funkcioniranju Europske unije,</w:t>
      </w:r>
    </w:p>
    <w:p w:rsidR="004845FF" w:rsidRPr="00344974" w:rsidRDefault="004845FF" w:rsidP="004845FF">
      <w:pPr>
        <w:pStyle w:val="NormalHanging12a"/>
      </w:pPr>
      <w:r w:rsidRPr="00344974">
        <w:t>–</w:t>
      </w:r>
      <w:r w:rsidRPr="00344974">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344974">
        <w:rPr>
          <w:rStyle w:val="FootnoteReference"/>
        </w:rPr>
        <w:footnoteReference w:id="8"/>
      </w:r>
      <w:r w:rsidRPr="00344974">
        <w:t>, a posebno njezin članak 70.,</w:t>
      </w:r>
    </w:p>
    <w:p w:rsidR="004845FF" w:rsidRPr="00344974" w:rsidRDefault="004845FF" w:rsidP="004845FF">
      <w:pPr>
        <w:pStyle w:val="NormalHanging12a"/>
      </w:pPr>
      <w:r w:rsidRPr="00344974">
        <w:t>–</w:t>
      </w:r>
      <w:r w:rsidRPr="00344974">
        <w:tab/>
        <w:t>uzimajući u obzir Uredbu (EU) 2019/128 Europskog parlamenta i Vijeća od 16. siječnja 2019. o osnivanju Europskog centra za razvoj strukovnog osposobljavanja (</w:t>
      </w:r>
      <w:proofErr w:type="spellStart"/>
      <w:r w:rsidRPr="00344974">
        <w:t>Cedefop</w:t>
      </w:r>
      <w:proofErr w:type="spellEnd"/>
      <w:r w:rsidRPr="00344974">
        <w:t>) te stavljanju izvan snage Uredbe Vijeća (EEZ) br. 337/75</w:t>
      </w:r>
      <w:r w:rsidRPr="00344974">
        <w:rPr>
          <w:rStyle w:val="FootnoteReference"/>
        </w:rPr>
        <w:footnoteReference w:id="9"/>
      </w:r>
      <w:r w:rsidRPr="00344974">
        <w:t>, a posebno njezin članak 15.,</w:t>
      </w:r>
    </w:p>
    <w:p w:rsidR="004845FF" w:rsidRPr="00344974" w:rsidRDefault="004845FF" w:rsidP="004845FF">
      <w:pPr>
        <w:pStyle w:val="NormalHanging12a"/>
      </w:pPr>
      <w:r w:rsidRPr="00344974">
        <w:t>–</w:t>
      </w:r>
      <w:r w:rsidRPr="00344974">
        <w:tab/>
        <w:t xml:space="preserve">uzimajući u obzir Delegiranu uredbu Komisije (EU) 2019/715 od 18. prosinca 2018. o okvirnoj financijskoj uredbi za tijela osnovana na temelju Ugovora o funkcioniranju Europske unije i Ugovora o </w:t>
      </w:r>
      <w:proofErr w:type="spellStart"/>
      <w:r w:rsidRPr="00344974">
        <w:t>Euratomu</w:t>
      </w:r>
      <w:proofErr w:type="spellEnd"/>
      <w:r w:rsidRPr="00344974">
        <w:t xml:space="preserve"> na koja se upućuje u članku 70. Uredbe (EU, Euratom) 2018/1046 Europskog parlamenta i Vijeća</w:t>
      </w:r>
      <w:r w:rsidRPr="00344974">
        <w:rPr>
          <w:rStyle w:val="FootnoteReference"/>
        </w:rPr>
        <w:footnoteReference w:id="10"/>
      </w:r>
      <w:r w:rsidRPr="00344974">
        <w:t>, a posebno njezin članak 105.,</w:t>
      </w:r>
    </w:p>
    <w:p w:rsidR="004845FF" w:rsidRPr="00344974" w:rsidRDefault="004845FF" w:rsidP="004845FF">
      <w:pPr>
        <w:pStyle w:val="NormalHanging12a"/>
      </w:pPr>
      <w:r w:rsidRPr="00344974">
        <w:t>–</w:t>
      </w:r>
      <w:r w:rsidRPr="00344974">
        <w:tab/>
        <w:t>uzimajući u obzir članak 100. Poslovnika i Prilog V. Poslovniku,</w:t>
      </w:r>
    </w:p>
    <w:p w:rsidR="004845FF" w:rsidRPr="00344974" w:rsidRDefault="004845FF" w:rsidP="004845FF">
      <w:pPr>
        <w:pStyle w:val="NormalHanging12a"/>
      </w:pPr>
      <w:r w:rsidRPr="00344974">
        <w:t>–</w:t>
      </w:r>
      <w:r w:rsidRPr="00344974">
        <w:tab/>
        <w:t>uzimajući u obzir mišljenje Odbora za zapošljavanje i socijalna pitanja,</w:t>
      </w:r>
    </w:p>
    <w:p w:rsidR="004845FF" w:rsidRPr="00344974" w:rsidRDefault="004845FF" w:rsidP="004845FF">
      <w:pPr>
        <w:pStyle w:val="NormalHanging12a"/>
      </w:pPr>
      <w:r w:rsidRPr="00344974">
        <w:t>–</w:t>
      </w:r>
      <w:r w:rsidRPr="00344974">
        <w:tab/>
        <w:t>uzimajući u obzir izvješće Odbora za proračunski nadzor (A9</w:t>
      </w:r>
      <w:r w:rsidRPr="00344974">
        <w:noBreakHyphen/>
        <w:t>0080/2024),</w:t>
      </w:r>
    </w:p>
    <w:p w:rsidR="004845FF" w:rsidRPr="00344974" w:rsidRDefault="004845FF" w:rsidP="004845FF">
      <w:pPr>
        <w:pStyle w:val="NormalHanging12a"/>
      </w:pPr>
      <w:r w:rsidRPr="00344974">
        <w:t>1.</w:t>
      </w:r>
      <w:r w:rsidRPr="00344974">
        <w:tab/>
        <w:t xml:space="preserve">odobrava zaključenje poslovnih knjiga Europskog centra za razvoj strukovnog </w:t>
      </w:r>
      <w:r w:rsidRPr="00344974">
        <w:lastRenderedPageBreak/>
        <w:t>osposobljavanja (</w:t>
      </w:r>
      <w:proofErr w:type="spellStart"/>
      <w:r w:rsidRPr="00344974">
        <w:t>Cedefop</w:t>
      </w:r>
      <w:proofErr w:type="spellEnd"/>
      <w:r w:rsidRPr="00344974">
        <w:t>) za financijsku godinu 2022.;</w:t>
      </w:r>
    </w:p>
    <w:p w:rsidR="004845FF" w:rsidRPr="00344974" w:rsidRDefault="004845FF" w:rsidP="004845FF">
      <w:pPr>
        <w:pStyle w:val="NormalHanging12a"/>
      </w:pPr>
      <w:r w:rsidRPr="00344974">
        <w:t>2.</w:t>
      </w:r>
      <w:r w:rsidRPr="00344974">
        <w:tab/>
        <w:t>nalaže svojoj predsjednici da ovu Odluku proslijedi izvršnom direktoru Europskog centra za razvoj strukovnog osposobljavanja (</w:t>
      </w:r>
      <w:proofErr w:type="spellStart"/>
      <w:r w:rsidRPr="00344974">
        <w:t>Cedefop</w:t>
      </w:r>
      <w:proofErr w:type="spellEnd"/>
      <w:r w:rsidRPr="00344974">
        <w:t xml:space="preserve">), Vijeću, Komisiji i Revizorskom sudu te da je da na objavu u </w:t>
      </w:r>
      <w:r w:rsidRPr="00344974">
        <w:rPr>
          <w:i/>
        </w:rPr>
        <w:t>Službenom listu Europske unije</w:t>
      </w:r>
      <w:r w:rsidRPr="00344974">
        <w:t xml:space="preserve"> (serija L).</w:t>
      </w:r>
    </w:p>
    <w:p w:rsidR="004845FF" w:rsidRPr="00344974" w:rsidRDefault="004845FF" w:rsidP="004845FF"/>
    <w:p w:rsidR="004845FF" w:rsidRPr="00344974" w:rsidRDefault="004845FF" w:rsidP="004845FF">
      <w:pPr>
        <w:pStyle w:val="PageHeading"/>
        <w:sectPr w:rsidR="004845FF" w:rsidRPr="00344974" w:rsidSect="00344974">
          <w:footnotePr>
            <w:numRestart w:val="eachPage"/>
          </w:footnotePr>
          <w:endnotePr>
            <w:numFmt w:val="decimal"/>
          </w:endnotePr>
          <w:pgSz w:w="11906" w:h="16838" w:code="9"/>
          <w:pgMar w:top="1134" w:right="1418" w:bottom="1418" w:left="1418" w:header="567" w:footer="567" w:gutter="0"/>
          <w:cols w:space="720"/>
          <w:noEndnote/>
          <w:docGrid w:linePitch="326"/>
        </w:sectPr>
      </w:pPr>
    </w:p>
    <w:p w:rsidR="004845FF" w:rsidRPr="00344974" w:rsidRDefault="008D436F" w:rsidP="004845FF">
      <w:pPr>
        <w:pStyle w:val="NormalBold"/>
      </w:pPr>
      <w:bookmarkStart w:id="9" w:name="_Toc161827620"/>
      <w:r>
        <w:lastRenderedPageBreak/>
        <w:t>3. Rezolucija E</w:t>
      </w:r>
      <w:r w:rsidRPr="008D436F">
        <w:t>uropskog parlamenta</w:t>
      </w:r>
      <w:bookmarkEnd w:id="9"/>
      <w:r>
        <w:t xml:space="preserve"> od 11. travnja 2024. </w:t>
      </w:r>
      <w:r w:rsidR="004845FF" w:rsidRPr="00344974">
        <w:t>s primjedbama koje su sastavni dio Odluke o razrješnici za izvršenje proračuna Europskog centra za razvoj strukovnog osposobljavanja (</w:t>
      </w:r>
      <w:proofErr w:type="spellStart"/>
      <w:r w:rsidR="004845FF" w:rsidRPr="00344974">
        <w:t>Cedefop</w:t>
      </w:r>
      <w:proofErr w:type="spellEnd"/>
      <w:r w:rsidR="004845FF" w:rsidRPr="00344974">
        <w:t>) za financijsku godinu 2022.</w:t>
      </w:r>
      <w:r>
        <w:t xml:space="preserve"> </w:t>
      </w:r>
      <w:r w:rsidR="004845FF" w:rsidRPr="00344974">
        <w:t>(2023/2143(DEC))</w:t>
      </w:r>
    </w:p>
    <w:p w:rsidR="004845FF" w:rsidRPr="00344974" w:rsidRDefault="004845FF" w:rsidP="004845FF">
      <w:pPr>
        <w:pStyle w:val="EPComma"/>
      </w:pPr>
      <w:r w:rsidRPr="00344974">
        <w:rPr>
          <w:i/>
        </w:rPr>
        <w:t>Europski parlament</w:t>
      </w:r>
      <w:r w:rsidRPr="00344974">
        <w:t>,</w:t>
      </w:r>
    </w:p>
    <w:p w:rsidR="004845FF" w:rsidRPr="00344974" w:rsidRDefault="004845FF" w:rsidP="004845FF">
      <w:pPr>
        <w:pStyle w:val="NormalHanging12a"/>
      </w:pPr>
      <w:r w:rsidRPr="00344974">
        <w:t>–</w:t>
      </w:r>
      <w:r w:rsidRPr="00344974">
        <w:tab/>
        <w:t>uzimajući u obzir svoju Odluku o razrješnici za izvršenje proračuna Europskog centra za razvoj strukovnog osposobljavanja (</w:t>
      </w:r>
      <w:proofErr w:type="spellStart"/>
      <w:r w:rsidRPr="00344974">
        <w:t>Cedefop</w:t>
      </w:r>
      <w:proofErr w:type="spellEnd"/>
      <w:r w:rsidRPr="00344974">
        <w:t>) za financijsku godinu 2022.,</w:t>
      </w:r>
    </w:p>
    <w:p w:rsidR="004845FF" w:rsidRPr="00344974" w:rsidRDefault="004845FF" w:rsidP="004845FF">
      <w:pPr>
        <w:pStyle w:val="NormalHanging12a"/>
      </w:pPr>
      <w:r w:rsidRPr="00344974">
        <w:t>–</w:t>
      </w:r>
      <w:r w:rsidRPr="00344974">
        <w:tab/>
        <w:t>uzimajući u obzir članak 100. Poslovnika i Prilog V. Poslovniku,</w:t>
      </w:r>
    </w:p>
    <w:p w:rsidR="004845FF" w:rsidRPr="00344974" w:rsidRDefault="004845FF" w:rsidP="004845FF">
      <w:pPr>
        <w:pStyle w:val="NormalHanging12a"/>
      </w:pPr>
      <w:r w:rsidRPr="00344974">
        <w:t>–</w:t>
      </w:r>
      <w:r w:rsidRPr="00344974">
        <w:tab/>
        <w:t>uzimajući u obzir mišljenje Odbora za zapošljavanje i socijalna pitanja,</w:t>
      </w:r>
    </w:p>
    <w:p w:rsidR="004845FF" w:rsidRPr="00344974" w:rsidRDefault="004845FF" w:rsidP="004845FF">
      <w:pPr>
        <w:pStyle w:val="NormalHanging12a"/>
      </w:pPr>
      <w:r w:rsidRPr="00344974">
        <w:t>–</w:t>
      </w:r>
      <w:r w:rsidRPr="00344974">
        <w:tab/>
        <w:t>uzimajući u obzir izvješće Odbora za proračunski nadzor (A9</w:t>
      </w:r>
      <w:r w:rsidRPr="00344974">
        <w:noBreakHyphen/>
        <w:t>0080/2024),</w:t>
      </w:r>
    </w:p>
    <w:p w:rsidR="004845FF" w:rsidRPr="00344974" w:rsidRDefault="004845FF" w:rsidP="004845FF">
      <w:pPr>
        <w:pStyle w:val="Normal12Hanging"/>
        <w:rPr>
          <w:szCs w:val="24"/>
          <w:lang w:val="hr-HR"/>
        </w:rPr>
      </w:pPr>
      <w:r w:rsidRPr="00344974">
        <w:rPr>
          <w:lang w:val="hr-HR"/>
        </w:rPr>
        <w:t>A.</w:t>
      </w:r>
      <w:r w:rsidRPr="00344974">
        <w:rPr>
          <w:lang w:val="hr-HR"/>
        </w:rPr>
        <w:tab/>
        <w:t>budući da je u skladu s njegovim izvještajem o prihodima i rashodima</w:t>
      </w:r>
      <w:r w:rsidRPr="00344974">
        <w:rPr>
          <w:rStyle w:val="FootnoteReference"/>
          <w:szCs w:val="24"/>
          <w:lang w:val="hr-HR"/>
        </w:rPr>
        <w:footnoteReference w:id="11"/>
      </w:r>
      <w:r w:rsidRPr="00344974">
        <w:rPr>
          <w:lang w:val="hr-HR"/>
        </w:rPr>
        <w:t xml:space="preserve"> konačni proračun Europskog centra za razvoj strukovnog osposobljavanja (</w:t>
      </w:r>
      <w:proofErr w:type="spellStart"/>
      <w:r w:rsidRPr="00344974">
        <w:rPr>
          <w:lang w:val="hr-HR"/>
        </w:rPr>
        <w:t>Cedefop</w:t>
      </w:r>
      <w:proofErr w:type="spellEnd"/>
      <w:r w:rsidRPr="00344974">
        <w:rPr>
          <w:lang w:val="hr-HR"/>
        </w:rPr>
        <w:t>) („Centar”) za financijsku godinu 2022. iznosio 18 434 420 EUR, što predstavlja smanjenje od 0,29 % u odnosu na 2021.; budući da se proračun Centra uglavnom financira iz proračuna Unije;</w:t>
      </w:r>
    </w:p>
    <w:p w:rsidR="004845FF" w:rsidRPr="00344974" w:rsidRDefault="004845FF" w:rsidP="004845FF">
      <w:pPr>
        <w:pStyle w:val="Normal12Hanging"/>
        <w:rPr>
          <w:szCs w:val="24"/>
          <w:lang w:val="hr-HR"/>
        </w:rPr>
      </w:pPr>
      <w:r w:rsidRPr="00344974">
        <w:rPr>
          <w:lang w:val="hr-HR"/>
        </w:rPr>
        <w:t>B.</w:t>
      </w:r>
      <w:r w:rsidRPr="00344974">
        <w:rPr>
          <w:lang w:val="hr-HR"/>
        </w:rPr>
        <w:tab/>
        <w:t>budući da je, osim doprinosa Unije u iznosu od 17 960 000 EUR, raspoloživi proračun Centra za 2022. uključivao iznos od 464 420 EUR doprinosa pridruženih zemalja (Norveška i Island) te iznos od 43 960 EUR raznih vlastitih prihoda i nadoknađenih iznosa;</w:t>
      </w:r>
    </w:p>
    <w:p w:rsidR="004845FF" w:rsidRPr="00344974" w:rsidRDefault="004845FF" w:rsidP="004845FF">
      <w:pPr>
        <w:pStyle w:val="Normal12Hanging"/>
        <w:rPr>
          <w:szCs w:val="24"/>
          <w:lang w:val="hr-HR"/>
        </w:rPr>
      </w:pPr>
      <w:r w:rsidRPr="00344974">
        <w:rPr>
          <w:lang w:val="hr-HR"/>
        </w:rPr>
        <w:t>C.</w:t>
      </w:r>
      <w:r w:rsidRPr="00344974">
        <w:rPr>
          <w:lang w:val="hr-HR"/>
        </w:rPr>
        <w:tab/>
        <w:t>budući da je Centar pristupio Protokolu 31. uz Sporazum o Europskom gospodarskom prostoru (EGP), s učinkom od 1. siječnja 2023., prema kojem će Centar primati doprinose pridruženih zemalja iz proračuna država EFTA-e koje su članice EGP-a;</w:t>
      </w:r>
    </w:p>
    <w:p w:rsidR="004845FF" w:rsidRPr="00344974" w:rsidRDefault="004845FF" w:rsidP="004845FF">
      <w:pPr>
        <w:pStyle w:val="Normal12Hanging"/>
        <w:rPr>
          <w:szCs w:val="24"/>
          <w:lang w:val="hr-HR"/>
        </w:rPr>
      </w:pPr>
      <w:r w:rsidRPr="00344974">
        <w:rPr>
          <w:lang w:val="hr-HR"/>
        </w:rPr>
        <w:t>D.</w:t>
      </w:r>
      <w:r w:rsidRPr="00344974">
        <w:rPr>
          <w:lang w:val="hr-HR"/>
        </w:rPr>
        <w:tab/>
        <w:t>budući da u pogledu sektora javne nabave Centra za 2022. nisu prijavljeni problemi zbog kojih bi bile potrebne korektivne mjere te da nema ni tekućih ni nedovršenih korektivnih mjera iz revizija i procjena iz prethodnih godina;</w:t>
      </w:r>
    </w:p>
    <w:p w:rsidR="004845FF" w:rsidRPr="00344974" w:rsidRDefault="004845FF" w:rsidP="004845FF">
      <w:pPr>
        <w:pStyle w:val="Normal12Hanging"/>
        <w:rPr>
          <w:szCs w:val="24"/>
          <w:lang w:val="hr-HR"/>
        </w:rPr>
      </w:pPr>
      <w:r w:rsidRPr="00344974">
        <w:rPr>
          <w:lang w:val="hr-HR"/>
        </w:rPr>
        <w:t>E.</w:t>
      </w:r>
      <w:r w:rsidRPr="00344974">
        <w:rPr>
          <w:lang w:val="hr-HR"/>
        </w:rPr>
        <w:tab/>
        <w:t>budući da Revizorski sud u svojem izvješću o godišnjoj računovodstvenoj dokumentaciji Centra za financijsku godinu 2022. („izvješće Revizorskog suda”) izjavljuje da je dobio razumna jamstva da je godišnja računovodstvena dokumentacija Centra pouzdana te da su temeljne transakcije zakonite i pravilne;</w:t>
      </w:r>
    </w:p>
    <w:p w:rsidR="004845FF" w:rsidRPr="00344974" w:rsidRDefault="004845FF" w:rsidP="004845FF">
      <w:pPr>
        <w:pStyle w:val="Normal12Hanging"/>
        <w:rPr>
          <w:b/>
          <w:i/>
          <w:szCs w:val="24"/>
          <w:lang w:val="hr-HR"/>
        </w:rPr>
      </w:pPr>
      <w:r w:rsidRPr="00344974">
        <w:rPr>
          <w:b/>
          <w:i/>
          <w:lang w:val="hr-HR"/>
        </w:rPr>
        <w:t>Upravljanje proračunom i financijama</w:t>
      </w:r>
    </w:p>
    <w:p w:rsidR="004845FF" w:rsidRPr="00344974" w:rsidRDefault="004845FF" w:rsidP="004845FF">
      <w:pPr>
        <w:pStyle w:val="Normal12Hanging"/>
        <w:rPr>
          <w:szCs w:val="24"/>
          <w:lang w:val="hr-HR"/>
        </w:rPr>
      </w:pPr>
      <w:r w:rsidRPr="00344974">
        <w:rPr>
          <w:lang w:val="hr-HR"/>
        </w:rPr>
        <w:t>1.</w:t>
      </w:r>
      <w:r w:rsidRPr="00344974">
        <w:rPr>
          <w:lang w:val="hr-HR"/>
        </w:rPr>
        <w:tab/>
        <w:t>sa zadovoljstvom prima na znanje da je praćenje proračuna rezultiralo stopom izvršenja proračuna od 99,98 % za 2022. godinu, što je malo smanjenje od 0,02 % u odnosu na 2021.; žali zbog niske razine stope izvršenja odobrenih sredstava za plaćanje za tekuću godinu (77,64 %), što je smanjenje od 2,38 % u odnosu na 2021.;</w:t>
      </w:r>
    </w:p>
    <w:p w:rsidR="004845FF" w:rsidRPr="00344974" w:rsidRDefault="004845FF" w:rsidP="004845FF">
      <w:pPr>
        <w:pStyle w:val="Normal12Hanging"/>
        <w:rPr>
          <w:szCs w:val="24"/>
          <w:lang w:val="hr-HR"/>
        </w:rPr>
      </w:pPr>
      <w:r w:rsidRPr="00344974">
        <w:rPr>
          <w:lang w:val="hr-HR"/>
        </w:rPr>
        <w:t>2.</w:t>
      </w:r>
      <w:r w:rsidRPr="00344974">
        <w:rPr>
          <w:lang w:val="hr-HR"/>
        </w:rPr>
        <w:tab/>
        <w:t xml:space="preserve">podsjeća na opažanje iz izvješća Revizorskog suda za 2021. u pogledu nedostataka u prijelazu Centra na novi računovodstveni sustav (ABAC) kojim se također koristi Komisija; na temelju izvješća Revizorskog suda primjećuje da su 2022. slične pojave (neusklađenost između stvarnog konačnog datuma izvršenja pravnih obveza i datuma </w:t>
      </w:r>
      <w:r w:rsidRPr="00344974">
        <w:rPr>
          <w:lang w:val="hr-HR"/>
        </w:rPr>
        <w:lastRenderedPageBreak/>
        <w:t>zabilježenog u sustavu ABAC) zabilježene i u proračunskim obvezama prenesenim iz 2022. u 2023.; sa zadovoljstvom prima na znanje iz izvješća Centra o daljnjim mjerama u vezi s razrješnicom za 2021. („izvješće o daljnjim mjerama”) da je Centar u međuvremenu uspostavio sustav praćenja kako bi se obuhvatile one vrste nedosljednosti koje se, nakon što se otkriju, odmah ispravljaju u sustavu ABAC;</w:t>
      </w:r>
    </w:p>
    <w:p w:rsidR="004845FF" w:rsidRPr="00344974" w:rsidRDefault="004845FF" w:rsidP="004845FF">
      <w:pPr>
        <w:pStyle w:val="Normal12Hanging"/>
        <w:rPr>
          <w:szCs w:val="24"/>
          <w:lang w:val="hr-HR"/>
        </w:rPr>
      </w:pPr>
      <w:r w:rsidRPr="00344974">
        <w:rPr>
          <w:lang w:val="hr-HR"/>
        </w:rPr>
        <w:t>3.</w:t>
      </w:r>
      <w:r w:rsidRPr="00344974">
        <w:rPr>
          <w:lang w:val="hr-HR"/>
        </w:rPr>
        <w:tab/>
        <w:t>prima na znanje iz izvješća Revizorskog suda opažanje da Centar nije pravilno primijenio metodu izračuna doprinosa utvrđenu u Izjavi o suradnji između Centra i EFTA-e u vezi s izmjenom br. 1 proračuna Centra; stoga napominje da su doprinosi Islanda i Norveške proračunu Centra za 2022., s jedne strane, i doprinos Unije s druge strane bili viši, odnosno niži nego što su trebali biti; nadalje prima na znanje potvrdu Revizorskog suda da je izmjena Protokola 31. uz Sporazum o EGP-u o suradnji u posebnim područjima izvan četiriju sloboda potpisana i stupila na snagu 1. siječnja 2023. te da se stoga od 2023. više neće pojaviti pitanje prilagodbe doprinosa država EFTA-e zbog izmjena proračuna Centra;</w:t>
      </w:r>
    </w:p>
    <w:p w:rsidR="004845FF" w:rsidRPr="00344974" w:rsidRDefault="004845FF" w:rsidP="004845FF">
      <w:pPr>
        <w:pStyle w:val="Normal12Hanging"/>
        <w:rPr>
          <w:b/>
          <w:i/>
          <w:szCs w:val="24"/>
          <w:lang w:val="hr-HR"/>
        </w:rPr>
      </w:pPr>
      <w:r w:rsidRPr="00344974">
        <w:rPr>
          <w:b/>
          <w:i/>
          <w:lang w:val="hr-HR"/>
        </w:rPr>
        <w:t>Uspješnost</w:t>
      </w:r>
    </w:p>
    <w:p w:rsidR="004845FF" w:rsidRPr="00344974" w:rsidRDefault="004845FF" w:rsidP="004845FF">
      <w:pPr>
        <w:pStyle w:val="Normal12Hanging"/>
        <w:rPr>
          <w:lang w:val="hr-HR"/>
        </w:rPr>
      </w:pPr>
      <w:r w:rsidRPr="00344974">
        <w:rPr>
          <w:lang w:val="hr-HR"/>
        </w:rPr>
        <w:t>4.</w:t>
      </w:r>
      <w:r w:rsidRPr="00344974">
        <w:rPr>
          <w:lang w:val="hr-HR"/>
        </w:rPr>
        <w:tab/>
        <w:t xml:space="preserve">sa zadovoljstvom primjećuje da je, unatoč kontinuiranim izazovima koje predstavljaju </w:t>
      </w:r>
      <w:proofErr w:type="spellStart"/>
      <w:r w:rsidRPr="00344974">
        <w:rPr>
          <w:lang w:val="hr-HR"/>
        </w:rPr>
        <w:t>pandemija</w:t>
      </w:r>
      <w:proofErr w:type="spellEnd"/>
      <w:r w:rsidRPr="00344974">
        <w:rPr>
          <w:lang w:val="hr-HR"/>
        </w:rPr>
        <w:t xml:space="preserve"> bolesti COVID-19, neopravdan rat u Ukrajini, energetska kriza i sve teže stanje u području klime, Centar tijekom 2022. u potpunosti proveo svoj program rada, uz značajna postignuća u sva tri strateška područja djelovanja Centra koja nadilaze ona planirana u programu rada za 2022.; napominje da je strukovno obrazovanje i osposobljavanje utvrđeno kao žarišno područje za suradnju u okviru inicijative za europski prostor obrazovanja za razdoblje 2021. – 2030.;</w:t>
      </w:r>
    </w:p>
    <w:p w:rsidR="004845FF" w:rsidRPr="00344974" w:rsidRDefault="004845FF" w:rsidP="004845FF">
      <w:pPr>
        <w:pStyle w:val="Normal12Hanging"/>
        <w:rPr>
          <w:lang w:val="hr-HR"/>
        </w:rPr>
      </w:pPr>
      <w:r w:rsidRPr="00344974">
        <w:rPr>
          <w:lang w:val="hr-HR"/>
        </w:rPr>
        <w:t>5.</w:t>
      </w:r>
      <w:r w:rsidRPr="00344974">
        <w:rPr>
          <w:lang w:val="hr-HR"/>
        </w:rPr>
        <w:tab/>
        <w:t xml:space="preserve">među nekoliko postignuća tijekom 2022. prima na znanje: i. pokretanje Zelenog opservatorija Centra koji je razmotrio posljedice zelene tranzicije za gradove i tri ključna područja (gospodarenje otpadom, poljoprivredno-prehrambeno gospodarstvo i kružno gospodarstvo); ii. analizu Centra o nacionalnim provedbenim planovima, u kojima se predstavljaju aktualne i predstojeće nacionalne reforme i inicijative u području strukovnog obrazovanja i osposobljavanja; iii. prezentaciju nalaza studije Centra o </w:t>
      </w:r>
      <w:proofErr w:type="spellStart"/>
      <w:r w:rsidRPr="00344974">
        <w:rPr>
          <w:lang w:val="hr-HR"/>
        </w:rPr>
        <w:t>mikrokvalifikacijama</w:t>
      </w:r>
      <w:proofErr w:type="spellEnd"/>
      <w:r w:rsidRPr="00344974">
        <w:rPr>
          <w:lang w:val="hr-HR"/>
        </w:rPr>
        <w:t xml:space="preserve"> koja je temelj Komisijina Prijedloga preporuke Vijeća o toj temi; iv. studiju izvedivosti koju je proveo Centar za istraživanje nastavnika i voditelja osposobljavanja u inicijalnom strukovnom obrazovanju i osposobljavanju; v. dovršetak drugog projekta „Budućnost strukovnog obrazovanja i osposobljavanja” koji doprinosi boljem općem razumijevanju izazova i mogućnosti s kojima će se europsko strukovno obrazovanje i osposobljavanje suočiti u nadolazećim godinama; te vi. objavljivanje drugog europskog istraživanja o vještinama i radnim mjestima (ESJS) koje je pomoglo u rasvjetljavanju digitalizacije i njezina utjecaja na radna mjesta i vještine;</w:t>
      </w:r>
    </w:p>
    <w:p w:rsidR="004845FF" w:rsidRPr="00344974" w:rsidRDefault="004845FF" w:rsidP="004845FF">
      <w:pPr>
        <w:pStyle w:val="NormalHanging12a"/>
        <w:rPr>
          <w:szCs w:val="24"/>
        </w:rPr>
      </w:pPr>
      <w:r w:rsidRPr="00344974">
        <w:t>6.</w:t>
      </w:r>
      <w:r w:rsidRPr="00344974">
        <w:tab/>
        <w:t xml:space="preserve">cijeni aktivnosti i kvalitetan rad Centra kada je riječ o provođenju istraživanja, analiza i pružanju tehničkih savjeta i stručnog znanja u području strukovnog obrazovanja i osposobljavanja, kvalifikacija te politika usmjerenih na razvoj vještina, u cilju promicanja kvalitetnog osposobljavanja prilagođenog potrebama pojedinaca i tržišta rada; podsjeća na važnu ulogu Centra u osiguravanju integracije digitalnih vještina u strukovno obrazovanje i osposobljavanje diljem Unije te na njegovu ulogu u praćenju provedbe i učinka Preporuke Vijeća o programu vještina za Europu, o strukovnom obrazovanju i osposobljavanju za održivu konkurentnost, o socijalnoj pravednosti i otpornosti i o Akcijskom planu za digitalno obrazovanje; ističe da je potrebno i dalje pružati odgovarajuće ljudske i financijske resurse kako bi Centar mogao izvršavati svoj </w:t>
      </w:r>
      <w:r w:rsidRPr="00344974">
        <w:lastRenderedPageBreak/>
        <w:t>mandat i nastaviti provoditi svoj program rada uz visoku stopu izvršenja aktivnosti;</w:t>
      </w:r>
    </w:p>
    <w:p w:rsidR="004845FF" w:rsidRPr="00344974" w:rsidRDefault="004845FF" w:rsidP="004845FF">
      <w:pPr>
        <w:pStyle w:val="Normal12Hanging"/>
        <w:rPr>
          <w:b/>
          <w:i/>
          <w:szCs w:val="24"/>
          <w:lang w:val="hr-HR"/>
        </w:rPr>
      </w:pPr>
      <w:r w:rsidRPr="00344974">
        <w:rPr>
          <w:b/>
          <w:i/>
          <w:lang w:val="hr-HR"/>
        </w:rPr>
        <w:t>Učinkovitost i dobici</w:t>
      </w:r>
    </w:p>
    <w:p w:rsidR="004845FF" w:rsidRPr="00344974" w:rsidRDefault="004845FF" w:rsidP="004845FF">
      <w:pPr>
        <w:pStyle w:val="Normal12Hanging"/>
        <w:rPr>
          <w:lang w:val="hr-HR"/>
        </w:rPr>
      </w:pPr>
      <w:r w:rsidRPr="00344974">
        <w:rPr>
          <w:lang w:val="hr-HR"/>
        </w:rPr>
        <w:t>7.</w:t>
      </w:r>
      <w:r w:rsidRPr="00344974">
        <w:rPr>
          <w:lang w:val="hr-HR"/>
        </w:rPr>
        <w:tab/>
        <w:t>pohvaljuje dugotrajnu praksu Centra u pogledu suradnje i razmjene informacija s Europskom zakladom za osposobljavanje (ETF) i Europskom zakladom za poboljšanje životnih i radnih uvjeta (</w:t>
      </w:r>
      <w:proofErr w:type="spellStart"/>
      <w:r w:rsidRPr="00344974">
        <w:rPr>
          <w:lang w:val="hr-HR"/>
        </w:rPr>
        <w:t>Eurofound</w:t>
      </w:r>
      <w:proofErr w:type="spellEnd"/>
      <w:r w:rsidRPr="00344974">
        <w:rPr>
          <w:lang w:val="hr-HR"/>
        </w:rPr>
        <w:t xml:space="preserve">); napominje da Centar i ETF surađuju na zajedničkim projektima u vezi sa strukovnim obrazovanjem i osposobljavanjem, publikacijama, ekonomijom platformi/radom putem platformi u području usklađivanja vještina i predviđanja ili identifikacije, praćenja i analize napretka zemalja, kao i u pogledu ESJS-a; također napominje da je Centar 2022. dodatno ojačao svoju dugotrajnu suradnju s </w:t>
      </w:r>
      <w:proofErr w:type="spellStart"/>
      <w:r w:rsidRPr="00344974">
        <w:rPr>
          <w:lang w:val="hr-HR"/>
        </w:rPr>
        <w:t>Eurofoundom</w:t>
      </w:r>
      <w:proofErr w:type="spellEnd"/>
      <w:r w:rsidRPr="00344974">
        <w:rPr>
          <w:lang w:val="hr-HR"/>
        </w:rPr>
        <w:t xml:space="preserve"> u pogledu operativnih aktivnosti zajedničkom pripremom drugog vodećeg izvješća o vještinama na temelju europskog istraživanja o poduzećima, užom suradnjom na pravednoj zelenoj tranziciji i zajedničkim vođenjem pripreme događanja „Mladi na prvome mjestu” uz sudjelovanje pet agencija Unije i koje se održalo u Parlamentu; pohvaljuje sklapanje posebnog Memoranduma o razumijevanju između Centra i Europskog nadzornog tijela za rad koji obuhvaća razmjenu znanja i sinergije s naglaskom na vještinama i trendovima na tržištu rada te prekograničnoj mobilnosti radne snage; prima na znanje sporazume Centra o razini usluga s Europskim institutom za ravnopravnost spolova radi razmjene računovodstvenih usluga i s Agencijom Europske unije za </w:t>
      </w:r>
      <w:proofErr w:type="spellStart"/>
      <w:r w:rsidRPr="00344974">
        <w:rPr>
          <w:lang w:val="hr-HR"/>
        </w:rPr>
        <w:t>kibersigurnost</w:t>
      </w:r>
      <w:proofErr w:type="spellEnd"/>
      <w:r w:rsidRPr="00344974">
        <w:rPr>
          <w:lang w:val="hr-HR"/>
        </w:rPr>
        <w:t xml:space="preserve"> u područjima kao što su, među ostalim, zaštita podataka, javna nabava i IKT, kao i aktualnu raspravu s ETF-om o zajedničkom službeniku za </w:t>
      </w:r>
      <w:proofErr w:type="spellStart"/>
      <w:r w:rsidRPr="00344974">
        <w:rPr>
          <w:lang w:val="hr-HR"/>
        </w:rPr>
        <w:t>kibernetičku</w:t>
      </w:r>
      <w:proofErr w:type="spellEnd"/>
      <w:r w:rsidRPr="00344974">
        <w:rPr>
          <w:lang w:val="hr-HR"/>
        </w:rPr>
        <w:t xml:space="preserve"> sigurnost; nadalje poziva Centar i druge agencije da istraže i utvrde nove sinergije i područja suradnje kako bi se povećala učinkovitost i smanjili troškovi;</w:t>
      </w:r>
    </w:p>
    <w:p w:rsidR="004845FF" w:rsidRPr="00344974" w:rsidRDefault="004845FF" w:rsidP="004845FF">
      <w:pPr>
        <w:pStyle w:val="Normal12Hanging"/>
        <w:rPr>
          <w:szCs w:val="24"/>
          <w:lang w:val="hr-HR"/>
        </w:rPr>
      </w:pPr>
      <w:r w:rsidRPr="00344974">
        <w:rPr>
          <w:lang w:val="hr-HR"/>
        </w:rPr>
        <w:t>8.</w:t>
      </w:r>
      <w:r w:rsidRPr="00344974">
        <w:rPr>
          <w:lang w:val="hr-HR"/>
        </w:rPr>
        <w:tab/>
        <w:t xml:space="preserve">sa zadovoljstvom prima na znanje predanost Centra da do 2030. postane ugljično neutralan i činjenicu da je 2023. donio svoju strategiju i akcijski plan za klimatsku neutralnost; u tom kontekstu prima na znanje posebne mjere koje su već poduzete 2022., kao što su ugradnja energetski učinkovitih sjenila za prozore i dovršetak pripremnih radova za ugradnju </w:t>
      </w:r>
      <w:proofErr w:type="spellStart"/>
      <w:r w:rsidRPr="00344974">
        <w:rPr>
          <w:lang w:val="hr-HR"/>
        </w:rPr>
        <w:t>fotonaponskih</w:t>
      </w:r>
      <w:proofErr w:type="spellEnd"/>
      <w:r w:rsidRPr="00344974">
        <w:rPr>
          <w:lang w:val="hr-HR"/>
        </w:rPr>
        <w:t xml:space="preserve"> ploča 2023. u cilju proizvodnje vlastite električne energije iz obnovljivih izvora, za koje se očekuje da će dovesti do povrata ulaganja od oko 50 %; pohvaljuje Centar za uspjeh u postizanju ili premašivanju svojih ciljeva za 2022., polazeći od 2019., u pogledu smanjenja upotrebe električne energije (za 27 %), loživog ulja (za 43 %) i papira (za 73 %), kao i smanjenja troškova službenih putovanja (za 71 %) te sastanaka uz fizičku prisutnost (za 56,5 %);</w:t>
      </w:r>
    </w:p>
    <w:p w:rsidR="004845FF" w:rsidRPr="00344974" w:rsidRDefault="004845FF" w:rsidP="004845FF">
      <w:pPr>
        <w:pStyle w:val="Normal12Hanging"/>
        <w:rPr>
          <w:szCs w:val="24"/>
          <w:lang w:val="hr-HR"/>
        </w:rPr>
      </w:pPr>
      <w:r w:rsidRPr="00344974">
        <w:rPr>
          <w:lang w:val="hr-HR"/>
        </w:rPr>
        <w:t>9.</w:t>
      </w:r>
      <w:r w:rsidRPr="00344974">
        <w:rPr>
          <w:lang w:val="hr-HR"/>
        </w:rPr>
        <w:tab/>
        <w:t>pohvaljuje jačanje temeljnih poslovnih aktivnosti Centra naporima za pojednostavnjenje i racionalizaciju administracije, dijeljenjem znanja i resursa s drugim agencijama, digitalizacijom, racionalizacijom i reorganizacijom zadaća, kao i smanjenjem broja sastanaka uz fizičku prisutnost i povećanjem virtualnog sudjelovanja na događanjima; prima na znanje ishod tih napora, među ostalim pretvaranje triju radnih mjesta asistenata u radna mjesta stručnjaka i uštede od oko 390 000 EUR zbog smanjenja sastanaka uz fizičku prisutnost, što sve doprinosi pohvalnom povećanju udjela osoblja koje obavlja glavne poslovne aktivnosti sa 66,5 % u 2021. na 73,2 % 2022.;</w:t>
      </w:r>
    </w:p>
    <w:p w:rsidR="004845FF" w:rsidRPr="00344974" w:rsidRDefault="004845FF" w:rsidP="004845FF">
      <w:pPr>
        <w:pStyle w:val="Normal12Hanging"/>
        <w:rPr>
          <w:szCs w:val="24"/>
          <w:lang w:val="hr-HR"/>
        </w:rPr>
      </w:pPr>
      <w:r w:rsidRPr="00344974">
        <w:rPr>
          <w:lang w:val="hr-HR"/>
        </w:rPr>
        <w:t>10.</w:t>
      </w:r>
      <w:r w:rsidRPr="00344974">
        <w:rPr>
          <w:lang w:val="hr-HR"/>
        </w:rPr>
        <w:tab/>
        <w:t>pohvaljuje Centar za njegov kontinuirani napredak u provedbi svoje strategije IKT-a i digitalizacije u cilju dodatnog povećanja učinkovitosti; napominje da je Centar 2022. digitalizirao sve radne procese, uveo digitalni alat za postupke odabira i novo digitalno okruženje za rad i suradnju te pripremio i pokrenuo upotrebu alata za upravljanje javnom nabavom od siječnja 2023.; pohvaljuje činjenicu da je Centar omogućio digitalne potpise za sve svoje osoblje i da se rukovoditelji koriste certifikatima EU-</w:t>
      </w:r>
      <w:proofErr w:type="spellStart"/>
      <w:r w:rsidRPr="00344974">
        <w:rPr>
          <w:lang w:val="hr-HR"/>
        </w:rPr>
        <w:t>Sign</w:t>
      </w:r>
      <w:proofErr w:type="spellEnd"/>
      <w:r w:rsidRPr="00344974">
        <w:rPr>
          <w:lang w:val="hr-HR"/>
        </w:rPr>
        <w:t xml:space="preserve"> </w:t>
      </w:r>
      <w:r w:rsidRPr="00344974">
        <w:rPr>
          <w:lang w:val="hr-HR"/>
        </w:rPr>
        <w:lastRenderedPageBreak/>
        <w:t>za ugovore, narudžbenice i pravno obvezujuće dokumente;</w:t>
      </w:r>
    </w:p>
    <w:p w:rsidR="004845FF" w:rsidRPr="00344974" w:rsidRDefault="004845FF" w:rsidP="004845FF">
      <w:pPr>
        <w:spacing w:after="240"/>
        <w:ind w:left="567" w:hanging="567"/>
        <w:rPr>
          <w:iCs/>
        </w:rPr>
      </w:pPr>
      <w:r w:rsidRPr="00344974">
        <w:t>11.</w:t>
      </w:r>
      <w:r w:rsidRPr="00344974">
        <w:tab/>
        <w:t>prima na znanje iz izvješća Revizorskog suda da Centar ne pripada onim agencijama koje su integrirale neki oblik izvješćivanja o okolišu u svoja godišnja izvješća o radu i koje su primile registraciju u sustavu EMAS; međutim, prima na znanje sustav upravljanja okolišem koji pomaže Centru u postizanju njegovih okolišnih ciljeva, među ostalim upotrebom ključnih pokazatelja uspješnosti u pogledu potrošnje energije, vode, papira, otpada i emisija CO</w:t>
      </w:r>
      <w:r w:rsidRPr="00344974">
        <w:rPr>
          <w:vertAlign w:val="subscript"/>
        </w:rPr>
        <w:t>2</w:t>
      </w:r>
      <w:r w:rsidRPr="00344974">
        <w:t>; sa zadovoljstvom primjećuje da sustav upravljanja uspješnošću Centra uključuje ekološki pokazatelj („emisije CO</w:t>
      </w:r>
      <w:r w:rsidRPr="00344974">
        <w:rPr>
          <w:vertAlign w:val="subscript"/>
        </w:rPr>
        <w:t>2</w:t>
      </w:r>
      <w:r w:rsidRPr="00344974">
        <w:t xml:space="preserve"> (u tonama)”) kojim se procjenjuje ekološka učinkovitost Centra s pomoću emisija CO</w:t>
      </w:r>
      <w:r w:rsidRPr="00344974">
        <w:rPr>
          <w:vertAlign w:val="subscript"/>
        </w:rPr>
        <w:t>2</w:t>
      </w:r>
      <w:r w:rsidRPr="00344974">
        <w:t xml:space="preserve"> i ukupnih emisija iz otpada; nadalje prima na znanje predanost Centra da unaprijedi svoj sustav upravljanja okolišem i poduzme korake kako bi postao certificiran u okviru sustava EMAS od 2025.;</w:t>
      </w:r>
    </w:p>
    <w:p w:rsidR="004845FF" w:rsidRPr="00344974" w:rsidRDefault="004845FF" w:rsidP="004845FF">
      <w:pPr>
        <w:pStyle w:val="Normal12Hanging"/>
        <w:rPr>
          <w:b/>
          <w:i/>
          <w:szCs w:val="24"/>
          <w:lang w:val="hr-HR"/>
        </w:rPr>
      </w:pPr>
      <w:r w:rsidRPr="00344974">
        <w:rPr>
          <w:b/>
          <w:i/>
          <w:lang w:val="hr-HR"/>
        </w:rPr>
        <w:t>Kadrovska politika</w:t>
      </w:r>
    </w:p>
    <w:p w:rsidR="004845FF" w:rsidRPr="00344974" w:rsidRDefault="004845FF" w:rsidP="004845FF">
      <w:pPr>
        <w:pStyle w:val="Normal12Hanging"/>
        <w:rPr>
          <w:szCs w:val="24"/>
          <w:lang w:val="hr-HR"/>
        </w:rPr>
      </w:pPr>
      <w:r w:rsidRPr="00344974">
        <w:rPr>
          <w:lang w:val="hr-HR"/>
        </w:rPr>
        <w:t>12.</w:t>
      </w:r>
      <w:r w:rsidRPr="00344974">
        <w:rPr>
          <w:lang w:val="hr-HR"/>
        </w:rPr>
        <w:tab/>
        <w:t>prima na znanje da je 31. prosinca 2022. razina popunjenosti plana radnih mjesta iznosila 95,60 % i da je imenovano 79 privremenih djelatnika od 83 privremena radna mjesta i osam dužnosnika od osam odobrenih u okviru proračuna Unije; osim toga, napominje da je 2022. u Centru radilo 20 ugovornih djelatnika od 25 radnih mjesta odobrenih u okviru proračuna Unije te 4 upućena nacionalna stručnjaka i 5 privremenih djelatnika;</w:t>
      </w:r>
    </w:p>
    <w:p w:rsidR="004845FF" w:rsidRPr="00344974" w:rsidRDefault="004845FF" w:rsidP="004845FF">
      <w:pPr>
        <w:pStyle w:val="NormalHanging12a"/>
      </w:pPr>
      <w:r w:rsidRPr="00344974">
        <w:t>13.</w:t>
      </w:r>
      <w:r w:rsidRPr="00344974">
        <w:tab/>
        <w:t xml:space="preserve">prima na znanje, kad je riječ o rodnoj ravnoteži prijavljenoj za 2022., da se više rukovodstvo Centra sastoji od četiri muškarca (66,7 %) i dvije žene (33,3 %); prima na znanje da upravni odbor Centra čini 78 muškarca (53 %) i 68 žena (47 %); podsjeća na mandat Centra i na to </w:t>
      </w:r>
      <w:r w:rsidR="00195285">
        <w:t>da velik broj članova Upravnog odbora (14</w:t>
      </w:r>
      <w:r w:rsidRPr="00344974">
        <w:t>6) proizlazi iz njegova posebnog sastava koji se temelji na trostranom načelu, stoga uključuje predstavnike nacionalnih tijela i socijalne partnere; uviđa da upravni odbor preko svojih članova osigurava potrebnu usklađenost rada Centra s potrebama i prioritetima dionika; nadalje prima na znanje da kad je riječ o broju zaposlenih Centra, ukupna rodna zastupljenost iznosi 44 % u korist muškaraca (47) i 56 % u korist žena (61); podsjeća na važnost geografske ravnoteže i u tom pogledu pozdravlja, na temelju izvješća o daljnjim mjerama, predanost Centra ponovnom uspostavljanju geografske ravnoteže svojeg osoblja upotrebom popisa uspješnih kandidata drugih agencija, među ostalim udruživanjem snaga s njima i širenjem oglasa za slobodna radna mjesta;</w:t>
      </w:r>
    </w:p>
    <w:p w:rsidR="004845FF" w:rsidRPr="00344974" w:rsidRDefault="004845FF" w:rsidP="004845FF">
      <w:pPr>
        <w:pStyle w:val="Normal12Hanging"/>
        <w:rPr>
          <w:szCs w:val="24"/>
          <w:lang w:val="hr-HR"/>
        </w:rPr>
      </w:pPr>
      <w:r w:rsidRPr="00344974">
        <w:rPr>
          <w:lang w:val="hr-HR"/>
        </w:rPr>
        <w:t>14.</w:t>
      </w:r>
      <w:r w:rsidRPr="00344974">
        <w:rPr>
          <w:lang w:val="hr-HR"/>
        </w:rPr>
        <w:tab/>
        <w:t xml:space="preserve">sa zadovoljstvom primjećuje da Centar </w:t>
      </w:r>
      <w:proofErr w:type="spellStart"/>
      <w:r w:rsidRPr="00344974">
        <w:rPr>
          <w:lang w:val="hr-HR"/>
        </w:rPr>
        <w:t>proaktivno</w:t>
      </w:r>
      <w:proofErr w:type="spellEnd"/>
      <w:r w:rsidRPr="00344974">
        <w:rPr>
          <w:lang w:val="hr-HR"/>
        </w:rPr>
        <w:t xml:space="preserve"> radi na poboljšanju dobrobiti osoblja i ravnoteže između poslovnog i privatnog života; u tom pogledu prima na znanje da je Centar 2022. ponudio osposobljavanje, na primjer o upravljanju tjeskobom na radnom mjestu, snalaženju u stresnim situacijama i digitalnoj dobrobiti, proveo istraživanje stavova o ljudskim resursima, preoblikovao svoj zajednički odbor koji služi za promicanje dobrobiti osoblja i dobrog zdravlja te je uspostavio program pomoći zaposlenicima 24 sata dnevno sedam dana u tjednu za povjerljivu potporu u vezi s različitim izazovima povezanima sa životom ili radom s kojima se suočava osoblje Centra;</w:t>
      </w:r>
    </w:p>
    <w:p w:rsidR="004845FF" w:rsidRPr="00344974" w:rsidRDefault="004845FF" w:rsidP="004845FF">
      <w:pPr>
        <w:pStyle w:val="NormalHanging12a"/>
      </w:pPr>
      <w:r w:rsidRPr="00344974">
        <w:t>15.</w:t>
      </w:r>
      <w:r w:rsidRPr="00344974">
        <w:tab/>
        <w:t xml:space="preserve">konstatira da je Centar 2022. pokrenuo svoju redovitu anketu o angažmanu osoblja, čiji su rezultati pokazali povoljne odgovore 65 % osoblja Centra (stopa odgovora od 75 %), dok je 10 od 12 dimenzija analize zabilježilo pozitivne promjene u usporedbi s rezultatima ankete iz 2019., unatoč vrlo </w:t>
      </w:r>
      <w:proofErr w:type="spellStart"/>
      <w:r w:rsidRPr="00344974">
        <w:t>disruptivnom</w:t>
      </w:r>
      <w:proofErr w:type="spellEnd"/>
      <w:r w:rsidRPr="00344974">
        <w:t xml:space="preserve"> razdoblju od posljednjeg istraživanja te godine, dok je nekim područjima potrebno posvetiti dodatnu pozornost, </w:t>
      </w:r>
      <w:r w:rsidRPr="00344974">
        <w:lastRenderedPageBreak/>
        <w:t>kao što su radno opterećenje, transparentnost u donošenju odluka i unutarnja suradnja; pozdravlja činjenicu da su rezultati ankete predstavljeni cjelokupnom osoblju na općoj skupštini i na posebnim sastancima s vremenom za pitanja;</w:t>
      </w:r>
    </w:p>
    <w:p w:rsidR="004845FF" w:rsidRPr="00344974" w:rsidRDefault="004845FF" w:rsidP="004845FF">
      <w:pPr>
        <w:pStyle w:val="NormalHanging12a"/>
      </w:pPr>
      <w:r w:rsidRPr="00344974">
        <w:t>16.</w:t>
      </w:r>
      <w:r w:rsidRPr="00344974">
        <w:tab/>
        <w:t xml:space="preserve">u okviru politike Centra o jednakim mogućnostima i raznolikosti te u pogledu potpore osobama s invaliditetom pozdravlja poduzete mjere kao što su osposobljavanje (o pitanjima raznolikosti i </w:t>
      </w:r>
      <w:proofErr w:type="spellStart"/>
      <w:r w:rsidRPr="00344974">
        <w:t>uključivosti</w:t>
      </w:r>
      <w:proofErr w:type="spellEnd"/>
      <w:r w:rsidRPr="00344974">
        <w:t xml:space="preserve">) i smjernice (o otkrivanju i suzbijanju nesvjesne pristranosti) koje se pružaju osoblju za ljudske resurse i odborima za odabir, kao i smještaj kandidata s invaliditetom; također prima na znanje iz odgovora Centra na pisana pitanja Parlamenta planove Centra da 2023. donese „Povelju o raznolikosti i </w:t>
      </w:r>
      <w:proofErr w:type="spellStart"/>
      <w:r w:rsidRPr="00344974">
        <w:t>uključivosti</w:t>
      </w:r>
      <w:proofErr w:type="spellEnd"/>
      <w:r w:rsidRPr="00344974">
        <w:t>”;</w:t>
      </w:r>
    </w:p>
    <w:p w:rsidR="004845FF" w:rsidRPr="00344974" w:rsidRDefault="004845FF" w:rsidP="004845FF">
      <w:pPr>
        <w:pStyle w:val="Normal12Hanging"/>
        <w:rPr>
          <w:szCs w:val="24"/>
          <w:lang w:val="hr-HR"/>
        </w:rPr>
      </w:pPr>
      <w:r w:rsidRPr="00344974">
        <w:rPr>
          <w:lang w:val="hr-HR"/>
        </w:rPr>
        <w:t>17.</w:t>
      </w:r>
      <w:r w:rsidRPr="00344974">
        <w:rPr>
          <w:lang w:val="hr-HR"/>
        </w:rPr>
        <w:tab/>
        <w:t>sa zabrinutošću prima na znanje iz izvješća Revizorskog suda primjedbu da je Centar u razdoblju 2017. – 2022. isplaćivao mjesečne naknade i dnevnice dvama grčkim državljanima koji su zaposleni kao upućeni nacionalni stručnjaci; u tom kontekstu napominje da dva upućena nacionalna stručnjaka nisu imala pravo na te naknade u skladu s internim pravilima Centra jer se Centar nalazi u Grčkoj, stoga se ukupna povezana plaćanja izvršena upućenim nacionalnim stručnjacima tijekom tog razdoblja u iznosu od 222 647 EUR (u usporedbi s 36 608 EUR za 2022.) smatraju nepravilnima; nadalje, napominje da je Centar, kada je 2022. utvrdio taj problem, prijavio ta dva slučaja u registru neusklađenosti i iznimaka, odlučio da neće tražiti povrat nepravilno isplaćenih iznosa te je uveo tromjesečno razdoblje postupnog ukidanja za upućene nacionalne stručnjake koje je u to vrijeme još bilo na snazi; poziva na strogo praćenje i izbjegavanje takvih situacija u budućnosti;</w:t>
      </w:r>
    </w:p>
    <w:p w:rsidR="004845FF" w:rsidRPr="00344974" w:rsidRDefault="004845FF" w:rsidP="004845FF">
      <w:pPr>
        <w:pStyle w:val="Normal12Hanging"/>
        <w:rPr>
          <w:b/>
          <w:i/>
          <w:szCs w:val="24"/>
          <w:lang w:val="hr-HR"/>
        </w:rPr>
      </w:pPr>
      <w:r w:rsidRPr="00344974">
        <w:rPr>
          <w:b/>
          <w:i/>
          <w:lang w:val="hr-HR"/>
        </w:rPr>
        <w:t>Postupanje u slučaju sukoba interesa i njihovo sprečavanje te transparentnost</w:t>
      </w:r>
    </w:p>
    <w:p w:rsidR="004845FF" w:rsidRPr="00344974" w:rsidRDefault="004845FF" w:rsidP="004845FF">
      <w:pPr>
        <w:pStyle w:val="Normal12Hanging"/>
        <w:rPr>
          <w:szCs w:val="24"/>
          <w:lang w:val="hr-HR"/>
        </w:rPr>
      </w:pPr>
      <w:r w:rsidRPr="00344974">
        <w:rPr>
          <w:lang w:val="hr-HR"/>
        </w:rPr>
        <w:t>18.</w:t>
      </w:r>
      <w:r w:rsidRPr="00344974">
        <w:rPr>
          <w:lang w:val="hr-HR"/>
        </w:rPr>
        <w:tab/>
        <w:t xml:space="preserve">prima na znanje postojeće mjere Centra i njegove trajne napore u cilju osiguravanja transparentnosti, sprečavanja i postupanja u slučaju sukoba interesa i zaštite zviždača; primjećuje da Centar zahtijeva od svojih članova osoblja da prijave potencijalne ili stvarne interese ako djeluju u situaciji u kojoj može doći do sukoba interesa; u tom kontekstu konstatira da Centar ima vlastiti mehanizam, koji uključuje ex </w:t>
      </w:r>
      <w:proofErr w:type="spellStart"/>
      <w:r w:rsidRPr="00344974">
        <w:rPr>
          <w:lang w:val="hr-HR"/>
        </w:rPr>
        <w:t>ante</w:t>
      </w:r>
      <w:proofErr w:type="spellEnd"/>
      <w:r w:rsidRPr="00344974">
        <w:rPr>
          <w:lang w:val="hr-HR"/>
        </w:rPr>
        <w:t xml:space="preserve"> mjere s mjerama ublažavanja, ex post kontrole, kao i pomoć koordinatora za unutarnju kontrolu Centra koji prima informacije o prijavljenim sukobima interesa;</w:t>
      </w:r>
    </w:p>
    <w:p w:rsidR="004845FF" w:rsidRPr="00344974" w:rsidRDefault="004845FF" w:rsidP="004845FF">
      <w:pPr>
        <w:pStyle w:val="Normal12Hanging"/>
        <w:rPr>
          <w:szCs w:val="24"/>
          <w:lang w:val="hr-HR"/>
        </w:rPr>
      </w:pPr>
      <w:r w:rsidRPr="00344974">
        <w:rPr>
          <w:lang w:val="hr-HR"/>
        </w:rPr>
        <w:t>19.</w:t>
      </w:r>
      <w:r w:rsidRPr="00344974">
        <w:rPr>
          <w:lang w:val="hr-HR"/>
        </w:rPr>
        <w:tab/>
        <w:t>podsjeća da, prema Uredbi (EU) 2019/128, svi članovi i zamjenici koji prisustvuju sastancima upravnog odbora ili ostvaruju pravo glasa moraju podnijeti izjavu o financijskim interesima; pozdravlja činjenicu da su izjave o financijskim interesima svih članova upravnog odbora i njihovih zamjenika te osoblja Centra na višim ili srednjim rukovodećim položajima objavljeni na internetskim stranicama Centra; na temelju odgovora Centra na pisana pitanja Parlamenta primjećuje da se od 2022. članovi upravnog odbora ili njihovi zamjenici koji ne predaju potpisanu izjavu o financijskim interesima više ne pozivaju na sastanke upravnog odbora, ne primaju dokumente upravnog odbora i ne sudjeluju u pisanim postupcima donošenja odluka; prima na znanje objavu životopisa članova upravnog odbora, iako to službeno nije obvezno; primjećuje da životopisi nekih članova upravnog odbora još uvijek nedostaju, uključujući životopis predsjednika upravnog odbora; poziva Centar da objavi životopise svih svojih članova upravnog odbora i njihovih zamjenika;</w:t>
      </w:r>
    </w:p>
    <w:p w:rsidR="004845FF" w:rsidRPr="00344974" w:rsidRDefault="004845FF" w:rsidP="004845FF">
      <w:pPr>
        <w:pStyle w:val="Normal12Hanging"/>
        <w:rPr>
          <w:szCs w:val="24"/>
          <w:lang w:val="hr-HR"/>
        </w:rPr>
      </w:pPr>
      <w:r w:rsidRPr="00344974">
        <w:rPr>
          <w:lang w:val="hr-HR"/>
        </w:rPr>
        <w:t>20.</w:t>
      </w:r>
      <w:r w:rsidRPr="00344974">
        <w:rPr>
          <w:lang w:val="hr-HR"/>
        </w:rPr>
        <w:tab/>
        <w:t xml:space="preserve">napominje da Centar prepoznaje važnost situacija „rotirajućih vrata” i redovito podiže razinu osviještenosti svog osoblja o provedbenim pravilima o vanjskim aktivnostima i zadacima te profesionalnim aktivnostima nakon napuštanja službe; pohvaljuje činjenicu </w:t>
      </w:r>
      <w:r w:rsidRPr="00344974">
        <w:rPr>
          <w:lang w:val="hr-HR"/>
        </w:rPr>
        <w:lastRenderedPageBreak/>
        <w:t>da se od svih članova osoblja koji napuštaju Centar traži da potpišu pismo o svojim obvezama nakon odlaska iz službe, među ostalim da svako buduće zaposlenje ne bi smjelo utjecati na njihovu obvezu povjerljivosti prema Centru;</w:t>
      </w:r>
    </w:p>
    <w:p w:rsidR="004845FF" w:rsidRPr="00344974" w:rsidRDefault="004845FF" w:rsidP="004845FF">
      <w:pPr>
        <w:pStyle w:val="Normal12Hanging"/>
        <w:rPr>
          <w:b/>
          <w:i/>
          <w:szCs w:val="24"/>
          <w:lang w:val="hr-HR"/>
        </w:rPr>
      </w:pPr>
      <w:r w:rsidRPr="00344974">
        <w:rPr>
          <w:b/>
          <w:i/>
          <w:lang w:val="hr-HR"/>
        </w:rPr>
        <w:t>Unutarnja kontrola</w:t>
      </w:r>
    </w:p>
    <w:p w:rsidR="004845FF" w:rsidRPr="00344974" w:rsidRDefault="004845FF" w:rsidP="004845FF">
      <w:pPr>
        <w:pStyle w:val="Normal12Hanging"/>
        <w:rPr>
          <w:szCs w:val="24"/>
          <w:lang w:val="hr-HR"/>
        </w:rPr>
      </w:pPr>
      <w:r w:rsidRPr="00344974">
        <w:rPr>
          <w:lang w:val="hr-HR"/>
        </w:rPr>
        <w:t>21.</w:t>
      </w:r>
      <w:r w:rsidRPr="00344974">
        <w:rPr>
          <w:lang w:val="hr-HR"/>
        </w:rPr>
        <w:tab/>
        <w:t>prima na znanje da su ukupni troškovi unutarnje kontrole za 2022. iznosili 1 101 755 EUR (izravni troškovi u iznosu od 29 024 EUR i neizravni troškovi u iznosu od 1 072 731 EUR), što iznosi 6 % proračuna Centra; nadalje prima na znanje izjavu Centra da je umjereno povećanje troškova u odnosu na 2021. (5,3 %) posljedica povećanja troškova plaća i kombinacije osoblja uključenog u zadaće unutarnje kontrole, što dovodi do većih neizravnih troškova;</w:t>
      </w:r>
    </w:p>
    <w:p w:rsidR="004845FF" w:rsidRPr="00344974" w:rsidRDefault="004845FF" w:rsidP="004845FF">
      <w:pPr>
        <w:pStyle w:val="Normal12Hanging"/>
        <w:rPr>
          <w:szCs w:val="24"/>
          <w:lang w:val="hr-HR"/>
        </w:rPr>
      </w:pPr>
      <w:r w:rsidRPr="00344974">
        <w:rPr>
          <w:lang w:val="hr-HR"/>
        </w:rPr>
        <w:t>22.</w:t>
      </w:r>
      <w:r w:rsidRPr="00344974">
        <w:rPr>
          <w:lang w:val="hr-HR"/>
        </w:rPr>
        <w:tab/>
        <w:t xml:space="preserve">potvrđuje činjenicu da, u skladu sa svojom evaluacijskom politikom, Centar provodi ex </w:t>
      </w:r>
      <w:proofErr w:type="spellStart"/>
      <w:r w:rsidRPr="00344974">
        <w:rPr>
          <w:lang w:val="hr-HR"/>
        </w:rPr>
        <w:t>ante</w:t>
      </w:r>
      <w:proofErr w:type="spellEnd"/>
      <w:r w:rsidRPr="00344974">
        <w:rPr>
          <w:lang w:val="hr-HR"/>
        </w:rPr>
        <w:t xml:space="preserve"> evaluacije postupaka javne nabave u vrijednosti većoj od 500 000 EUR i ex post evaluacije projekata i aktivnosti s ukupnim rashodima većima od 500 000 EUR; prima na znanje da je u izvješću voditelja odjela za financije i javnu nabavu za 2022. zaključeno da su postupci javne nabave pokrenuti u ispitanom razdoblju bili u skladu sa zahtjevima ex </w:t>
      </w:r>
      <w:proofErr w:type="spellStart"/>
      <w:r w:rsidRPr="00344974">
        <w:rPr>
          <w:lang w:val="hr-HR"/>
        </w:rPr>
        <w:t>ante</w:t>
      </w:r>
      <w:proofErr w:type="spellEnd"/>
      <w:r w:rsidRPr="00344974">
        <w:rPr>
          <w:lang w:val="hr-HR"/>
        </w:rPr>
        <w:t xml:space="preserve"> evaluacije; napominje da je Centar 2022. proveo ex post evaluaciju aktivnosti usmjerene na okvirni ugovor u području istraživanja tržišta rada i analize potreba za vještinama (ugovorna vrijednost iznosi 1 088 350 EUR); prima na znanje da je evaluacijom potvrđeno da je ta aktivnost bila djelotvorna, učinkovita i dosljedna te da je njome ostvarena dodana vrijednost Unije; nadalje primjećuje da je 2022. radna skupina koju je imenovao izvršni direktor zaključila da su, u pogledu uzorka od tri postupka javne nabave, uspostavljeni i primijenjeni kriteriji povezani s djelotvornom i učinkovitom unutarnjom kontrolom, bez potrebe za korektivnim mjerama;</w:t>
      </w:r>
    </w:p>
    <w:p w:rsidR="004845FF" w:rsidRPr="00344974" w:rsidRDefault="004845FF" w:rsidP="004845FF">
      <w:pPr>
        <w:pStyle w:val="Normal12Hanging"/>
        <w:rPr>
          <w:szCs w:val="24"/>
          <w:lang w:val="hr-HR"/>
        </w:rPr>
      </w:pPr>
      <w:r w:rsidRPr="00344974">
        <w:rPr>
          <w:lang w:val="hr-HR"/>
        </w:rPr>
        <w:t>23.</w:t>
      </w:r>
      <w:r w:rsidRPr="00344974">
        <w:rPr>
          <w:lang w:val="hr-HR"/>
        </w:rPr>
        <w:tab/>
        <w:t>napominje da je Centar 2022. zabilježio 57 slučajeva neusklađenosti i zahtjeva za izuzeće povezanih s pitanjima upravljanja ugovorima i financijskog upravljanja; osim toga, napominje da su preporuke koordinatora za unutarnju kontrolu provedene i da su poduzete daljnje mjere kako bi se izbjeglo ponavljanje;</w:t>
      </w:r>
    </w:p>
    <w:p w:rsidR="004845FF" w:rsidRPr="00344974" w:rsidRDefault="004845FF" w:rsidP="004845FF">
      <w:pPr>
        <w:pStyle w:val="Normal12Hanging"/>
        <w:rPr>
          <w:szCs w:val="24"/>
          <w:lang w:val="hr-HR"/>
        </w:rPr>
      </w:pPr>
      <w:r w:rsidRPr="00344974">
        <w:rPr>
          <w:lang w:val="hr-HR"/>
        </w:rPr>
        <w:t>24.</w:t>
      </w:r>
      <w:r w:rsidRPr="00344974">
        <w:rPr>
          <w:lang w:val="hr-HR"/>
        </w:rPr>
        <w:tab/>
        <w:t>primjećuje da je u procjeni općeg okvira unutarnje kontrole Centra, koju je proveo koordinator za unutarnju kontrolu koristeći se alatom Glavne uprave za proračun, zaključeno da je okvir za unutarnju kontrolu učinkovit, da su sve njegove komponente uspostavljene i da dobro funkcioniraju u svrhu za koju su namijenjene, uz potrebu određenih poboljšanja koja se odnose na komponentu unutarnje kontrole „Aktivnosti kontrole”; sa zadovoljstvom prima na znanje iz izvješća o daljnjim mjerama da Centar, u okviru svojih aktivnosti za podizanje razine osviještenosti o pitanjima etike, integriteta i unutarnje kontrole, održava redovite obvezne sjednice o dobrom upravljanju, uključujući pitanja povezana s prijevarama, za sve osoblje i članove upravnog odbora;</w:t>
      </w:r>
    </w:p>
    <w:p w:rsidR="004845FF" w:rsidRPr="00344974" w:rsidRDefault="004845FF" w:rsidP="004845FF">
      <w:pPr>
        <w:pStyle w:val="Normal12Hanging"/>
        <w:rPr>
          <w:szCs w:val="24"/>
          <w:lang w:val="hr-HR"/>
        </w:rPr>
      </w:pPr>
      <w:r w:rsidRPr="00344974">
        <w:rPr>
          <w:b/>
          <w:i/>
          <w:lang w:val="hr-HR"/>
        </w:rPr>
        <w:t>Ostale primjedbe</w:t>
      </w:r>
    </w:p>
    <w:p w:rsidR="004845FF" w:rsidRPr="00344974" w:rsidRDefault="004845FF" w:rsidP="004845FF">
      <w:pPr>
        <w:pStyle w:val="Normal12Hanging"/>
        <w:rPr>
          <w:szCs w:val="24"/>
          <w:lang w:val="hr-HR"/>
        </w:rPr>
      </w:pPr>
      <w:r w:rsidRPr="00344974">
        <w:rPr>
          <w:lang w:val="hr-HR"/>
        </w:rPr>
        <w:t>25.</w:t>
      </w:r>
      <w:r w:rsidRPr="00344974">
        <w:rPr>
          <w:lang w:val="hr-HR"/>
        </w:rPr>
        <w:tab/>
        <w:t xml:space="preserve">pozdravlja napore Centra da komunicira na načine koji pomažu u dopiranju do šire publike, među ostalim uvođenjem strojnog prevođenja na internetskim stranicama Centra kako bi sve njegove internetske stranice bile dostupne na svim službenim jezicima institucija Unije; napominje da je Centar 2022. uložio u nekoliko inovativnih proizvoda kao što su korporativne </w:t>
      </w:r>
      <w:proofErr w:type="spellStart"/>
      <w:r w:rsidRPr="00344974">
        <w:rPr>
          <w:lang w:val="hr-HR"/>
        </w:rPr>
        <w:t>videoprodukcije</w:t>
      </w:r>
      <w:proofErr w:type="spellEnd"/>
      <w:r w:rsidRPr="00344974">
        <w:rPr>
          <w:lang w:val="hr-HR"/>
        </w:rPr>
        <w:t xml:space="preserve">, grafički prikazi pokreta, animacije (o sustavima strukovnog obrazovanja i osposobljavanja zemalja koje predsjedaju Unijom 2022., to jest Francuske i Češke), podcasta, kao i u nove vizualizacije podataka </w:t>
      </w:r>
      <w:r w:rsidRPr="00344974">
        <w:rPr>
          <w:lang w:val="hr-HR"/>
        </w:rPr>
        <w:lastRenderedPageBreak/>
        <w:t>i internetske baze podataka kojima je ojačan internetski portal Centra; sa zadovoljstvom primjećuje da su publikacije i informativne bilješke Centra stigle do desetaka tisuća ljudi izravnim preuzimanjem; pohvaljuje Centar za povećanje njegovih aktivnosti na društvenim mrežama 2022. godine;</w:t>
      </w:r>
    </w:p>
    <w:p w:rsidR="004845FF" w:rsidRPr="00344974" w:rsidRDefault="004845FF" w:rsidP="004845FF">
      <w:pPr>
        <w:pStyle w:val="Normal12Hanging"/>
        <w:rPr>
          <w:szCs w:val="24"/>
          <w:lang w:val="hr-HR"/>
        </w:rPr>
      </w:pPr>
      <w:r w:rsidRPr="00344974">
        <w:rPr>
          <w:lang w:val="hr-HR"/>
        </w:rPr>
        <w:t>26.</w:t>
      </w:r>
      <w:r w:rsidRPr="00344974">
        <w:rPr>
          <w:lang w:val="hr-HR"/>
        </w:rPr>
        <w:tab/>
        <w:t>ističe da su strukovno obrazovanje i osposobljavanje te obrazovanje odraslih ključni prioriteti Europskog socijalnog fonda plus (ESF+) na putu prema zelenom i digitalnom oporavku, dok proračun ESF-a plus za razdoblje 2021. – 2027. iznosi gotovo 99,3 milijarde EUR;</w:t>
      </w:r>
    </w:p>
    <w:p w:rsidR="004845FF" w:rsidRPr="00344974" w:rsidRDefault="004845FF" w:rsidP="004845FF">
      <w:pPr>
        <w:pStyle w:val="NormalHanging12a"/>
      </w:pPr>
      <w:r w:rsidRPr="00344974">
        <w:t>27.</w:t>
      </w:r>
      <w:r w:rsidRPr="00344974">
        <w:tab/>
        <w:t xml:space="preserve">primjećuje da je zbog visokih stopa inflacije i povezane prilagodbe plaća te povećanja plaća iznad početnih predviđanja u kombinaciji s povećanjem faktora </w:t>
      </w:r>
      <w:proofErr w:type="spellStart"/>
      <w:r w:rsidRPr="00344974">
        <w:t>ponderiranja</w:t>
      </w:r>
      <w:proofErr w:type="spellEnd"/>
      <w:r w:rsidRPr="00344974">
        <w:t>, fleksibilnost u osiguravanju dodatnih sredstava za osnovnu djelatnost bila ograničena;</w:t>
      </w:r>
    </w:p>
    <w:p w:rsidR="004845FF" w:rsidRPr="00344974" w:rsidRDefault="004845FF" w:rsidP="004845FF">
      <w:pPr>
        <w:pStyle w:val="NormalCenter12a"/>
      </w:pPr>
      <w:r w:rsidRPr="00344974">
        <w:t>°</w:t>
      </w:r>
    </w:p>
    <w:p w:rsidR="004845FF" w:rsidRPr="00344974" w:rsidRDefault="004845FF" w:rsidP="004845FF">
      <w:pPr>
        <w:pStyle w:val="NormalCenter12a"/>
      </w:pPr>
      <w:r w:rsidRPr="00344974">
        <w:t>°</w:t>
      </w:r>
      <w:r w:rsidRPr="00344974">
        <w:tab/>
        <w:t>°</w:t>
      </w:r>
    </w:p>
    <w:p w:rsidR="004845FF" w:rsidRPr="00344974" w:rsidRDefault="004845FF" w:rsidP="004845FF">
      <w:pPr>
        <w:pStyle w:val="NormalHanging12a"/>
      </w:pPr>
      <w:r w:rsidRPr="00344974">
        <w:t>28.</w:t>
      </w:r>
      <w:r w:rsidRPr="00344974">
        <w:tab/>
        <w:t>u vezi s drugim primjedbama koje su priložene Odluci o razrješnici i horizontalne su naravi upuć</w:t>
      </w:r>
      <w:r w:rsidR="00195285">
        <w:t>uje na svoju Rezoluciju od 11. travnja</w:t>
      </w:r>
      <w:r w:rsidRPr="00344974">
        <w:t xml:space="preserve"> 2024.</w:t>
      </w:r>
      <w:r w:rsidRPr="00344974">
        <w:rPr>
          <w:rStyle w:val="FootnoteReference"/>
        </w:rPr>
        <w:footnoteReference w:id="12"/>
      </w:r>
      <w:r w:rsidRPr="00344974">
        <w:t xml:space="preserve"> o usp</w:t>
      </w:r>
      <w:bookmarkStart w:id="10" w:name="_GoBack"/>
      <w:bookmarkEnd w:id="10"/>
      <w:r w:rsidRPr="00344974">
        <w:t>ješnosti, financijskom upravljanju i nadzoru agencija.</w:t>
      </w:r>
    </w:p>
    <w:p w:rsidR="004845FF" w:rsidRPr="00344974" w:rsidRDefault="004845FF" w:rsidP="00B74941">
      <w:pPr>
        <w:pStyle w:val="NormalHanging12a"/>
        <w:ind w:left="0" w:firstLine="0"/>
      </w:pPr>
    </w:p>
    <w:sectPr w:rsidR="004845FF" w:rsidRPr="00344974" w:rsidSect="008D436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3B5A" w:rsidRPr="00344974" w:rsidRDefault="00123B5A">
      <w:r w:rsidRPr="00344974">
        <w:separator/>
      </w:r>
    </w:p>
  </w:endnote>
  <w:endnote w:type="continuationSeparator" w:id="0">
    <w:p w:rsidR="00123B5A" w:rsidRPr="00344974" w:rsidRDefault="00123B5A">
      <w:r w:rsidRPr="003449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5FF" w:rsidRPr="00344974" w:rsidRDefault="004845FF" w:rsidP="00DD32C9">
    <w:pPr>
      <w:pStyle w:val="EPFooter"/>
    </w:pPr>
    <w:r w:rsidRPr="00344974">
      <w:t>PE</w:t>
    </w:r>
    <w:r w:rsidRPr="00344974">
      <w:rPr>
        <w:rStyle w:val="HideTWBExt"/>
      </w:rPr>
      <w:t>&lt;</w:t>
    </w:r>
    <w:proofErr w:type="spellStart"/>
    <w:r w:rsidRPr="00344974">
      <w:rPr>
        <w:rStyle w:val="HideTWBExt"/>
      </w:rPr>
      <w:t>NoPE</w:t>
    </w:r>
    <w:proofErr w:type="spellEnd"/>
    <w:r w:rsidRPr="00344974">
      <w:rPr>
        <w:rStyle w:val="HideTWBExt"/>
      </w:rPr>
      <w:t>&gt;</w:t>
    </w:r>
    <w:r w:rsidRPr="00344974">
      <w:t>753.509</w:t>
    </w:r>
    <w:r w:rsidRPr="00344974">
      <w:rPr>
        <w:rStyle w:val="HideTWBExt"/>
      </w:rPr>
      <w:t>&lt;/</w:t>
    </w:r>
    <w:proofErr w:type="spellStart"/>
    <w:r w:rsidRPr="00344974">
      <w:rPr>
        <w:rStyle w:val="HideTWBExt"/>
      </w:rPr>
      <w:t>NoPE</w:t>
    </w:r>
    <w:proofErr w:type="spellEnd"/>
    <w:r w:rsidRPr="00344974">
      <w:rPr>
        <w:rStyle w:val="HideTWBExt"/>
      </w:rPr>
      <w:t>&gt;&lt;Version&gt;</w:t>
    </w:r>
    <w:r w:rsidRPr="00344974">
      <w:t>v02-00</w:t>
    </w:r>
    <w:r w:rsidRPr="00344974">
      <w:rPr>
        <w:rStyle w:val="HideTWBExt"/>
      </w:rPr>
      <w:t>&lt;/</w:t>
    </w:r>
    <w:proofErr w:type="spellStart"/>
    <w:r w:rsidRPr="00344974">
      <w:rPr>
        <w:rStyle w:val="HideTWBExt"/>
      </w:rPr>
      <w:t>Version</w:t>
    </w:r>
    <w:proofErr w:type="spellEnd"/>
    <w:r w:rsidRPr="00344974">
      <w:rPr>
        <w:rStyle w:val="HideTWBExt"/>
      </w:rPr>
      <w:t>&gt;</w:t>
    </w:r>
    <w:r w:rsidRPr="00344974">
      <w:tab/>
    </w:r>
    <w:r w:rsidRPr="00344974">
      <w:fldChar w:fldCharType="begin"/>
    </w:r>
    <w:r w:rsidRPr="00344974">
      <w:instrText xml:space="preserve"> PAGE  \* MERGEFORMAT </w:instrText>
    </w:r>
    <w:r w:rsidRPr="00344974">
      <w:fldChar w:fldCharType="separate"/>
    </w:r>
    <w:r w:rsidR="00344974" w:rsidRPr="00344974">
      <w:rPr>
        <w:noProof/>
      </w:rPr>
      <w:t>2</w:t>
    </w:r>
    <w:r w:rsidRPr="00344974">
      <w:fldChar w:fldCharType="end"/>
    </w:r>
    <w:r w:rsidRPr="00344974">
      <w:t>/</w:t>
    </w:r>
    <w:fldSimple w:instr=" NUMPAGES  \* MERGEFORMAT ">
      <w:r w:rsidR="00344974" w:rsidRPr="00344974">
        <w:rPr>
          <w:noProof/>
        </w:rPr>
        <w:t>3</w:t>
      </w:r>
    </w:fldSimple>
    <w:r w:rsidRPr="00344974">
      <w:tab/>
    </w:r>
    <w:r w:rsidRPr="00344974">
      <w:rPr>
        <w:rStyle w:val="HideTWBExt"/>
      </w:rPr>
      <w:t>&lt;PathFdR&gt;</w:t>
    </w:r>
    <w:r w:rsidRPr="00344974">
      <w:t>RR\1298579HR.docx</w:t>
    </w:r>
    <w:r w:rsidRPr="00344974">
      <w:rPr>
        <w:rStyle w:val="HideTWBExt"/>
      </w:rPr>
      <w:t>&lt;/</w:t>
    </w:r>
    <w:proofErr w:type="spellStart"/>
    <w:r w:rsidRPr="00344974">
      <w:rPr>
        <w:rStyle w:val="HideTWBExt"/>
      </w:rPr>
      <w:t>PathFdR</w:t>
    </w:r>
    <w:proofErr w:type="spellEnd"/>
    <w:r w:rsidRPr="00344974">
      <w:rPr>
        <w:rStyle w:val="HideTWBExt"/>
      </w:rPr>
      <w:t>&gt;</w:t>
    </w:r>
  </w:p>
  <w:p w:rsidR="004845FF" w:rsidRPr="00344974" w:rsidRDefault="004845FF" w:rsidP="00DD32C9">
    <w:pPr>
      <w:pStyle w:val="EPFooter2"/>
    </w:pPr>
    <w:r w:rsidRPr="00344974">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5FF" w:rsidRPr="00344974" w:rsidRDefault="004845FF" w:rsidP="00DD32C9">
    <w:pPr>
      <w:pStyle w:val="EPFooter"/>
    </w:pPr>
    <w:r w:rsidRPr="00344974">
      <w:rPr>
        <w:rStyle w:val="HideTWBExt"/>
      </w:rPr>
      <w:t>&lt;PathFdR&gt;</w:t>
    </w:r>
    <w:r w:rsidRPr="00344974">
      <w:t>RR\1298579HR.docx</w:t>
    </w:r>
    <w:r w:rsidRPr="00344974">
      <w:rPr>
        <w:rStyle w:val="HideTWBExt"/>
      </w:rPr>
      <w:t>&lt;/</w:t>
    </w:r>
    <w:proofErr w:type="spellStart"/>
    <w:r w:rsidRPr="00344974">
      <w:rPr>
        <w:rStyle w:val="HideTWBExt"/>
      </w:rPr>
      <w:t>PathFdR</w:t>
    </w:r>
    <w:proofErr w:type="spellEnd"/>
    <w:r w:rsidRPr="00344974">
      <w:rPr>
        <w:rStyle w:val="HideTWBExt"/>
      </w:rPr>
      <w:t>&gt;</w:t>
    </w:r>
    <w:r w:rsidRPr="00344974">
      <w:tab/>
    </w:r>
    <w:r w:rsidRPr="00344974">
      <w:tab/>
      <w:t>PE</w:t>
    </w:r>
    <w:r w:rsidRPr="00344974">
      <w:rPr>
        <w:rStyle w:val="HideTWBExt"/>
      </w:rPr>
      <w:t>&lt;</w:t>
    </w:r>
    <w:proofErr w:type="spellStart"/>
    <w:r w:rsidRPr="00344974">
      <w:rPr>
        <w:rStyle w:val="HideTWBExt"/>
      </w:rPr>
      <w:t>NoPE</w:t>
    </w:r>
    <w:proofErr w:type="spellEnd"/>
    <w:r w:rsidRPr="00344974">
      <w:rPr>
        <w:rStyle w:val="HideTWBExt"/>
      </w:rPr>
      <w:t>&gt;</w:t>
    </w:r>
    <w:r w:rsidRPr="00344974">
      <w:t>753.509</w:t>
    </w:r>
    <w:r w:rsidRPr="00344974">
      <w:rPr>
        <w:rStyle w:val="HideTWBExt"/>
      </w:rPr>
      <w:t>&lt;/</w:t>
    </w:r>
    <w:proofErr w:type="spellStart"/>
    <w:r w:rsidRPr="00344974">
      <w:rPr>
        <w:rStyle w:val="HideTWBExt"/>
      </w:rPr>
      <w:t>NoPE</w:t>
    </w:r>
    <w:proofErr w:type="spellEnd"/>
    <w:r w:rsidRPr="00344974">
      <w:rPr>
        <w:rStyle w:val="HideTWBExt"/>
      </w:rPr>
      <w:t>&gt;&lt;Version&gt;</w:t>
    </w:r>
    <w:r w:rsidRPr="00344974">
      <w:t>v02-00</w:t>
    </w:r>
    <w:r w:rsidRPr="00344974">
      <w:rPr>
        <w:rStyle w:val="HideTWBExt"/>
      </w:rPr>
      <w:t>&lt;/</w:t>
    </w:r>
    <w:proofErr w:type="spellStart"/>
    <w:r w:rsidRPr="00344974">
      <w:rPr>
        <w:rStyle w:val="HideTWBExt"/>
      </w:rPr>
      <w:t>Version</w:t>
    </w:r>
    <w:proofErr w:type="spellEnd"/>
    <w:r w:rsidRPr="00344974">
      <w:rPr>
        <w:rStyle w:val="HideTWBExt"/>
      </w:rPr>
      <w:t>&gt;</w:t>
    </w:r>
  </w:p>
  <w:p w:rsidR="004845FF" w:rsidRPr="00344974" w:rsidRDefault="004845FF" w:rsidP="00DD32C9">
    <w:pPr>
      <w:pStyle w:val="EPFooter2"/>
    </w:pPr>
    <w:r w:rsidRPr="00344974">
      <w:t>HR</w:t>
    </w:r>
    <w:r w:rsidRPr="00344974">
      <w:tab/>
    </w:r>
    <w:r w:rsidRPr="00344974">
      <w:rPr>
        <w:b w:val="0"/>
        <w:i/>
        <w:color w:val="C0C0C0"/>
        <w:sz w:val="22"/>
      </w:rPr>
      <w:t>Ujedinjena u raznolikosti</w:t>
    </w:r>
    <w:r w:rsidRPr="00344974">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497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497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49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3B5A" w:rsidRPr="00344974" w:rsidRDefault="00123B5A">
      <w:r w:rsidRPr="00344974">
        <w:separator/>
      </w:r>
    </w:p>
  </w:footnote>
  <w:footnote w:type="continuationSeparator" w:id="0">
    <w:p w:rsidR="00123B5A" w:rsidRPr="00344974" w:rsidRDefault="00123B5A">
      <w:r w:rsidRPr="00344974">
        <w:continuationSeparator/>
      </w:r>
    </w:p>
  </w:footnote>
  <w:footnote w:id="1">
    <w:p w:rsidR="004845FF" w:rsidRPr="00344974" w:rsidRDefault="004845FF" w:rsidP="00344974">
      <w:pPr>
        <w:pStyle w:val="FootnoteText"/>
        <w:ind w:left="567" w:hanging="567"/>
        <w:rPr>
          <w:sz w:val="24"/>
          <w:lang w:val="hr-HR"/>
        </w:rPr>
      </w:pPr>
      <w:r w:rsidRPr="00344974">
        <w:rPr>
          <w:rStyle w:val="FootnoteReference"/>
          <w:sz w:val="24"/>
          <w:lang w:val="hr-HR"/>
        </w:rPr>
        <w:footnoteRef/>
      </w:r>
      <w:r w:rsidR="00344974" w:rsidRPr="00344974">
        <w:rPr>
          <w:sz w:val="24"/>
          <w:lang w:val="hr-HR"/>
        </w:rPr>
        <w:t xml:space="preserve"> </w:t>
      </w:r>
      <w:r w:rsidR="00344974" w:rsidRPr="00344974">
        <w:rPr>
          <w:sz w:val="24"/>
          <w:lang w:val="hr-HR"/>
        </w:rPr>
        <w:tab/>
      </w:r>
      <w:r w:rsidRPr="00344974">
        <w:rPr>
          <w:sz w:val="24"/>
          <w:lang w:val="hr-HR"/>
        </w:rPr>
        <w:t>SL C, C/2023/594, 27.10.2023.</w:t>
      </w:r>
    </w:p>
  </w:footnote>
  <w:footnote w:id="2">
    <w:p w:rsidR="004845FF" w:rsidRPr="00344974" w:rsidRDefault="004845FF" w:rsidP="00344974">
      <w:pPr>
        <w:pStyle w:val="FootnoteText"/>
        <w:ind w:left="567" w:hanging="567"/>
        <w:rPr>
          <w:sz w:val="24"/>
          <w:lang w:val="hr-HR"/>
        </w:rPr>
      </w:pPr>
      <w:r w:rsidRPr="00344974">
        <w:rPr>
          <w:rStyle w:val="FootnoteReference"/>
          <w:sz w:val="24"/>
          <w:lang w:val="hr-HR"/>
        </w:rPr>
        <w:footnoteRef/>
      </w:r>
      <w:r w:rsidR="00344974" w:rsidRPr="00344974">
        <w:rPr>
          <w:sz w:val="24"/>
          <w:lang w:val="hr-HR"/>
        </w:rPr>
        <w:t xml:space="preserve"> </w:t>
      </w:r>
      <w:r w:rsidR="00344974" w:rsidRPr="00344974">
        <w:rPr>
          <w:sz w:val="24"/>
          <w:lang w:val="hr-HR"/>
        </w:rPr>
        <w:tab/>
      </w:r>
      <w:r w:rsidRPr="00344974">
        <w:rPr>
          <w:sz w:val="24"/>
          <w:lang w:val="hr-HR"/>
        </w:rPr>
        <w:t>SL C, C/2023/112, 12.10.2023.</w:t>
      </w:r>
    </w:p>
  </w:footnote>
  <w:footnote w:id="3">
    <w:p w:rsidR="004845FF" w:rsidRPr="00344974" w:rsidRDefault="004845FF" w:rsidP="00344974">
      <w:pPr>
        <w:pStyle w:val="FootnoteText"/>
        <w:ind w:left="567" w:hanging="567"/>
        <w:rPr>
          <w:sz w:val="24"/>
          <w:lang w:val="hr-HR"/>
        </w:rPr>
      </w:pPr>
      <w:r w:rsidRPr="00344974">
        <w:rPr>
          <w:rStyle w:val="FootnoteReference"/>
          <w:sz w:val="24"/>
          <w:lang w:val="hr-HR"/>
        </w:rPr>
        <w:footnoteRef/>
      </w:r>
      <w:r w:rsidR="00344974" w:rsidRPr="00344974">
        <w:rPr>
          <w:sz w:val="24"/>
          <w:lang w:val="hr-HR"/>
        </w:rPr>
        <w:t xml:space="preserve"> </w:t>
      </w:r>
      <w:r w:rsidR="00344974" w:rsidRPr="00344974">
        <w:rPr>
          <w:sz w:val="24"/>
          <w:lang w:val="hr-HR"/>
        </w:rPr>
        <w:tab/>
      </w:r>
      <w:r w:rsidRPr="00344974">
        <w:rPr>
          <w:sz w:val="24"/>
          <w:lang w:val="hr-HR"/>
        </w:rPr>
        <w:t>SL L 193, 30.7.2018., str. 1.</w:t>
      </w:r>
    </w:p>
  </w:footnote>
  <w:footnote w:id="4">
    <w:p w:rsidR="004845FF" w:rsidRPr="00344974" w:rsidRDefault="004845FF" w:rsidP="00344974">
      <w:pPr>
        <w:pStyle w:val="FootnoteText"/>
        <w:ind w:left="567" w:hanging="567"/>
        <w:rPr>
          <w:sz w:val="24"/>
          <w:lang w:val="hr-HR"/>
        </w:rPr>
      </w:pPr>
      <w:r w:rsidRPr="00344974">
        <w:rPr>
          <w:rStyle w:val="FootnoteReference"/>
          <w:sz w:val="24"/>
          <w:lang w:val="hr-HR"/>
        </w:rPr>
        <w:footnoteRef/>
      </w:r>
      <w:r w:rsidR="00344974" w:rsidRPr="00344974">
        <w:rPr>
          <w:sz w:val="24"/>
          <w:lang w:val="hr-HR"/>
        </w:rPr>
        <w:t xml:space="preserve"> </w:t>
      </w:r>
      <w:r w:rsidR="00344974" w:rsidRPr="00344974">
        <w:rPr>
          <w:sz w:val="24"/>
          <w:lang w:val="hr-HR"/>
        </w:rPr>
        <w:tab/>
      </w:r>
      <w:r w:rsidRPr="00344974">
        <w:rPr>
          <w:sz w:val="24"/>
          <w:lang w:val="hr-HR"/>
        </w:rPr>
        <w:t>SL L 30, 31.1.2019., str. 90.</w:t>
      </w:r>
    </w:p>
  </w:footnote>
  <w:footnote w:id="5">
    <w:p w:rsidR="004845FF" w:rsidRPr="00344974" w:rsidRDefault="004845FF" w:rsidP="00344974">
      <w:pPr>
        <w:pStyle w:val="FootnoteText"/>
        <w:ind w:left="567" w:hanging="567"/>
        <w:rPr>
          <w:sz w:val="24"/>
          <w:lang w:val="hr-HR"/>
        </w:rPr>
      </w:pPr>
      <w:r w:rsidRPr="00344974">
        <w:rPr>
          <w:rStyle w:val="FootnoteReference"/>
          <w:sz w:val="24"/>
          <w:lang w:val="hr-HR"/>
        </w:rPr>
        <w:footnoteRef/>
      </w:r>
      <w:r w:rsidR="00344974" w:rsidRPr="00344974">
        <w:rPr>
          <w:sz w:val="24"/>
          <w:lang w:val="hr-HR"/>
        </w:rPr>
        <w:t xml:space="preserve"> </w:t>
      </w:r>
      <w:r w:rsidR="00344974" w:rsidRPr="00344974">
        <w:rPr>
          <w:sz w:val="24"/>
          <w:lang w:val="hr-HR"/>
        </w:rPr>
        <w:tab/>
      </w:r>
      <w:r w:rsidRPr="00344974">
        <w:rPr>
          <w:sz w:val="24"/>
          <w:lang w:val="hr-HR"/>
        </w:rPr>
        <w:t>SL L 122, 10.5.2019., str. 1.</w:t>
      </w:r>
    </w:p>
  </w:footnote>
  <w:footnote w:id="6">
    <w:p w:rsidR="004845FF" w:rsidRPr="00344974" w:rsidRDefault="004845FF" w:rsidP="00344974">
      <w:pPr>
        <w:pStyle w:val="FootnoteText"/>
        <w:ind w:left="567" w:hanging="567"/>
        <w:rPr>
          <w:sz w:val="24"/>
          <w:lang w:val="hr-HR"/>
        </w:rPr>
      </w:pPr>
      <w:r w:rsidRPr="00344974">
        <w:rPr>
          <w:rStyle w:val="FootnoteReference"/>
          <w:sz w:val="24"/>
          <w:lang w:val="hr-HR"/>
        </w:rPr>
        <w:footnoteRef/>
      </w:r>
      <w:r w:rsidR="00344974" w:rsidRPr="00344974">
        <w:rPr>
          <w:sz w:val="24"/>
          <w:lang w:val="hr-HR"/>
        </w:rPr>
        <w:t xml:space="preserve"> </w:t>
      </w:r>
      <w:r w:rsidR="00344974" w:rsidRPr="00344974">
        <w:rPr>
          <w:sz w:val="24"/>
          <w:lang w:val="hr-HR"/>
        </w:rPr>
        <w:tab/>
      </w:r>
      <w:r w:rsidRPr="00344974">
        <w:rPr>
          <w:sz w:val="24"/>
          <w:lang w:val="hr-HR"/>
        </w:rPr>
        <w:t>SL C, C/2023/594, 27.10.2023.</w:t>
      </w:r>
    </w:p>
  </w:footnote>
  <w:footnote w:id="7">
    <w:p w:rsidR="004845FF" w:rsidRPr="00344974" w:rsidRDefault="004845FF" w:rsidP="00344974">
      <w:pPr>
        <w:pStyle w:val="FootnoteText"/>
        <w:ind w:left="567" w:hanging="567"/>
        <w:rPr>
          <w:sz w:val="24"/>
          <w:lang w:val="hr-HR"/>
        </w:rPr>
      </w:pPr>
      <w:r w:rsidRPr="00344974">
        <w:rPr>
          <w:rStyle w:val="FootnoteReference"/>
          <w:sz w:val="24"/>
          <w:lang w:val="hr-HR"/>
        </w:rPr>
        <w:footnoteRef/>
      </w:r>
      <w:r w:rsidR="00344974" w:rsidRPr="00344974">
        <w:rPr>
          <w:sz w:val="24"/>
          <w:lang w:val="hr-HR"/>
        </w:rPr>
        <w:t xml:space="preserve"> </w:t>
      </w:r>
      <w:r w:rsidR="00344974" w:rsidRPr="00344974">
        <w:rPr>
          <w:sz w:val="24"/>
          <w:lang w:val="hr-HR"/>
        </w:rPr>
        <w:tab/>
      </w:r>
      <w:r w:rsidRPr="00344974">
        <w:rPr>
          <w:sz w:val="24"/>
          <w:lang w:val="hr-HR"/>
        </w:rPr>
        <w:t>SL C, C/2023/, 12.10.2023.</w:t>
      </w:r>
    </w:p>
  </w:footnote>
  <w:footnote w:id="8">
    <w:p w:rsidR="004845FF" w:rsidRPr="00344974" w:rsidRDefault="004845FF" w:rsidP="00344974">
      <w:pPr>
        <w:pStyle w:val="FootnoteText"/>
        <w:ind w:left="567" w:hanging="567"/>
        <w:rPr>
          <w:sz w:val="24"/>
          <w:lang w:val="hr-HR"/>
        </w:rPr>
      </w:pPr>
      <w:r w:rsidRPr="00344974">
        <w:rPr>
          <w:rStyle w:val="FootnoteReference"/>
          <w:sz w:val="24"/>
          <w:lang w:val="hr-HR"/>
        </w:rPr>
        <w:footnoteRef/>
      </w:r>
      <w:r w:rsidR="00344974" w:rsidRPr="00344974">
        <w:rPr>
          <w:sz w:val="24"/>
          <w:lang w:val="hr-HR"/>
        </w:rPr>
        <w:t xml:space="preserve"> </w:t>
      </w:r>
      <w:r w:rsidR="00344974" w:rsidRPr="00344974">
        <w:rPr>
          <w:sz w:val="24"/>
          <w:lang w:val="hr-HR"/>
        </w:rPr>
        <w:tab/>
      </w:r>
      <w:r w:rsidRPr="00344974">
        <w:rPr>
          <w:sz w:val="24"/>
          <w:lang w:val="hr-HR"/>
        </w:rPr>
        <w:t>SL L 193, 30.7.2018., str. 1.</w:t>
      </w:r>
    </w:p>
  </w:footnote>
  <w:footnote w:id="9">
    <w:p w:rsidR="004845FF" w:rsidRPr="00344974" w:rsidRDefault="004845FF" w:rsidP="00344974">
      <w:pPr>
        <w:pStyle w:val="FootnoteText"/>
        <w:ind w:left="567" w:hanging="567"/>
        <w:rPr>
          <w:sz w:val="24"/>
          <w:lang w:val="hr-HR"/>
        </w:rPr>
      </w:pPr>
      <w:r w:rsidRPr="00344974">
        <w:rPr>
          <w:rStyle w:val="FootnoteReference"/>
          <w:sz w:val="24"/>
          <w:lang w:val="hr-HR"/>
        </w:rPr>
        <w:footnoteRef/>
      </w:r>
      <w:r w:rsidR="00344974" w:rsidRPr="00344974">
        <w:rPr>
          <w:sz w:val="24"/>
          <w:lang w:val="hr-HR"/>
        </w:rPr>
        <w:t xml:space="preserve"> </w:t>
      </w:r>
      <w:r w:rsidR="00344974" w:rsidRPr="00344974">
        <w:rPr>
          <w:sz w:val="24"/>
          <w:lang w:val="hr-HR"/>
        </w:rPr>
        <w:tab/>
      </w:r>
      <w:r w:rsidRPr="00344974">
        <w:rPr>
          <w:sz w:val="24"/>
          <w:lang w:val="hr-HR"/>
        </w:rPr>
        <w:t>SL L 30, 31.1.2019., str. 90.</w:t>
      </w:r>
    </w:p>
  </w:footnote>
  <w:footnote w:id="10">
    <w:p w:rsidR="004845FF" w:rsidRPr="00344974" w:rsidRDefault="004845FF" w:rsidP="00344974">
      <w:pPr>
        <w:pStyle w:val="FootnoteText"/>
        <w:ind w:left="567" w:hanging="567"/>
        <w:rPr>
          <w:sz w:val="24"/>
          <w:lang w:val="hr-HR"/>
        </w:rPr>
      </w:pPr>
      <w:r w:rsidRPr="00344974">
        <w:rPr>
          <w:rStyle w:val="FootnoteReference"/>
          <w:sz w:val="24"/>
          <w:lang w:val="hr-HR"/>
        </w:rPr>
        <w:footnoteRef/>
      </w:r>
      <w:r w:rsidR="00344974" w:rsidRPr="00344974">
        <w:rPr>
          <w:sz w:val="24"/>
          <w:lang w:val="hr-HR"/>
        </w:rPr>
        <w:t xml:space="preserve"> </w:t>
      </w:r>
      <w:r w:rsidR="00344974" w:rsidRPr="00344974">
        <w:rPr>
          <w:sz w:val="24"/>
          <w:lang w:val="hr-HR"/>
        </w:rPr>
        <w:tab/>
      </w:r>
      <w:r w:rsidRPr="00344974">
        <w:rPr>
          <w:sz w:val="24"/>
          <w:lang w:val="hr-HR"/>
        </w:rPr>
        <w:t>SL L 122, 10.5.2019., str. 1.</w:t>
      </w:r>
    </w:p>
  </w:footnote>
  <w:footnote w:id="11">
    <w:p w:rsidR="004845FF" w:rsidRPr="00344974" w:rsidRDefault="004845FF" w:rsidP="00344974">
      <w:pPr>
        <w:pStyle w:val="FootnoteText"/>
        <w:ind w:left="567" w:hanging="567"/>
        <w:rPr>
          <w:sz w:val="24"/>
          <w:lang w:val="hr-HR"/>
        </w:rPr>
      </w:pPr>
      <w:r w:rsidRPr="00344974">
        <w:rPr>
          <w:rStyle w:val="FootnoteReference"/>
          <w:sz w:val="24"/>
          <w:lang w:val="hr-HR"/>
        </w:rPr>
        <w:footnoteRef/>
      </w:r>
      <w:r w:rsidR="00344974" w:rsidRPr="00344974">
        <w:rPr>
          <w:sz w:val="24"/>
          <w:lang w:val="hr-HR"/>
        </w:rPr>
        <w:t xml:space="preserve"> </w:t>
      </w:r>
      <w:r w:rsidR="00344974" w:rsidRPr="00344974">
        <w:rPr>
          <w:sz w:val="24"/>
          <w:lang w:val="hr-HR"/>
        </w:rPr>
        <w:tab/>
      </w:r>
      <w:r w:rsidRPr="00344974">
        <w:rPr>
          <w:sz w:val="24"/>
          <w:lang w:val="hr-HR"/>
        </w:rPr>
        <w:t>SL C 73, 28.2.2023., str. 4.</w:t>
      </w:r>
    </w:p>
  </w:footnote>
  <w:footnote w:id="12">
    <w:p w:rsidR="004845FF" w:rsidRPr="00344974" w:rsidRDefault="004845FF" w:rsidP="00344974">
      <w:pPr>
        <w:pStyle w:val="FootnoteText"/>
        <w:ind w:left="567" w:hanging="567"/>
        <w:rPr>
          <w:sz w:val="24"/>
          <w:lang w:val="hr-HR"/>
        </w:rPr>
      </w:pPr>
      <w:r w:rsidRPr="00344974">
        <w:rPr>
          <w:rStyle w:val="FootnoteReference"/>
          <w:sz w:val="24"/>
          <w:lang w:val="hr-HR"/>
        </w:rPr>
        <w:footnoteRef/>
      </w:r>
      <w:r w:rsidR="00344974" w:rsidRPr="00344974">
        <w:rPr>
          <w:sz w:val="24"/>
          <w:lang w:val="hr-HR"/>
        </w:rPr>
        <w:t xml:space="preserve"> </w:t>
      </w:r>
      <w:r w:rsidR="00344974" w:rsidRPr="00344974">
        <w:rPr>
          <w:sz w:val="24"/>
          <w:lang w:val="hr-HR"/>
        </w:rPr>
        <w:tab/>
      </w:r>
      <w:r w:rsidRPr="00344974">
        <w:rPr>
          <w:sz w:val="24"/>
          <w:lang w:val="hr-HR"/>
        </w:rPr>
        <w:t>Us</w:t>
      </w:r>
      <w:r w:rsidR="00601B8B">
        <w:rPr>
          <w:sz w:val="24"/>
          <w:lang w:val="hr-HR"/>
        </w:rPr>
        <w:t>vojeni tekstovi, P9_TA(2024)0280</w:t>
      </w:r>
      <w:r w:rsidRPr="00344974">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497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497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449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0/2024"/>
    <w:docVar w:name="dvlangue" w:val="HR"/>
    <w:docVar w:name="dvnumam" w:val="0"/>
    <w:docVar w:name="dvpe" w:val="753.509"/>
    <w:docVar w:name="dvrapporteur" w:val="Izvjestitelj: "/>
    <w:docVar w:name="dvtitre" w:val="Odluka Europskog parlamenta od .... 2024. o razrješnici za izvršenje proračuna Europskog centra za razvoj strukovnog osposobljavanja (Cedefop) za financijsku godinu 2022.(2023/2143(DEC))"/>
  </w:docVars>
  <w:rsids>
    <w:rsidRoot w:val="00123B5A"/>
    <w:rsid w:val="00002272"/>
    <w:rsid w:val="00064002"/>
    <w:rsid w:val="000677B9"/>
    <w:rsid w:val="000831BA"/>
    <w:rsid w:val="000A42CC"/>
    <w:rsid w:val="000E7DD9"/>
    <w:rsid w:val="0010095E"/>
    <w:rsid w:val="00123B5A"/>
    <w:rsid w:val="00125B37"/>
    <w:rsid w:val="00187494"/>
    <w:rsid w:val="00195285"/>
    <w:rsid w:val="001F32AE"/>
    <w:rsid w:val="002767FF"/>
    <w:rsid w:val="002B18FE"/>
    <w:rsid w:val="002B5493"/>
    <w:rsid w:val="00343214"/>
    <w:rsid w:val="00344974"/>
    <w:rsid w:val="00361C00"/>
    <w:rsid w:val="00395FA1"/>
    <w:rsid w:val="003E15D4"/>
    <w:rsid w:val="00411CCE"/>
    <w:rsid w:val="0041666E"/>
    <w:rsid w:val="00421060"/>
    <w:rsid w:val="00471C19"/>
    <w:rsid w:val="004845FF"/>
    <w:rsid w:val="004867E3"/>
    <w:rsid w:val="00494A28"/>
    <w:rsid w:val="004C0004"/>
    <w:rsid w:val="004C5D52"/>
    <w:rsid w:val="0050519A"/>
    <w:rsid w:val="005072A1"/>
    <w:rsid w:val="00514517"/>
    <w:rsid w:val="00545827"/>
    <w:rsid w:val="00560270"/>
    <w:rsid w:val="005C2568"/>
    <w:rsid w:val="00601B8B"/>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436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494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3EE535"/>
  <w15:chartTrackingRefBased/>
  <w15:docId w15:val="{9923FE08-7A45-497F-8D2D-7AF0F9951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845F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845FF"/>
    <w:pPr>
      <w:spacing w:before="480" w:after="240"/>
    </w:pPr>
  </w:style>
  <w:style w:type="paragraph" w:customStyle="1" w:styleId="PageHeading">
    <w:name w:val="PageHeading"/>
    <w:basedOn w:val="Normal"/>
    <w:rsid w:val="004845FF"/>
    <w:pPr>
      <w:keepNext/>
      <w:spacing w:after="480"/>
      <w:jc w:val="center"/>
    </w:pPr>
    <w:rPr>
      <w:rFonts w:ascii="Arial" w:hAnsi="Arial" w:cs="Arial"/>
      <w:b/>
    </w:rPr>
  </w:style>
  <w:style w:type="paragraph" w:customStyle="1" w:styleId="NormalBold">
    <w:name w:val="NormalBold"/>
    <w:basedOn w:val="Normal"/>
    <w:rsid w:val="004845FF"/>
    <w:rPr>
      <w:b/>
    </w:rPr>
  </w:style>
  <w:style w:type="paragraph" w:customStyle="1" w:styleId="NormalHanging12a">
    <w:name w:val="NormalHanging12a"/>
    <w:basedOn w:val="Normal"/>
    <w:link w:val="NormalHanging12aChar"/>
    <w:rsid w:val="004845FF"/>
    <w:pPr>
      <w:spacing w:after="240"/>
      <w:ind w:left="567" w:hanging="567"/>
    </w:pPr>
  </w:style>
  <w:style w:type="paragraph" w:customStyle="1" w:styleId="NormalCenter12a">
    <w:name w:val="NormalCenter12a"/>
    <w:basedOn w:val="Normal"/>
    <w:rsid w:val="004845FF"/>
    <w:pPr>
      <w:spacing w:after="240"/>
      <w:jc w:val="center"/>
    </w:pPr>
  </w:style>
  <w:style w:type="paragraph" w:styleId="Header">
    <w:name w:val="header"/>
    <w:basedOn w:val="Normal"/>
    <w:link w:val="HeaderChar"/>
    <w:rsid w:val="004845FF"/>
    <w:pPr>
      <w:tabs>
        <w:tab w:val="center" w:pos="4513"/>
        <w:tab w:val="right" w:pos="9026"/>
      </w:tabs>
    </w:pPr>
  </w:style>
  <w:style w:type="character" w:customStyle="1" w:styleId="HeaderChar">
    <w:name w:val="Header Char"/>
    <w:basedOn w:val="DefaultParagraphFont"/>
    <w:link w:val="Header"/>
    <w:rsid w:val="004845FF"/>
    <w:rPr>
      <w:sz w:val="24"/>
      <w:lang w:val="hr-HR"/>
    </w:rPr>
  </w:style>
  <w:style w:type="paragraph" w:customStyle="1" w:styleId="EPFooter">
    <w:name w:val="EPFooter"/>
    <w:basedOn w:val="Normal"/>
    <w:rsid w:val="004845FF"/>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4845FF"/>
    <w:rPr>
      <w:sz w:val="24"/>
    </w:rPr>
  </w:style>
  <w:style w:type="paragraph" w:customStyle="1" w:styleId="Normal12Hanging">
    <w:name w:val="Normal12Hanging"/>
    <w:basedOn w:val="Normal"/>
    <w:link w:val="Normal12HangingChar"/>
    <w:rsid w:val="004845FF"/>
    <w:pPr>
      <w:spacing w:after="240"/>
      <w:ind w:left="567" w:hanging="567"/>
    </w:pPr>
    <w:rPr>
      <w:lang w:val="en-GB"/>
    </w:rPr>
  </w:style>
  <w:style w:type="character" w:customStyle="1" w:styleId="NormalHanging12aChar">
    <w:name w:val="NormalHanging12a Char"/>
    <w:basedOn w:val="DefaultParagraphFont"/>
    <w:link w:val="NormalHanging12a"/>
    <w:locked/>
    <w:rsid w:val="004845FF"/>
    <w:rPr>
      <w:sz w:val="24"/>
      <w:lang w:val="hr-HR"/>
    </w:rPr>
  </w:style>
  <w:style w:type="paragraph" w:customStyle="1" w:styleId="Normal24a">
    <w:name w:val="Normal24a"/>
    <w:basedOn w:val="Normal"/>
    <w:rsid w:val="004845FF"/>
    <w:pPr>
      <w:spacing w:after="480"/>
    </w:pPr>
  </w:style>
  <w:style w:type="paragraph" w:customStyle="1" w:styleId="Normal12a">
    <w:name w:val="Normal12a"/>
    <w:basedOn w:val="Normal"/>
    <w:rsid w:val="004845FF"/>
    <w:pPr>
      <w:spacing w:after="240"/>
    </w:pPr>
  </w:style>
  <w:style w:type="paragraph" w:customStyle="1" w:styleId="PageHeadingNotTOC">
    <w:name w:val="PageHeadingNotTOC"/>
    <w:basedOn w:val="Normal"/>
    <w:rsid w:val="004845FF"/>
    <w:pPr>
      <w:keepNext/>
      <w:spacing w:after="480"/>
      <w:jc w:val="center"/>
    </w:pPr>
    <w:rPr>
      <w:rFonts w:ascii="Arial" w:hAnsi="Arial" w:cs="Arial"/>
      <w:b/>
    </w:rPr>
  </w:style>
  <w:style w:type="paragraph" w:styleId="Footer">
    <w:name w:val="footer"/>
    <w:basedOn w:val="Normal"/>
    <w:link w:val="FooterChar"/>
    <w:rsid w:val="00B74941"/>
    <w:pPr>
      <w:tabs>
        <w:tab w:val="center" w:pos="4513"/>
        <w:tab w:val="right" w:pos="9026"/>
      </w:tabs>
    </w:pPr>
  </w:style>
  <w:style w:type="character" w:customStyle="1" w:styleId="FooterChar">
    <w:name w:val="Footer Char"/>
    <w:basedOn w:val="DefaultParagraphFont"/>
    <w:link w:val="Footer"/>
    <w:rsid w:val="00B74941"/>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CD515-2725-41DC-B46E-14EFADC75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3957</Words>
  <Characters>23661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2024-05-23T08:26:00Z</dcterms:created>
  <dcterms:modified xsi:type="dcterms:W3CDTF">2024-05-23T08:26:00Z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P9_TA(2024)0238_</vt:lpwstr>
  </property>
  <property fmtid="{D5CDD505-2E9C-101B-9397-08002B2CF9AE}" pid="4" name="&lt;Type&gt;">
    <vt:lpwstr>RR</vt:lpwstr>
  </property>
</Properties>
</file>