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0471" w:rsidTr="0010095E">
        <w:trPr>
          <w:trHeight w:hRule="exact" w:val="1418"/>
        </w:trPr>
        <w:tc>
          <w:tcPr>
            <w:tcW w:w="6804" w:type="dxa"/>
            <w:shd w:val="clear" w:color="auto" w:fill="auto"/>
            <w:vAlign w:val="center"/>
          </w:tcPr>
          <w:p w:rsidR="00751A4A" w:rsidRPr="00980471" w:rsidRDefault="00042D55" w:rsidP="0010095E">
            <w:pPr>
              <w:pStyle w:val="EPName"/>
            </w:pPr>
            <w:r w:rsidRPr="00980471">
              <w:t>Europos Parlamentas</w:t>
            </w:r>
          </w:p>
          <w:p w:rsidR="00751A4A" w:rsidRPr="00980471" w:rsidRDefault="00817416" w:rsidP="00756632">
            <w:pPr>
              <w:pStyle w:val="EPTerm"/>
              <w:rPr>
                <w:rStyle w:val="HideTWBExt"/>
                <w:noProof w:val="0"/>
                <w:vanish w:val="0"/>
                <w:color w:val="auto"/>
              </w:rPr>
            </w:pPr>
            <w:r w:rsidRPr="00980471">
              <w:t>2019-2024</w:t>
            </w:r>
          </w:p>
        </w:tc>
        <w:tc>
          <w:tcPr>
            <w:tcW w:w="2268" w:type="dxa"/>
            <w:shd w:val="clear" w:color="auto" w:fill="auto"/>
          </w:tcPr>
          <w:p w:rsidR="00751A4A" w:rsidRPr="00980471" w:rsidRDefault="00187494" w:rsidP="0010095E">
            <w:pPr>
              <w:pStyle w:val="EPLogo"/>
            </w:pPr>
            <w:r w:rsidRPr="00980471">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80471" w:rsidRDefault="00D058B8" w:rsidP="004C5D52">
      <w:pPr>
        <w:pStyle w:val="LineTop"/>
      </w:pPr>
    </w:p>
    <w:p w:rsidR="00680577" w:rsidRPr="00980471" w:rsidRDefault="00042D55" w:rsidP="00680577">
      <w:pPr>
        <w:pStyle w:val="EPBodyTA1"/>
      </w:pPr>
      <w:r w:rsidRPr="00980471">
        <w:t>PRIIMTI TEKSTAI</w:t>
      </w:r>
    </w:p>
    <w:p w:rsidR="00D058B8" w:rsidRPr="00980471" w:rsidRDefault="00D058B8" w:rsidP="00D058B8">
      <w:pPr>
        <w:pStyle w:val="LineBottom"/>
      </w:pPr>
    </w:p>
    <w:p w:rsidR="00042D55" w:rsidRPr="00980471" w:rsidRDefault="00042D55" w:rsidP="00042D55">
      <w:pPr>
        <w:pStyle w:val="ATHeading1"/>
      </w:pPr>
      <w:bookmarkStart w:id="0" w:name="TANumber"/>
      <w:r w:rsidRPr="00980471">
        <w:t>P9_TA(2024)0</w:t>
      </w:r>
      <w:r w:rsidR="00572ECF">
        <w:t>238</w:t>
      </w:r>
      <w:bookmarkEnd w:id="0"/>
    </w:p>
    <w:p w:rsidR="00042D55" w:rsidRPr="00980471" w:rsidRDefault="00042D55" w:rsidP="00042D55">
      <w:pPr>
        <w:pStyle w:val="ATHeading2"/>
      </w:pPr>
      <w:bookmarkStart w:id="1" w:name="title"/>
      <w:r w:rsidRPr="00980471">
        <w:t>2022 m. biudžeto įvykdymo patvirtinimas: Europos profesinio mokymo plėtros centras (CEDEFOP)</w:t>
      </w:r>
      <w:bookmarkEnd w:id="1"/>
    </w:p>
    <w:p w:rsidR="00042D55" w:rsidRPr="00980471" w:rsidRDefault="00042D55" w:rsidP="00042D55">
      <w:pPr>
        <w:rPr>
          <w:i/>
          <w:vanish/>
        </w:rPr>
      </w:pPr>
      <w:r w:rsidRPr="00980471">
        <w:rPr>
          <w:i/>
        </w:rPr>
        <w:fldChar w:fldCharType="begin"/>
      </w:r>
      <w:r w:rsidRPr="00980471">
        <w:rPr>
          <w:i/>
        </w:rPr>
        <w:instrText xml:space="preserve"> TC"(</w:instrText>
      </w:r>
      <w:bookmarkStart w:id="2" w:name="DocNumber"/>
      <w:r w:rsidRPr="00980471">
        <w:rPr>
          <w:i/>
        </w:rPr>
        <w:instrText>A9-0080/2024</w:instrText>
      </w:r>
      <w:bookmarkEnd w:id="2"/>
      <w:r w:rsidRPr="00980471">
        <w:rPr>
          <w:i/>
        </w:rPr>
        <w:instrText xml:space="preserve"> - Pranešėjas: </w:instrText>
      </w:r>
      <w:proofErr w:type="spellStart"/>
      <w:r w:rsidRPr="00980471">
        <w:rPr>
          <w:i/>
        </w:rPr>
        <w:instrText>Petri</w:instrText>
      </w:r>
      <w:proofErr w:type="spellEnd"/>
      <w:r w:rsidRPr="00980471">
        <w:rPr>
          <w:i/>
        </w:rPr>
        <w:instrText xml:space="preserve"> </w:instrText>
      </w:r>
      <w:proofErr w:type="spellStart"/>
      <w:r w:rsidRPr="00980471">
        <w:rPr>
          <w:i/>
        </w:rPr>
        <w:instrText>Sarvamaa</w:instrText>
      </w:r>
      <w:proofErr w:type="spellEnd"/>
      <w:r w:rsidRPr="00980471">
        <w:rPr>
          <w:i/>
        </w:rPr>
        <w:instrText xml:space="preserve">)"\l3 \n&gt; \* MERGEFORMAT </w:instrText>
      </w:r>
      <w:r w:rsidRPr="00980471">
        <w:rPr>
          <w:i/>
        </w:rPr>
        <w:fldChar w:fldCharType="end"/>
      </w:r>
    </w:p>
    <w:p w:rsidR="00042D55" w:rsidRPr="00980471" w:rsidRDefault="00042D55" w:rsidP="00042D55">
      <w:pPr>
        <w:rPr>
          <w:vanish/>
        </w:rPr>
      </w:pPr>
      <w:bookmarkStart w:id="3" w:name="Commission"/>
      <w:r w:rsidRPr="00980471">
        <w:rPr>
          <w:vanish/>
        </w:rPr>
        <w:t>Biudžeto kontrolės komitetas</w:t>
      </w:r>
      <w:bookmarkEnd w:id="3"/>
    </w:p>
    <w:p w:rsidR="00042D55" w:rsidRPr="00980471" w:rsidRDefault="00042D55" w:rsidP="00042D55">
      <w:pPr>
        <w:rPr>
          <w:vanish/>
        </w:rPr>
      </w:pPr>
      <w:bookmarkStart w:id="4" w:name="PE"/>
      <w:r w:rsidRPr="00980471">
        <w:rPr>
          <w:vanish/>
        </w:rPr>
        <w:t>PE753.509</w:t>
      </w:r>
      <w:bookmarkEnd w:id="4"/>
    </w:p>
    <w:p w:rsidR="00042D55" w:rsidRPr="00980471" w:rsidRDefault="00825E61" w:rsidP="00825E61">
      <w:pPr>
        <w:pStyle w:val="ATHeading3"/>
      </w:pPr>
      <w:bookmarkStart w:id="5" w:name="Sujet"/>
      <w:r>
        <w:t xml:space="preserve">1. 2024 m. balandžio 11 d. </w:t>
      </w:r>
      <w:r w:rsidR="00042D55" w:rsidRPr="00980471">
        <w:t>Europos Parlamento sprendimas dėl Europos profesinio mokymo plėtros centro (CEDEFOP) 2022 finansinių metų biudžeto įvykdymo patvirtinimo</w:t>
      </w:r>
      <w:bookmarkEnd w:id="5"/>
      <w:r w:rsidR="00042D55" w:rsidRPr="00980471">
        <w:t xml:space="preserve"> </w:t>
      </w:r>
      <w:bookmarkStart w:id="6" w:name="References"/>
      <w:r w:rsidR="00042D55" w:rsidRPr="00980471">
        <w:t>(2023/2143(DEC))</w:t>
      </w:r>
      <w:bookmarkEnd w:id="6"/>
      <w:r>
        <w:t xml:space="preserve"> </w:t>
      </w:r>
    </w:p>
    <w:p w:rsidR="00BD7C92" w:rsidRPr="00980471" w:rsidRDefault="00BD7C92" w:rsidP="00BD7C92">
      <w:pPr>
        <w:pStyle w:val="EPComma"/>
      </w:pPr>
      <w:bookmarkStart w:id="7" w:name="TextBodyBegin"/>
      <w:bookmarkEnd w:id="7"/>
      <w:r w:rsidRPr="00980471">
        <w:rPr>
          <w:i/>
        </w:rPr>
        <w:t>Europos Parlamentas</w:t>
      </w:r>
      <w:r w:rsidRPr="00980471">
        <w:t>,</w:t>
      </w:r>
    </w:p>
    <w:p w:rsidR="00BD7C92" w:rsidRPr="00980471" w:rsidRDefault="00BD7C92" w:rsidP="00BD7C92">
      <w:pPr>
        <w:pStyle w:val="NormalHanging12a"/>
      </w:pPr>
      <w:r w:rsidRPr="00980471">
        <w:t>–</w:t>
      </w:r>
      <w:r w:rsidRPr="00980471">
        <w:tab/>
        <w:t>atsižvelgdamas į Europos profesinio mokymo plėtros centro (CEDEFOP) 2022 finansinių metų galutines metines ataskaitas,</w:t>
      </w:r>
    </w:p>
    <w:p w:rsidR="00BD7C92" w:rsidRPr="00980471" w:rsidRDefault="00BD7C92" w:rsidP="00BD7C92">
      <w:pPr>
        <w:pStyle w:val="NormalHanging12a"/>
      </w:pPr>
      <w:r w:rsidRPr="00980471">
        <w:t>–</w:t>
      </w:r>
      <w:r w:rsidRPr="00980471">
        <w:tab/>
        <w:t>atsižvelgdamas į Audito Rūmų 2022 finansinių metų metinę ataskaitą dėl ES agentūrų kartu su agentūrų atsakymais</w:t>
      </w:r>
      <w:r w:rsidRPr="00980471">
        <w:rPr>
          <w:rStyle w:val="FootnoteReference"/>
        </w:rPr>
        <w:footnoteReference w:id="1"/>
      </w:r>
      <w:r w:rsidRPr="00980471">
        <w:t>,</w:t>
      </w:r>
    </w:p>
    <w:p w:rsidR="00BD7C92" w:rsidRPr="00980471" w:rsidRDefault="00BD7C92" w:rsidP="00BD7C92">
      <w:pPr>
        <w:pStyle w:val="NormalHanging12a"/>
      </w:pPr>
      <w:r w:rsidRPr="00980471">
        <w:t>–</w:t>
      </w:r>
      <w:r w:rsidRPr="00980471">
        <w:tab/>
        <w:t>atsižvelgdamas į Audito Rūmų pagal Sutarties dėl Europos Sąjungos veikimo 287 straipsnį pateiktą 2022 finansinių metų sąskaitų patikimumo ir pagal jas atliktų operacijų teisėtumo ir tvarkingumo patikinimo pareiškimą</w:t>
      </w:r>
      <w:r w:rsidRPr="00980471">
        <w:rPr>
          <w:rStyle w:val="FootnoteReference"/>
        </w:rPr>
        <w:footnoteReference w:id="2"/>
      </w:r>
      <w:r w:rsidRPr="00980471">
        <w:t>,</w:t>
      </w:r>
    </w:p>
    <w:p w:rsidR="00BD7C92" w:rsidRPr="00980471" w:rsidRDefault="00BD7C92" w:rsidP="00BD7C92">
      <w:pPr>
        <w:pStyle w:val="NormalHanging12a"/>
      </w:pPr>
      <w:r w:rsidRPr="00980471">
        <w:t>–</w:t>
      </w:r>
      <w:r w:rsidRPr="00980471">
        <w:tab/>
        <w:t>atsižvelgdamas į 2024 m. vasario 22 d. Tarybos rekomendaciją dėl patvirtinimo, kad Centras įvykdė 2022 finansinių metų biudžetą (</w:t>
      </w:r>
      <w:r w:rsidR="00A02C93" w:rsidRPr="00980471">
        <w:t>0</w:t>
      </w:r>
      <w:r w:rsidR="00A02C93">
        <w:t>618</w:t>
      </w:r>
      <w:r w:rsidR="00A02C93" w:rsidRPr="00980471">
        <w:t>0</w:t>
      </w:r>
      <w:r w:rsidRPr="00980471">
        <w:t>/2024 – C9</w:t>
      </w:r>
      <w:r w:rsidRPr="00980471">
        <w:noBreakHyphen/>
        <w:t>00</w:t>
      </w:r>
      <w:r w:rsidR="00A02C93">
        <w:t>81</w:t>
      </w:r>
      <w:r w:rsidRPr="00980471">
        <w:t>/2024),</w:t>
      </w:r>
    </w:p>
    <w:p w:rsidR="00BD7C92" w:rsidRPr="00980471" w:rsidRDefault="00BD7C92" w:rsidP="00BD7C92">
      <w:pPr>
        <w:pStyle w:val="NormalHanging12a"/>
      </w:pPr>
      <w:r w:rsidRPr="00980471">
        <w:t>–</w:t>
      </w:r>
      <w:r w:rsidRPr="00980471">
        <w:tab/>
        <w:t>atsižvelgdamas į Sutarties dėl Europos Sąjungos veikimo 319 straipsnį,</w:t>
      </w:r>
    </w:p>
    <w:p w:rsidR="00BD7C92" w:rsidRPr="00980471" w:rsidRDefault="00BD7C92" w:rsidP="00BD7C92">
      <w:pPr>
        <w:pStyle w:val="NormalHanging12a"/>
      </w:pPr>
      <w:r w:rsidRPr="00980471">
        <w:t>–</w:t>
      </w:r>
      <w:r w:rsidRPr="00980471">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980471">
        <w:rPr>
          <w:rStyle w:val="FootnoteReference"/>
        </w:rPr>
        <w:footnoteReference w:id="3"/>
      </w:r>
      <w:r w:rsidRPr="00980471">
        <w:t>, ypač į jo 70 straipsnį,</w:t>
      </w:r>
    </w:p>
    <w:p w:rsidR="00BD7C92" w:rsidRPr="00980471" w:rsidRDefault="00BD7C92" w:rsidP="00BD7C92">
      <w:pPr>
        <w:pStyle w:val="NormalHanging12a"/>
      </w:pPr>
      <w:r w:rsidRPr="00980471">
        <w:t>–</w:t>
      </w:r>
      <w:r w:rsidRPr="00980471">
        <w:tab/>
        <w:t xml:space="preserve">atsižvelgdamas į 2019 m. sausio 16 d. Europos Parlamento ir Tarybos reglamentą (ES) 2019/128, kuriuo įsteigiamas Europos profesinio mokymo plėtros centras (CEDEFOP) </w:t>
      </w:r>
      <w:r w:rsidRPr="00980471">
        <w:lastRenderedPageBreak/>
        <w:t>ir panaikinamas Tarybos reglamentas (EEB) Nr. 337/75</w:t>
      </w:r>
      <w:r w:rsidRPr="00980471">
        <w:rPr>
          <w:rStyle w:val="FootnoteReference"/>
        </w:rPr>
        <w:footnoteReference w:id="4"/>
      </w:r>
      <w:r w:rsidRPr="00980471">
        <w:t>, ypač į jo 15 straipsnį,</w:t>
      </w:r>
    </w:p>
    <w:p w:rsidR="00BD7C92" w:rsidRPr="00980471" w:rsidRDefault="00BD7C92" w:rsidP="00BD7C92">
      <w:pPr>
        <w:pStyle w:val="NormalHanging12a"/>
      </w:pPr>
      <w:r w:rsidRPr="00980471">
        <w:t>–</w:t>
      </w:r>
      <w:r w:rsidRPr="00980471">
        <w:tab/>
        <w:t>atsižvelgdamas į 2018 m. gruodžio 18 d. Komisijos deleguotąjį reglamentą (ES) 2019/715 dėl finansinio pagrindų reglamento, taikomo organams, įsteigtiems pagal SESV ir Euratomo sutartį ir nurodytiems Europos Parlamento ir Tarybos reglamento (ES, Euratomas) 2018/10467 70 straipsnyje</w:t>
      </w:r>
      <w:r w:rsidRPr="00980471">
        <w:rPr>
          <w:rStyle w:val="FootnoteReference"/>
        </w:rPr>
        <w:footnoteReference w:id="5"/>
      </w:r>
      <w:r w:rsidRPr="00980471">
        <w:t>, ypač į jo 105 straipsnį,</w:t>
      </w:r>
    </w:p>
    <w:p w:rsidR="00BD7C92" w:rsidRPr="00980471" w:rsidRDefault="00BD7C92" w:rsidP="00BD7C92">
      <w:pPr>
        <w:pStyle w:val="NormalHanging12a"/>
      </w:pPr>
      <w:r w:rsidRPr="00980471">
        <w:t>–</w:t>
      </w:r>
      <w:r w:rsidRPr="00980471">
        <w:tab/>
        <w:t>atsižvelgdamas į Darbo tvarkos taisyklių 100 straipsnį ir V priedą,</w:t>
      </w:r>
    </w:p>
    <w:p w:rsidR="00BD7C92" w:rsidRPr="00980471" w:rsidRDefault="00BD7C92" w:rsidP="00BD7C92">
      <w:pPr>
        <w:pStyle w:val="NormalHanging12a"/>
      </w:pPr>
      <w:r w:rsidRPr="00980471">
        <w:t>–</w:t>
      </w:r>
      <w:r w:rsidRPr="00980471">
        <w:tab/>
        <w:t>atsižvelgdamas į Užimtumo ir socialinių reikalų komiteto nuomonę,</w:t>
      </w:r>
    </w:p>
    <w:p w:rsidR="00BD7C92" w:rsidRPr="00980471" w:rsidRDefault="00BD7C92" w:rsidP="00BD7C92">
      <w:pPr>
        <w:pStyle w:val="NormalHanging12a"/>
      </w:pPr>
      <w:r w:rsidRPr="00980471">
        <w:t>–</w:t>
      </w:r>
      <w:r w:rsidRPr="00980471">
        <w:tab/>
        <w:t>atsižvelgdamas į Biudžeto kontrolės komiteto pranešimą (A9-0080/2024),</w:t>
      </w:r>
    </w:p>
    <w:p w:rsidR="00BD7C92" w:rsidRPr="00980471" w:rsidRDefault="00BD7C92" w:rsidP="00BD7C92">
      <w:pPr>
        <w:pStyle w:val="NormalHanging12a"/>
      </w:pPr>
      <w:r w:rsidRPr="00980471">
        <w:t>1.</w:t>
      </w:r>
      <w:r w:rsidRPr="00980471">
        <w:tab/>
        <w:t>patvirtina Europos profesinio mokymo plėtros centro (CEDEFOP) vykdomajam direktoriui, kad Centro 2022 finansinių metų biudžetas įvykdytas;</w:t>
      </w:r>
    </w:p>
    <w:p w:rsidR="00BD7C92" w:rsidRPr="00980471" w:rsidRDefault="00BD7C92" w:rsidP="00BD7C92">
      <w:pPr>
        <w:pStyle w:val="NormalHanging12a"/>
      </w:pPr>
      <w:r w:rsidRPr="00980471">
        <w:t>2.</w:t>
      </w:r>
      <w:r w:rsidRPr="00980471">
        <w:tab/>
        <w:t>išdėsto savo pastabas toliau pateikiamoje rezoliucijoje;</w:t>
      </w:r>
    </w:p>
    <w:p w:rsidR="00BD7C92" w:rsidRPr="00980471" w:rsidRDefault="00BD7C92" w:rsidP="00BD7C92">
      <w:pPr>
        <w:pStyle w:val="NormalHanging12a"/>
      </w:pPr>
      <w:r w:rsidRPr="00980471">
        <w:t>3.</w:t>
      </w:r>
      <w:r w:rsidRPr="00980471">
        <w:tab/>
        <w:t xml:space="preserve">paveda Pirmininkei perduoti šį sprendimą ir rezoliuciją, kuri yra neatskiriama jo dalis, Europos profesinio mokymo plėtros centro (CEDEFOP) direktoriui, Tarybai, Komisijai ir Audito Rūmams ir pasirūpinti, kad jie būtų paskelbti </w:t>
      </w:r>
      <w:r w:rsidRPr="00980471">
        <w:rPr>
          <w:i/>
          <w:iCs/>
        </w:rPr>
        <w:t>Europos Sąjungos oficialiajame leidinyje</w:t>
      </w:r>
      <w:r w:rsidRPr="00980471">
        <w:t xml:space="preserve"> (L serijoje).</w:t>
      </w:r>
    </w:p>
    <w:p w:rsidR="00BD7C92" w:rsidRPr="00980471" w:rsidRDefault="00BD7C92" w:rsidP="00BD7C92">
      <w:pPr>
        <w:pStyle w:val="NormalHanging12a"/>
      </w:pPr>
    </w:p>
    <w:p w:rsidR="00BD7C92" w:rsidRPr="00980471" w:rsidRDefault="00BD7C92" w:rsidP="00BD7C92">
      <w:pPr>
        <w:pStyle w:val="PageHeading"/>
        <w:sectPr w:rsidR="00BD7C92" w:rsidRPr="00980471" w:rsidSect="0098047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D7C92" w:rsidRPr="00980471" w:rsidRDefault="00825E61" w:rsidP="00825E61">
      <w:pPr>
        <w:pStyle w:val="ATHeading3"/>
      </w:pPr>
      <w:r>
        <w:lastRenderedPageBreak/>
        <w:t xml:space="preserve">2. 2024 m. balandžio 11 d. </w:t>
      </w:r>
      <w:r w:rsidRPr="00980471">
        <w:t>Europos Parlamento sprendimas</w:t>
      </w:r>
      <w:r>
        <w:t xml:space="preserve"> </w:t>
      </w:r>
      <w:r w:rsidR="00BD7C92" w:rsidRPr="00980471">
        <w:t>dėl Europos profesinio mokymo plėtros centro (CEDEFOP) 2022 finansinių metų sąskaitų uždarymo</w:t>
      </w:r>
      <w:r>
        <w:t xml:space="preserve"> </w:t>
      </w:r>
      <w:r w:rsidR="00BD7C92" w:rsidRPr="00980471">
        <w:t>(2023/2143(DEC))</w:t>
      </w:r>
    </w:p>
    <w:p w:rsidR="00BD7C92" w:rsidRPr="00980471" w:rsidRDefault="00BD7C92" w:rsidP="00BD7C92">
      <w:pPr>
        <w:pStyle w:val="EPComma"/>
      </w:pPr>
      <w:r w:rsidRPr="00980471">
        <w:rPr>
          <w:i/>
        </w:rPr>
        <w:t>Europos Parlamentas</w:t>
      </w:r>
      <w:r w:rsidRPr="00980471">
        <w:t>,</w:t>
      </w:r>
    </w:p>
    <w:p w:rsidR="00BD7C92" w:rsidRPr="00980471" w:rsidRDefault="00BD7C92" w:rsidP="00BD7C92">
      <w:pPr>
        <w:pStyle w:val="NormalHanging12a"/>
      </w:pPr>
      <w:r w:rsidRPr="00980471">
        <w:t>–</w:t>
      </w:r>
      <w:r w:rsidRPr="00980471">
        <w:tab/>
        <w:t>atsižvelgdamas į Europos profesinio mokymo plėtros centro (CEDEFOP) 2022 finansinių metų galutines metines ataskaitas,</w:t>
      </w:r>
    </w:p>
    <w:p w:rsidR="00BD7C92" w:rsidRPr="00980471" w:rsidRDefault="00BD7C92" w:rsidP="00BD7C92">
      <w:pPr>
        <w:pStyle w:val="NormalHanging12a"/>
      </w:pPr>
      <w:r w:rsidRPr="00980471">
        <w:t>–</w:t>
      </w:r>
      <w:r w:rsidRPr="00980471">
        <w:tab/>
        <w:t>atsižvelgdamas į Audito Rūmų 2022 finansinių metų metinę ataskaitą dėl ES agentūrų kartu su agentūrų atsakymais</w:t>
      </w:r>
      <w:r w:rsidRPr="00980471">
        <w:rPr>
          <w:rStyle w:val="FootnoteReference"/>
        </w:rPr>
        <w:footnoteReference w:id="6"/>
      </w:r>
      <w:r w:rsidRPr="00980471">
        <w:t>,</w:t>
      </w:r>
    </w:p>
    <w:p w:rsidR="00BD7C92" w:rsidRPr="00980471" w:rsidRDefault="00BD7C92" w:rsidP="00BD7C92">
      <w:pPr>
        <w:pStyle w:val="NormalHanging12a"/>
      </w:pPr>
      <w:r w:rsidRPr="00980471">
        <w:t>–</w:t>
      </w:r>
      <w:r w:rsidRPr="00980471">
        <w:tab/>
        <w:t>atsižvelgdamas į Audito Rūmų pagal Sutarties dėl Europos Sąjungos veikimo 287 straipsnį pateiktą 2022 finansinių metų sąskaitų patikimumo ir pagal jas atliktų operacijų teisėtumo ir tvarkingumo patikinimo pareiškimą</w:t>
      </w:r>
      <w:r w:rsidRPr="00980471">
        <w:rPr>
          <w:rStyle w:val="FootnoteReference"/>
        </w:rPr>
        <w:footnoteReference w:id="7"/>
      </w:r>
      <w:r w:rsidRPr="00980471">
        <w:t>,</w:t>
      </w:r>
    </w:p>
    <w:p w:rsidR="00BD7C92" w:rsidRPr="00980471" w:rsidRDefault="00BD7C92" w:rsidP="00BD7C92">
      <w:pPr>
        <w:pStyle w:val="NormalHanging12a"/>
      </w:pPr>
      <w:r w:rsidRPr="00980471">
        <w:t>–</w:t>
      </w:r>
      <w:r w:rsidRPr="00980471">
        <w:tab/>
        <w:t>atsižvelgdamas į 2024 m. vasario 22 d. Tarybos rekomendaciją dėl patvirtinimo, kad Centras įvykdė 2022 finansinių metų biudžetą (0</w:t>
      </w:r>
      <w:r w:rsidR="00A02C93">
        <w:t>618</w:t>
      </w:r>
      <w:r w:rsidRPr="00980471">
        <w:t>0/2024 – C9</w:t>
      </w:r>
      <w:r w:rsidRPr="00980471">
        <w:noBreakHyphen/>
        <w:t>00</w:t>
      </w:r>
      <w:r w:rsidR="00A02C93">
        <w:t>81</w:t>
      </w:r>
      <w:r w:rsidRPr="00980471">
        <w:t>/2024),</w:t>
      </w:r>
    </w:p>
    <w:p w:rsidR="00BD7C92" w:rsidRPr="00980471" w:rsidRDefault="00BD7C92" w:rsidP="00BD7C92">
      <w:pPr>
        <w:pStyle w:val="NormalHanging12a"/>
      </w:pPr>
      <w:r w:rsidRPr="00980471">
        <w:t>–</w:t>
      </w:r>
      <w:r w:rsidRPr="00980471">
        <w:tab/>
        <w:t>atsižvelgdamas į Sutarties dėl Europos Sąjungos veikimo 319 straipsnį,</w:t>
      </w:r>
    </w:p>
    <w:p w:rsidR="00BD7C92" w:rsidRPr="00980471" w:rsidRDefault="00BD7C92" w:rsidP="00BD7C92">
      <w:pPr>
        <w:pStyle w:val="NormalHanging12a"/>
      </w:pPr>
      <w:r w:rsidRPr="00980471">
        <w:t>–</w:t>
      </w:r>
      <w:r w:rsidRPr="00980471">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980471">
        <w:rPr>
          <w:rStyle w:val="FootnoteReference"/>
        </w:rPr>
        <w:footnoteReference w:id="8"/>
      </w:r>
      <w:r w:rsidRPr="00980471">
        <w:t>, ypač į jo 70 straipsnį,</w:t>
      </w:r>
    </w:p>
    <w:p w:rsidR="00BD7C92" w:rsidRPr="00980471" w:rsidRDefault="00BD7C92" w:rsidP="00BD7C92">
      <w:pPr>
        <w:pStyle w:val="NormalHanging12a"/>
      </w:pPr>
      <w:r w:rsidRPr="00980471">
        <w:t>–</w:t>
      </w:r>
      <w:r w:rsidRPr="00980471">
        <w:tab/>
        <w:t>atsižvelgdamas į 2019 m. sausio 16 d. Europos Parlamento ir Tarybos reglamentą (ES) 2019/128, kuriuo įsteigiamas Europos profesinio mokymo plėtros centras (CEDEFOP) ir panaikinamas Tarybos reglamentas (EEB) Nr. 337/75</w:t>
      </w:r>
      <w:r w:rsidRPr="00980471">
        <w:rPr>
          <w:rStyle w:val="FootnoteReference"/>
        </w:rPr>
        <w:footnoteReference w:id="9"/>
      </w:r>
      <w:r w:rsidRPr="00980471">
        <w:t>, ypač į jo 15 straipsnį,</w:t>
      </w:r>
    </w:p>
    <w:p w:rsidR="00BD7C92" w:rsidRPr="00980471" w:rsidRDefault="00BD7C92" w:rsidP="00BD7C92">
      <w:pPr>
        <w:pStyle w:val="NormalHanging12a"/>
      </w:pPr>
      <w:r w:rsidRPr="00980471">
        <w:t>–</w:t>
      </w:r>
      <w:r w:rsidRPr="00980471">
        <w:tab/>
        <w:t>atsižvelgdamas į 2018 m. gruodžio 18 d. Komisijos deleguotąjį reglamentą (ES) 2019/715 dėl finansinio pagrindų reglamento, taikomo organams, įsteigtiems pagal SESV ir Euratomo sutartį ir nurodytiems Europos Parlamento ir Tarybos reglamento (ES, Euratomas) 2018/10467 70 straipsnyje</w:t>
      </w:r>
      <w:r w:rsidRPr="00980471">
        <w:rPr>
          <w:rStyle w:val="FootnoteReference"/>
        </w:rPr>
        <w:footnoteReference w:id="10"/>
      </w:r>
      <w:r w:rsidRPr="00980471">
        <w:t>, ypač į jo 105 straipsnį,</w:t>
      </w:r>
    </w:p>
    <w:p w:rsidR="00BD7C92" w:rsidRPr="00980471" w:rsidRDefault="00BD7C92" w:rsidP="00BD7C92">
      <w:pPr>
        <w:pStyle w:val="NormalHanging12a"/>
      </w:pPr>
      <w:r w:rsidRPr="00980471">
        <w:t>–</w:t>
      </w:r>
      <w:r w:rsidRPr="00980471">
        <w:tab/>
        <w:t>atsižvelgdamas į Darbo tvarkos taisyklių 100 straipsnį ir V priedą,</w:t>
      </w:r>
    </w:p>
    <w:p w:rsidR="00BD7C92" w:rsidRPr="00980471" w:rsidRDefault="00BD7C92" w:rsidP="00BD7C92">
      <w:pPr>
        <w:pStyle w:val="NormalHanging12a"/>
      </w:pPr>
      <w:r w:rsidRPr="00980471">
        <w:t>–</w:t>
      </w:r>
      <w:r w:rsidRPr="00980471">
        <w:tab/>
        <w:t>atsižvelgdamas į Užimtumo ir socialinių reikalų komiteto nuomonę,</w:t>
      </w:r>
    </w:p>
    <w:p w:rsidR="00BD7C92" w:rsidRPr="00980471" w:rsidRDefault="00BD7C92" w:rsidP="00BD7C92">
      <w:pPr>
        <w:pStyle w:val="NormalHanging12a"/>
      </w:pPr>
      <w:r w:rsidRPr="00980471">
        <w:t>–</w:t>
      </w:r>
      <w:r w:rsidRPr="00980471">
        <w:tab/>
        <w:t>atsižvelgdamas į Biudžeto kontrolės komiteto pranešimą (A9-0080/2024),</w:t>
      </w:r>
    </w:p>
    <w:p w:rsidR="00BD7C92" w:rsidRPr="00980471" w:rsidRDefault="00BD7C92" w:rsidP="00BD7C92">
      <w:pPr>
        <w:pStyle w:val="NormalHanging12a"/>
      </w:pPr>
      <w:r w:rsidRPr="00980471">
        <w:t>1.</w:t>
      </w:r>
      <w:r w:rsidRPr="00980471">
        <w:tab/>
        <w:t>pritaria Europos profesinio mokymo plėtros centro (CEDEFOP) 2022 finansinių metų sąskaitų uždarymui;</w:t>
      </w:r>
    </w:p>
    <w:p w:rsidR="00BD7C92" w:rsidRPr="00980471" w:rsidRDefault="00BD7C92" w:rsidP="00BD7C92">
      <w:pPr>
        <w:pStyle w:val="NormalHanging12a"/>
      </w:pPr>
      <w:r w:rsidRPr="00980471">
        <w:t>2.</w:t>
      </w:r>
      <w:r w:rsidRPr="00980471">
        <w:tab/>
        <w:t xml:space="preserve">paveda Pirmininkei perduoti šį sprendimą Europos profesinio mokymo plėtros centro </w:t>
      </w:r>
      <w:r w:rsidRPr="00980471">
        <w:lastRenderedPageBreak/>
        <w:t xml:space="preserve">(CEDEFOP) vykdomajam direktoriui, Tarybai, Komisijai ir Audito Rūmams ir pasirūpinti, kad jis būtų paskelbtas </w:t>
      </w:r>
      <w:r w:rsidRPr="00980471">
        <w:rPr>
          <w:i/>
          <w:iCs/>
        </w:rPr>
        <w:t>Europos Sąjungos oficialiajame leidinyje</w:t>
      </w:r>
      <w:r w:rsidRPr="00980471">
        <w:t xml:space="preserve"> (L serijoje).</w:t>
      </w:r>
    </w:p>
    <w:p w:rsidR="00BD7C92" w:rsidRPr="00980471" w:rsidRDefault="00BD7C92" w:rsidP="00BD7C92">
      <w:pPr>
        <w:pStyle w:val="NormalHanging12a"/>
      </w:pPr>
    </w:p>
    <w:p w:rsidR="00BD7C92" w:rsidRPr="00980471" w:rsidRDefault="00BD7C92" w:rsidP="00BD7C92">
      <w:pPr>
        <w:pStyle w:val="PageHeading"/>
        <w:sectPr w:rsidR="00BD7C92" w:rsidRPr="00980471" w:rsidSect="00980471">
          <w:footnotePr>
            <w:numRestart w:val="eachPage"/>
          </w:footnotePr>
          <w:endnotePr>
            <w:numFmt w:val="decimal"/>
          </w:endnotePr>
          <w:pgSz w:w="11906" w:h="16838" w:code="9"/>
          <w:pgMar w:top="1134" w:right="1418" w:bottom="1418" w:left="1418" w:header="567" w:footer="567" w:gutter="0"/>
          <w:cols w:space="720"/>
          <w:noEndnote/>
          <w:docGrid w:linePitch="326"/>
        </w:sectPr>
      </w:pPr>
    </w:p>
    <w:p w:rsidR="00BD7C92" w:rsidRPr="00980471" w:rsidRDefault="00825E61" w:rsidP="00825E61">
      <w:pPr>
        <w:pStyle w:val="ATHeading3"/>
      </w:pPr>
      <w:r>
        <w:lastRenderedPageBreak/>
        <w:t xml:space="preserve">3. 2024 m. balandžio 11 d. </w:t>
      </w:r>
      <w:r w:rsidRPr="00980471">
        <w:t xml:space="preserve">Europos Parlamento </w:t>
      </w:r>
      <w:r>
        <w:t xml:space="preserve">rezoliucija </w:t>
      </w:r>
      <w:r w:rsidR="00BD7C92" w:rsidRPr="00980471">
        <w:t>su pastabomis, sudarančiomis neatskiriamą sprendimo dėl Europos profesinio mokymo plėtros centro (CEDEFOP) 2022 finansinių metų biudžeto įvykdymo patvirtinimo dalį</w:t>
      </w:r>
      <w:r>
        <w:t xml:space="preserve"> </w:t>
      </w:r>
      <w:r w:rsidR="00BD7C92" w:rsidRPr="00980471">
        <w:t>(2023/2143(DEC))</w:t>
      </w:r>
    </w:p>
    <w:p w:rsidR="00BD7C92" w:rsidRPr="00980471" w:rsidRDefault="00BD7C92" w:rsidP="00BD7C92">
      <w:pPr>
        <w:pStyle w:val="EPComma"/>
      </w:pPr>
      <w:r w:rsidRPr="00980471">
        <w:rPr>
          <w:i/>
        </w:rPr>
        <w:t>Europos Parlamentas</w:t>
      </w:r>
      <w:r w:rsidRPr="00980471">
        <w:t>,</w:t>
      </w:r>
    </w:p>
    <w:p w:rsidR="00BD7C92" w:rsidRPr="00980471" w:rsidRDefault="00BD7C92" w:rsidP="00BD7C92">
      <w:pPr>
        <w:pStyle w:val="NormalHanging12a"/>
      </w:pPr>
      <w:r w:rsidRPr="00980471">
        <w:t>–</w:t>
      </w:r>
      <w:r w:rsidRPr="00980471">
        <w:tab/>
        <w:t>atsižvelgdamas į savo sprendimą dėl Europos profesinio mokymo plėtros centro (CEDEFOP) 2022 finansinių metų biudžeto įvykdymo patvirtinimo,</w:t>
      </w:r>
    </w:p>
    <w:p w:rsidR="00BD7C92" w:rsidRPr="00980471" w:rsidRDefault="00BD7C92" w:rsidP="00BD7C92">
      <w:pPr>
        <w:pStyle w:val="NormalHanging12a"/>
      </w:pPr>
      <w:r w:rsidRPr="00980471">
        <w:t>–</w:t>
      </w:r>
      <w:r w:rsidRPr="00980471">
        <w:tab/>
        <w:t>atsižvelgdamas į Darbo tvarkos taisyklių 100 straipsnį ir V priedą,</w:t>
      </w:r>
    </w:p>
    <w:p w:rsidR="00BD7C92" w:rsidRPr="00980471" w:rsidRDefault="00BD7C92" w:rsidP="00BD7C92">
      <w:pPr>
        <w:pStyle w:val="NormalHanging12a"/>
      </w:pPr>
      <w:r w:rsidRPr="00980471">
        <w:t>–</w:t>
      </w:r>
      <w:r w:rsidRPr="00980471">
        <w:tab/>
        <w:t>atsižvelgdamas į Užimtumo ir socialinių reikalų komiteto nuomonę,</w:t>
      </w:r>
    </w:p>
    <w:p w:rsidR="00BD7C92" w:rsidRPr="00980471" w:rsidRDefault="00BD7C92" w:rsidP="00BD7C92">
      <w:pPr>
        <w:pStyle w:val="NormalHanging12a"/>
      </w:pPr>
      <w:r w:rsidRPr="00980471">
        <w:t>–</w:t>
      </w:r>
      <w:r w:rsidRPr="00980471">
        <w:tab/>
        <w:t>atsižvelgdamas į Biudžeto kontrolės komiteto pranešimą (A9-0080/2024),</w:t>
      </w:r>
    </w:p>
    <w:p w:rsidR="00BD7C92" w:rsidRPr="00980471" w:rsidRDefault="00BD7C92" w:rsidP="00BD7C92">
      <w:pPr>
        <w:pStyle w:val="Normal12Hanging"/>
        <w:rPr>
          <w:szCs w:val="24"/>
          <w:lang w:val="lt-LT"/>
        </w:rPr>
      </w:pPr>
      <w:r w:rsidRPr="00980471">
        <w:rPr>
          <w:lang w:val="lt-LT"/>
        </w:rPr>
        <w:t>A.</w:t>
      </w:r>
      <w:r w:rsidRPr="00980471">
        <w:rPr>
          <w:lang w:val="lt-LT"/>
        </w:rPr>
        <w:tab/>
        <w:t>kadangi pagal Europos profesinio mokymo plėtros centro (CEDEFOP) (toliau – Centras) pajamų ir išlaidų suvestinę</w:t>
      </w:r>
      <w:r w:rsidRPr="00980471">
        <w:rPr>
          <w:rStyle w:val="FootnoteReference"/>
          <w:szCs w:val="24"/>
          <w:lang w:val="lt-LT"/>
        </w:rPr>
        <w:footnoteReference w:id="11"/>
      </w:r>
      <w:r w:rsidRPr="00980471">
        <w:rPr>
          <w:lang w:val="lt-LT"/>
        </w:rPr>
        <w:t>, jo galutinis 2022 finansinių metų biudžetas buvo 18 434 420 EUR, t. y. 0,29 proc. mažesnis nei 2021 m.; kadangi lėšos Centro biudžetui iš esmės skiriamos iš Sąjungos biudžeto;</w:t>
      </w:r>
    </w:p>
    <w:p w:rsidR="00BD7C92" w:rsidRPr="00980471" w:rsidRDefault="00BD7C92" w:rsidP="00BD7C92">
      <w:pPr>
        <w:pStyle w:val="Normal12Hanging"/>
        <w:rPr>
          <w:szCs w:val="24"/>
          <w:lang w:val="lt-LT"/>
        </w:rPr>
      </w:pPr>
      <w:r w:rsidRPr="00980471">
        <w:rPr>
          <w:lang w:val="lt-LT"/>
        </w:rPr>
        <w:t>B.</w:t>
      </w:r>
      <w:r w:rsidRPr="00980471">
        <w:rPr>
          <w:lang w:val="lt-LT"/>
        </w:rPr>
        <w:tab/>
        <w:t>kadangi, be 17 960 000 EUR Sąjungos įnašo, į 2022 m. Centro biudžetą buvo įtraukta 464 420 EUR asocijuotųjų šalių (Norvegijos ir Islandijos) įnašų suma ir kita iš įvairių nuosavų pajamų ir kompensuotų lėšų sudaryta 43 960 EUR suma;</w:t>
      </w:r>
    </w:p>
    <w:p w:rsidR="00BD7C92" w:rsidRPr="00980471" w:rsidRDefault="00BD7C92" w:rsidP="00BD7C92">
      <w:pPr>
        <w:pStyle w:val="Normal12Hanging"/>
        <w:rPr>
          <w:szCs w:val="24"/>
          <w:lang w:val="lt-LT"/>
        </w:rPr>
      </w:pPr>
      <w:r w:rsidRPr="00980471">
        <w:rPr>
          <w:lang w:val="lt-LT"/>
        </w:rPr>
        <w:t>C.</w:t>
      </w:r>
      <w:r w:rsidRPr="00980471">
        <w:rPr>
          <w:lang w:val="lt-LT"/>
        </w:rPr>
        <w:tab/>
        <w:t>kadangi Centras nuo 2023 m. sausio 1 d. prisijungė prie Europos ekonominės erdvės (EEE) susitarimo 31 protokolo, pagal kurį Centras gaus asocijuotųjų šalių įnašus iš ELPA valstybių EEE narių biudžeto;</w:t>
      </w:r>
    </w:p>
    <w:p w:rsidR="00BD7C92" w:rsidRPr="00980471" w:rsidRDefault="00BD7C92" w:rsidP="00BD7C92">
      <w:pPr>
        <w:pStyle w:val="Normal12Hanging"/>
        <w:rPr>
          <w:szCs w:val="24"/>
          <w:lang w:val="lt-LT"/>
        </w:rPr>
      </w:pPr>
      <w:r w:rsidRPr="00980471">
        <w:rPr>
          <w:lang w:val="lt-LT"/>
        </w:rPr>
        <w:t>D.</w:t>
      </w:r>
      <w:r w:rsidRPr="00980471">
        <w:rPr>
          <w:lang w:val="lt-LT"/>
        </w:rPr>
        <w:tab/>
        <w:t>kadangi, kalbant apie Centro viešųjų pirkimų sektorių, 2022 m. nebuvo pranešta apie jokias problemas, dėl kurių reikėtų imtis taisomųjų veiksmų, taip pat nėra vykdomų ar neįgyvendintų taisomųjų veiksmų, susijusių su ankstesnių metų auditais ir vertinimais;</w:t>
      </w:r>
    </w:p>
    <w:p w:rsidR="00BD7C92" w:rsidRPr="00980471" w:rsidRDefault="00BD7C92" w:rsidP="00BD7C92">
      <w:pPr>
        <w:pStyle w:val="Normal12Hanging"/>
        <w:rPr>
          <w:szCs w:val="24"/>
          <w:lang w:val="lt-LT"/>
        </w:rPr>
      </w:pPr>
      <w:r w:rsidRPr="00980471">
        <w:rPr>
          <w:lang w:val="lt-LT"/>
        </w:rPr>
        <w:t>E.</w:t>
      </w:r>
      <w:r w:rsidRPr="00980471">
        <w:rPr>
          <w:lang w:val="lt-LT"/>
        </w:rPr>
        <w:tab/>
        <w:t>kadangi Audito Rūmai savo ataskaitoje dėl Centro 2022 finansinių metų metinių ataskaitų (toliau – Audito Rūmų ataskaita) nurodo, kad gavo pagrįstą patikinimą, jog Centro metinės ataskaitos yra patikimos ir jose nurodytos operacijos yra teisėtos ir tvarkingos;</w:t>
      </w:r>
    </w:p>
    <w:p w:rsidR="00BD7C92" w:rsidRPr="00980471" w:rsidRDefault="00BD7C92" w:rsidP="00BD7C92">
      <w:pPr>
        <w:pStyle w:val="Normal12Hanging"/>
        <w:rPr>
          <w:b/>
          <w:i/>
          <w:szCs w:val="24"/>
          <w:lang w:val="lt-LT"/>
        </w:rPr>
      </w:pPr>
      <w:r w:rsidRPr="00980471">
        <w:rPr>
          <w:b/>
          <w:i/>
          <w:lang w:val="lt-LT"/>
        </w:rPr>
        <w:t>Biudžeto ir finansų valdymas</w:t>
      </w:r>
    </w:p>
    <w:p w:rsidR="00BD7C92" w:rsidRPr="00980471" w:rsidRDefault="00BD7C92" w:rsidP="00BD7C92">
      <w:pPr>
        <w:pStyle w:val="Normal12Hanging"/>
        <w:rPr>
          <w:szCs w:val="24"/>
          <w:lang w:val="lt-LT"/>
        </w:rPr>
      </w:pPr>
      <w:r w:rsidRPr="00980471">
        <w:rPr>
          <w:lang w:val="lt-LT"/>
        </w:rPr>
        <w:t>1.</w:t>
      </w:r>
      <w:r w:rsidRPr="00980471">
        <w:rPr>
          <w:lang w:val="lt-LT"/>
        </w:rPr>
        <w:tab/>
        <w:t>džiaugdamasis pažymi, kad dėl 2022 m. vykdytos biudžeto stebėsenos biudžeto įvykdymo lygis buvo 99,98 proc., t. y. 0,02 proc. mažesnis, palyginti su 2021 m.; apgailestauja, kad einamųjų metų mokėjimų asignavimų panaudojimo lygis siekė 74,64 proc., t. y. buvo 2,38 proc. mažesnis nei 2021 m.;</w:t>
      </w:r>
    </w:p>
    <w:p w:rsidR="00BD7C92" w:rsidRPr="00980471" w:rsidRDefault="00BD7C92" w:rsidP="00BD7C92">
      <w:pPr>
        <w:pStyle w:val="Normal12Hanging"/>
        <w:rPr>
          <w:szCs w:val="24"/>
          <w:lang w:val="lt-LT"/>
        </w:rPr>
      </w:pPr>
      <w:r w:rsidRPr="00980471">
        <w:rPr>
          <w:lang w:val="lt-LT"/>
        </w:rPr>
        <w:t>2.</w:t>
      </w:r>
      <w:r w:rsidRPr="00980471">
        <w:rPr>
          <w:lang w:val="lt-LT"/>
        </w:rPr>
        <w:tab/>
        <w:t xml:space="preserve">primena 2021 m. Audito Rūmų ataskaitoje pateiktą pastabą dėl Centro perėjimo prie naujos apskaitos sistemos (ABAC), kurią taip pat naudoja Komisija, trūkumų; remdamasis Audito Rūmų ataskaita pažymi, kad 2022 m. nustatyta panašių atvejų (kaip antai nesuderinamumas tarp faktinės galutinės teisinių įsipareigojimų įgyvendinimo </w:t>
      </w:r>
      <w:r w:rsidRPr="00980471">
        <w:rPr>
          <w:lang w:val="lt-LT"/>
        </w:rPr>
        <w:lastRenderedPageBreak/>
        <w:t>datos ir datos, užregistruotos sistemoje ABAC), susijusių su iš 2022 m. į 2023 m. perkeltais biudžetiniais įsipareigojimais; remdamasis Centro tolesnių veiksmų ataskaita dėl 2021 m. biudžeto įvykdymo patvirtinimo (toliau – tolesnių veiksmų ataskaita), su džiaugsmu pažymi, kad per tą laiką Centras įdiegė stebėsenos sistemą, pagal kurią nustatomi tokie neatitikimai ir nedelsiant ištaisomi sistemoje ABAC;</w:t>
      </w:r>
    </w:p>
    <w:p w:rsidR="00BD7C92" w:rsidRPr="00980471" w:rsidRDefault="00BD7C92" w:rsidP="00BD7C92">
      <w:pPr>
        <w:pStyle w:val="Normal12Hanging"/>
        <w:rPr>
          <w:szCs w:val="24"/>
          <w:lang w:val="lt-LT"/>
        </w:rPr>
      </w:pPr>
      <w:r w:rsidRPr="00980471">
        <w:rPr>
          <w:lang w:val="lt-LT"/>
        </w:rPr>
        <w:t>3.</w:t>
      </w:r>
      <w:r w:rsidRPr="00980471">
        <w:rPr>
          <w:lang w:val="lt-LT"/>
        </w:rPr>
        <w:tab/>
        <w:t>atsižvelgdamas į Audito Rūmų ataskaitą, atkreipia dėmesį į pastabą, kad Centras neteisingai taikė įnašo apskaičiavimo metodą, nustatytą pareiškime dėl Centro ir ELPA bendradarbiavimo, susijusio su Centro biudžeto pakeitimu Nr. 1</w:t>
      </w:r>
      <w:r w:rsidR="00A02C93">
        <w:rPr>
          <w:lang w:val="lt-LT"/>
        </w:rPr>
        <w:t>;</w:t>
      </w:r>
      <w:r w:rsidRPr="00980471">
        <w:rPr>
          <w:lang w:val="lt-LT"/>
        </w:rPr>
        <w:t xml:space="preserve"> todėl pažymi, kad 2022 m. Islandijos ir Norvegijos įnašai į Centro biudžetą buvo didesni, o Sąjungos įnašas – mažesnis nei turėjo būti; taip pat atkreipia dėmesį į tai, kad Audito Rūmai pripažino, jog nuo 2023 m. sausio 1 d. buvo pasirašytas ir įsigaliojo EEE susitarimo 31 protokolo dėl bendradarbiavimo konkrečiose srityse, nesusijusiose su keturiomis laisvėmis, dalinis pakeitimas, todėl nuo 2023 m. ELPA šalių įnašų patikslinimų dėl Centro biudžeto pakeitimų klausimas nebekils;</w:t>
      </w:r>
    </w:p>
    <w:p w:rsidR="00BD7C92" w:rsidRPr="00980471" w:rsidRDefault="00BD7C92" w:rsidP="00BD7C92">
      <w:pPr>
        <w:pStyle w:val="Normal12Hanging"/>
        <w:rPr>
          <w:b/>
          <w:i/>
          <w:szCs w:val="24"/>
          <w:lang w:val="lt-LT"/>
        </w:rPr>
      </w:pPr>
      <w:r w:rsidRPr="00980471">
        <w:rPr>
          <w:b/>
          <w:i/>
          <w:lang w:val="lt-LT"/>
        </w:rPr>
        <w:t>Veikla</w:t>
      </w:r>
    </w:p>
    <w:p w:rsidR="00BD7C92" w:rsidRPr="00980471" w:rsidRDefault="00BD7C92" w:rsidP="00BD7C92">
      <w:pPr>
        <w:pStyle w:val="Normal12Hanging"/>
        <w:rPr>
          <w:lang w:val="lt-LT"/>
        </w:rPr>
      </w:pPr>
      <w:r w:rsidRPr="00980471">
        <w:rPr>
          <w:lang w:val="lt-LT"/>
        </w:rPr>
        <w:t>4.</w:t>
      </w:r>
      <w:r w:rsidRPr="00980471">
        <w:rPr>
          <w:lang w:val="lt-LT"/>
        </w:rPr>
        <w:tab/>
        <w:t>džiaugdamasis pažymi, kad, nepaisant tebesitęsiančių iššūkių, kuriuos kelia COVID-19 pandemija, nepateisinamas karas Ukrainoje, energetikos krizė ir didėjanti klimato krizė, Centras 2022 m. visiškai įgyvendino savo darbo programą ir pasiekė reikšmingų pasiekimų visose trijose Centro strateginėse veiklos srityse, viršijančių tai, kas buvo numatyta 2022 m. darbo programoje; pažymi, kad profesinis rengimas ir mokymas buvo įvardytas kaip prioritetinė bendradarbiavimo pagal Europos švietimo erdvės iniciatyvą sritis 2021–2030 m. laikotarpiu;</w:t>
      </w:r>
    </w:p>
    <w:p w:rsidR="00BD7C92" w:rsidRPr="00980471" w:rsidRDefault="00BD7C92" w:rsidP="00BD7C92">
      <w:pPr>
        <w:pStyle w:val="Normal12Hanging"/>
        <w:rPr>
          <w:lang w:val="lt-LT"/>
        </w:rPr>
      </w:pPr>
      <w:r w:rsidRPr="00980471">
        <w:rPr>
          <w:lang w:val="lt-LT"/>
        </w:rPr>
        <w:t>5.</w:t>
      </w:r>
      <w:r w:rsidRPr="00980471">
        <w:rPr>
          <w:lang w:val="lt-LT"/>
        </w:rPr>
        <w:tab/>
        <w:t xml:space="preserve">iš 2022 m. laimėjimų atkreipia dėmesį į šiuos: i) Centro Žaliosios observatorijos, kuri vertina žaliosios pertvarkos poveikį miestams ir trims pagrindinėms sritims (atliekų tvarkymas, žemės ūkio maisto produktai ir žiedinė ekonomika), veiklos pradžią; ii) Centro atliktą nacionalinių įgyvendinimo planų, kuriuose pristatomos vykdomos ir būsimos nacionalinės profesinio rengimo ir mokymo reformos ir iniciatyvos, analizę; iii) Centro atlikto </w:t>
      </w:r>
      <w:proofErr w:type="spellStart"/>
      <w:r w:rsidRPr="00980471">
        <w:rPr>
          <w:lang w:val="lt-LT"/>
        </w:rPr>
        <w:t>mikrokredencialų</w:t>
      </w:r>
      <w:proofErr w:type="spellEnd"/>
      <w:r w:rsidRPr="00980471">
        <w:rPr>
          <w:lang w:val="lt-LT"/>
        </w:rPr>
        <w:t xml:space="preserve"> tyrimo, kuriuo remiantis Komisija pateikė pasiūlymą dėl Tarybos rekomendacijos šia tema, išvadų pristatymą; iv) Centro atliktą pirminio profesinio rengimo ir mokymo mokytojų ir dėstytojų apklausos galimybių studiją; v) antrojo projekto „Profesinio mokymo ateitis“, kuris padeda geriau suprasti Europos profesinio rengimo ir mokymo iššūkius ir galimybes ateinančiais metais, užbaigimą ir vi) paskelbtą antrąjį Europos įgūdžių ir darbo vietų tyrimą (ESJS), kuriame pateikta įžvalgų apie </w:t>
      </w:r>
      <w:proofErr w:type="spellStart"/>
      <w:r w:rsidRPr="00980471">
        <w:rPr>
          <w:lang w:val="lt-LT"/>
        </w:rPr>
        <w:t>skaitmenizaciją</w:t>
      </w:r>
      <w:proofErr w:type="spellEnd"/>
      <w:r w:rsidRPr="00980471">
        <w:rPr>
          <w:lang w:val="lt-LT"/>
        </w:rPr>
        <w:t xml:space="preserve"> ir jos poveikį darbo vietoms ir įgūdžiams;</w:t>
      </w:r>
    </w:p>
    <w:p w:rsidR="00BD7C92" w:rsidRPr="00980471" w:rsidRDefault="00BD7C92" w:rsidP="00BD7C92">
      <w:pPr>
        <w:pStyle w:val="NormalHanging12a"/>
        <w:rPr>
          <w:szCs w:val="24"/>
        </w:rPr>
      </w:pPr>
      <w:r w:rsidRPr="00980471">
        <w:t>6.</w:t>
      </w:r>
      <w:r w:rsidRPr="00980471">
        <w:tab/>
        <w:t>vertina Centro veiklą ir aukštos kokybės darbą teikiant mokslinius tyrimus, analizes ir technines konsultacijas profesinio rengimo ir mokymo, kvalifikacijų ir įgūdžių politikos priemonių klausimais, siekiant skatinti kokybiškus mokymus, pritaikytus prie asmenų ir darbo rinkos poreikių; primena, kad Centrui tenka svarbus vaidmuo užtikrinant, kad skaitmeniniai įgūdžiai būtų integruoti į profesinį rengimą ir mokymą visoje Sąjungoje, ir jo vaidmenį stebint Tarybos rekomendacijų dėl Europos įgūdžių darbotvarkės, profesinio rengimo ir mokymo siekiant tvaraus konkurencingumo, socialinio sąžiningumo ir atsparumo ir Skaitmeninio švietimo veiksmų plano įgyvendinimą bei poveikį; pabrėžia, jog reikia toliau užtikrinti tinkamus žmogiškuosius ir finansinius išteklius, kad Centras galėtų vykdyti savo įgaliojimus ir toliau įgyvendinti savo darbo programą sykiu užtikrindamas aukštą veiklos užbaigimo lygį;</w:t>
      </w:r>
    </w:p>
    <w:p w:rsidR="00BD7C92" w:rsidRPr="00980471" w:rsidRDefault="00BD7C92" w:rsidP="00BD7C92">
      <w:pPr>
        <w:pStyle w:val="Normal12Hanging"/>
        <w:rPr>
          <w:b/>
          <w:i/>
          <w:szCs w:val="24"/>
          <w:lang w:val="lt-LT"/>
        </w:rPr>
      </w:pPr>
      <w:r w:rsidRPr="00980471">
        <w:rPr>
          <w:b/>
          <w:i/>
          <w:lang w:val="lt-LT"/>
        </w:rPr>
        <w:lastRenderedPageBreak/>
        <w:t>Veiksmingumas ir nauda</w:t>
      </w:r>
    </w:p>
    <w:p w:rsidR="00BD7C92" w:rsidRPr="00980471" w:rsidRDefault="00BD7C92" w:rsidP="00BD7C92">
      <w:pPr>
        <w:pStyle w:val="Normal12Hanging"/>
        <w:rPr>
          <w:lang w:val="lt-LT"/>
        </w:rPr>
      </w:pPr>
      <w:r w:rsidRPr="00980471">
        <w:rPr>
          <w:lang w:val="lt-LT"/>
        </w:rPr>
        <w:t>7.</w:t>
      </w:r>
      <w:r w:rsidRPr="00980471">
        <w:rPr>
          <w:lang w:val="lt-LT"/>
        </w:rPr>
        <w:tab/>
        <w:t xml:space="preserve">palankiai vertina ilgalaikę Centro bendradarbiavimo ir dalijimosi informacija su Europos mokymo fondu (ETF) ir Europos gyvenimo ir darbo sąlygų gerinimo fondu (EUROFOUND) praktiką; pažymi, kad Centras ir ETF bendradarbiauja vykdydami bendrus projektus, susijusius su profesiniu rengimu ir mokymu, leidiniais, platformų ekonomika ir (arba) platformų darbu įgūdžių pasiūlos ir paklausos derinimo ir numatymo ar identifikavimo, šalių pažangos stebėsenos ir analizės srityse, taip pat vykdant Europos įgūdžių ir darbo vietų tyrimą; taip pat pažymi, kad 2022 m. Centras toliau stiprino savo ilgalaikį bendradarbiavimą su EUROFOUND operatyvinės veiklos srityje, jie bendrai parengė antrą pavyzdinę ataskaitą dėl įgūdžių, grindžiamą Europos įmonių tyrimu, glaudžiau bendradarbiaudami teisingos žaliosios pertvarkos srityje ir bendrai vadovaudami pasiruošimui Parlamente vykusiam penkių agentūrų renginiui „Pirmiausia – jaunimas!“ ir jo organizavimui; palankiai vertina tai, kad Centras ir Europos darbo institucija sudarė specialų susitarimo memorandumą, kuris apima dalijimąsi žiniomis ir sinergiją, daugiausia dėmesio skiriant įgūdžiams ir darbo rinkos tendencijoms bei tarpvalstybiniam darbo jėgos </w:t>
      </w:r>
      <w:proofErr w:type="spellStart"/>
      <w:r w:rsidRPr="00980471">
        <w:rPr>
          <w:lang w:val="lt-LT"/>
        </w:rPr>
        <w:t>judumui</w:t>
      </w:r>
      <w:proofErr w:type="spellEnd"/>
      <w:r w:rsidRPr="00980471">
        <w:rPr>
          <w:lang w:val="lt-LT"/>
        </w:rPr>
        <w:t xml:space="preserve">; atkreipia dėmesį į Centro susitarimus dėl paslaugų lygio su Europos lyčių lygybės institutu siekiant dalytis apskaitos paslaugomis ir su Europos Sąjungos kibernetinio saugumo agentūra tokiose srityse kaip, be kita ko, duomenų apsauga, viešieji pirkimai ir IRT, taip pat į vykstančias diskusijas su ETF dėl bendro kibernetinio saugumo pareigūno; be to, ragina Centrą ir kitas agentūras ištirti ir nustatyti naujas </w:t>
      </w:r>
      <w:proofErr w:type="spellStart"/>
      <w:r w:rsidRPr="00980471">
        <w:rPr>
          <w:lang w:val="lt-LT"/>
        </w:rPr>
        <w:t>sinergijas</w:t>
      </w:r>
      <w:proofErr w:type="spellEnd"/>
      <w:r w:rsidRPr="00980471">
        <w:rPr>
          <w:lang w:val="lt-LT"/>
        </w:rPr>
        <w:t xml:space="preserve"> ir bendradarbiavimo sritis, siekiant padidinti efektyvumą ir sumažinti išlaidas;</w:t>
      </w:r>
    </w:p>
    <w:p w:rsidR="00BD7C92" w:rsidRPr="00980471" w:rsidRDefault="00BD7C92" w:rsidP="00BD7C92">
      <w:pPr>
        <w:pStyle w:val="Normal12Hanging"/>
        <w:rPr>
          <w:szCs w:val="24"/>
          <w:lang w:val="lt-LT"/>
        </w:rPr>
      </w:pPr>
      <w:r w:rsidRPr="00980471">
        <w:rPr>
          <w:lang w:val="lt-LT"/>
        </w:rPr>
        <w:t>8.</w:t>
      </w:r>
      <w:r w:rsidRPr="00980471">
        <w:rPr>
          <w:lang w:val="lt-LT"/>
        </w:rPr>
        <w:tab/>
        <w:t>palankiai vertina Centro įsipareigojimą iki 2030 m. neutralizuoti anglies dioksido poveikį ir tai, kad 2023 m. buvo priimta jo poveikio klimatui neutralizavimo strategija ir veiksmų planas; atsižvelgdamas į tai, atkreipia dėmesį į konkrečius veiksmus, kurių jau imtasi 2022 m., pvz., įrengti efektyviai energiją vartojančias žaliuzes ir užbaigti parengiamąjį darbą, susijusį su fotovoltinių plokščių įrengimu 2023 m., siekiant gaminti nuosavą atsinaujinančiųjų išteklių elektros energiją, nes tikimasi, kad investicijų grąža sieks apie 50 proc.; giria Centrą už tai, kad jis sėkmingai pasiekė arba viršijo savo 2022 m. tikslus, nustatytus remiantis 2019 m. duomenimis, susijusius su elektros energijos (27 proc.), krosnių kuro (43 proc.) ir popieriaus (73 proc.) naudojimo sumažinimu, taip pat komandiruočių išlaidų (71 proc.) ir fizinių posėdžių išlaidų (56,5 proc.) sumažinimu;</w:t>
      </w:r>
    </w:p>
    <w:p w:rsidR="00BD7C92" w:rsidRPr="00980471" w:rsidRDefault="00BD7C92" w:rsidP="00BD7C92">
      <w:pPr>
        <w:pStyle w:val="Normal12Hanging"/>
        <w:rPr>
          <w:szCs w:val="24"/>
          <w:lang w:val="lt-LT"/>
        </w:rPr>
      </w:pPr>
      <w:r w:rsidRPr="00980471">
        <w:rPr>
          <w:lang w:val="lt-LT"/>
        </w:rPr>
        <w:t>9.</w:t>
      </w:r>
      <w:r w:rsidRPr="00980471">
        <w:rPr>
          <w:lang w:val="lt-LT"/>
        </w:rPr>
        <w:tab/>
        <w:t>palankiai vertina Centro pagrindinės veiklos stiprinimą stengiantis supaprastinti ir racionalizuoti administravimą, dalytis žiniomis ir ištekliais su kitomis agentūromis, skaitmeninti, racionalizuoti ir pertvarkyti užduotis, taip pat mažinti fizinių posėdžių skaičių ir didinti dalyvavimą renginiuose internetu; atkreipia dėmesį į šių pastangų rezultatus, be kita ko, trijų padėjėjų etatų pakeitimą ekspertų pareigybėmis, ir tai, kad sutaupyta apie 390 000 EUR dėl fizinių posėdžių skaičiaus sumažinimo – visa tai prisideda prie pagirtino pagrindinę veiklą vykdančių darbuotojų dalies padidėjimo nuo 66,5 proc. 2021 m. iki 73,2 proc. 2022 m.;</w:t>
      </w:r>
    </w:p>
    <w:p w:rsidR="00BD7C92" w:rsidRPr="00980471" w:rsidRDefault="00BD7C92" w:rsidP="00BD7C92">
      <w:pPr>
        <w:pStyle w:val="Normal12Hanging"/>
        <w:rPr>
          <w:szCs w:val="24"/>
          <w:lang w:val="lt-LT"/>
        </w:rPr>
      </w:pPr>
      <w:r w:rsidRPr="00980471">
        <w:rPr>
          <w:lang w:val="lt-LT"/>
        </w:rPr>
        <w:t>10.</w:t>
      </w:r>
      <w:r w:rsidRPr="00980471">
        <w:rPr>
          <w:lang w:val="lt-LT"/>
        </w:rPr>
        <w:tab/>
        <w:t xml:space="preserve">giria Centrą už nuolatinę pažangą įgyvendinant savo IRT ir skaitmeninimo strategiją, kad būtų dar labiau padidintas efektyvumas; pažymi, kad 2022 m. Centras suskaitmenino visus darbo srautus, įdiegė skaitmeninę atrankos procedūrų priemonę ir naują skaitmeninę darbo ir bendradarbiavimo aplinką, taip pat atliko parengiamąjį darbą ir nuo 2023 m. sausio mėn. pradėjo naudoti viešųjų pirkimų valdymo priemonę; palankiai vertina tai, kad Centras visiems savo darbuotojams išdavė skaitmeninius </w:t>
      </w:r>
      <w:r w:rsidRPr="00980471">
        <w:rPr>
          <w:lang w:val="lt-LT"/>
        </w:rPr>
        <w:lastRenderedPageBreak/>
        <w:t>parašus, o vadovai naudoja ES parašo sertifikatus sutartims, užsakymams ir teisiškai įpareigojantiems dokumentams;</w:t>
      </w:r>
    </w:p>
    <w:p w:rsidR="00BD7C92" w:rsidRPr="00980471" w:rsidRDefault="00BD7C92" w:rsidP="00BD7C92">
      <w:pPr>
        <w:spacing w:after="240"/>
        <w:ind w:left="567" w:hanging="567"/>
        <w:rPr>
          <w:iCs/>
        </w:rPr>
      </w:pPr>
      <w:r w:rsidRPr="00980471">
        <w:t>11.</w:t>
      </w:r>
      <w:r w:rsidRPr="00980471">
        <w:tab/>
        <w:t>remdamasis Audito Rūmų ataskaita pažymi, kad Centras nėra tarp agentūrų, kurios į savo metines veiklos ataskaitas yra įtraukusios kokios nors formos aplinkosaugos ataskaitas ir yra gavusios EMAS registraciją; vis dėlto atkreipia dėmesį į Centro aplinkosaugos vadybos sistemą, kuri padeda Centrui pasiekti savo aplinkosaugos tikslus, be kita ko, naudojant pagrindinius veiklos rezultatų rodiklius, susijusius su energijos, vandens ir popieriaus suvartojimu, taip pat su atliekomis ir išmetamu CO</w:t>
      </w:r>
      <w:r w:rsidRPr="00980471">
        <w:rPr>
          <w:vertAlign w:val="subscript"/>
        </w:rPr>
        <w:t>2</w:t>
      </w:r>
      <w:r w:rsidRPr="00980471">
        <w:t xml:space="preserve"> kiekiu; su pasitenkinimu pažymi, kad į Centro veiklos rezultatų valdymo sistemą įtrauktas aplinkosauginis rodiklis („išmetamas CO</w:t>
      </w:r>
      <w:r w:rsidRPr="00980471">
        <w:rPr>
          <w:vertAlign w:val="subscript"/>
        </w:rPr>
        <w:t>2</w:t>
      </w:r>
      <w:r w:rsidRPr="00980471">
        <w:t xml:space="preserve"> kiekis (tonomis)“), pagal kurį vertinamas Centro aplinkosauginis veiksmingumas naudojant CO</w:t>
      </w:r>
      <w:r w:rsidRPr="00980471">
        <w:rPr>
          <w:vertAlign w:val="subscript"/>
        </w:rPr>
        <w:t>2</w:t>
      </w:r>
      <w:r w:rsidRPr="00980471">
        <w:t xml:space="preserve"> ir bendrą atliekų kiekį; taip pat atkreipia dėmesį į Centro įsipareigojimą atnaujinti savo aplinkos valdymo sistemą ir imtis veiksmų, kad nuo 2025 m. taptų sertifikuotas EMAS;</w:t>
      </w:r>
    </w:p>
    <w:p w:rsidR="00BD7C92" w:rsidRPr="00980471" w:rsidRDefault="00BD7C92" w:rsidP="00BD7C92">
      <w:pPr>
        <w:pStyle w:val="Normal12Hanging"/>
        <w:rPr>
          <w:b/>
          <w:i/>
          <w:szCs w:val="24"/>
          <w:lang w:val="lt-LT"/>
        </w:rPr>
      </w:pPr>
      <w:r w:rsidRPr="00980471">
        <w:rPr>
          <w:b/>
          <w:i/>
          <w:lang w:val="lt-LT"/>
        </w:rPr>
        <w:t>Personalo politika</w:t>
      </w:r>
    </w:p>
    <w:p w:rsidR="00BD7C92" w:rsidRPr="00980471" w:rsidRDefault="00BD7C92" w:rsidP="00BD7C92">
      <w:pPr>
        <w:pStyle w:val="Normal12Hanging"/>
        <w:rPr>
          <w:szCs w:val="24"/>
          <w:lang w:val="lt-LT"/>
        </w:rPr>
      </w:pPr>
      <w:r w:rsidRPr="00980471">
        <w:rPr>
          <w:lang w:val="lt-LT"/>
        </w:rPr>
        <w:t>12.</w:t>
      </w:r>
      <w:r w:rsidRPr="00980471">
        <w:rPr>
          <w:lang w:val="lt-LT"/>
        </w:rPr>
        <w:tab/>
        <w:t>pažymi, kad 2022 m. gruodžio 31 d. etatų planas buvo įvykdytas 95,60 proc.: į 83 laikinųjų darbuotojų etatus paskirti 79 laikinieji darbuotojai ir aštuoni pareigūnai priimti į aštuonis etatus, patvirtintus pagal Sąjungos biudžetą; be to, pažymi, kad 2022 m. Centre dirbo 20 sutartininkų iš 25 pagal Sąjungos biudžetą patvirtintų etatų, keturi deleguotieji nacionaliniai ekspertai ir penki laikinieji darbuotojai;</w:t>
      </w:r>
    </w:p>
    <w:p w:rsidR="00BD7C92" w:rsidRPr="00980471" w:rsidRDefault="00BD7C92" w:rsidP="00BD7C92">
      <w:pPr>
        <w:pStyle w:val="NormalHanging12a"/>
      </w:pPr>
      <w:r w:rsidRPr="00980471">
        <w:t>13.</w:t>
      </w:r>
      <w:r w:rsidRPr="00980471">
        <w:tab/>
        <w:t>pažymi, kad, kalbant apie su lyčių pusiausvyra susijusius 2022 m. duomenis, apie kuriuos pranešta, pasakytina, kad Centro vyresniąją vadovybę sudarė keturi vyrai (66,7 proc.) ir dvi moterys (33,3 proc.); pažymi, kad Valdančiąją tarybą sudaro 78 vyrai (53 proc.) ir 68 moterys (47 proc.); primena Centro įgaliojimus ir tai, kad didelį Valdančiosios tarybos narių skaičių (1</w:t>
      </w:r>
      <w:r w:rsidR="00A02C93">
        <w:t>4</w:t>
      </w:r>
      <w:r w:rsidRPr="00980471">
        <w:t>6) lemia jos specifinė sudėtis, grindžiama trišaliu principu, taigi į ją įtraukiami nacionalinių valdžios institucijų atstovai ir socialiniai partneriai; pripažįsta, kad Centro valdančioji taryba per savo narius užtikrina būtiną Centro darbo ir suinteresuotųjų subjektų poreikių bei prioritetų suderinimą; taip pat pažymi, kad apskritai žvelgiant į Centro darbuotojų pasiskirstymą pagal lytį 44 proc. darbuotojų (47) yra vyrai ir 56 proc. (61) – moterys; primena geografinės pusiausvyros svarbą ir remdamasis tolesnių veiksmų ataskaita šiuo atžvilgiu palankiai vertina Centro įsipareigojimą geografiniu požiūriu iš naujo subalansuoti savo darbuotojų skaičių pasinaudojant kitų agentūrų rezervo sąrašais, be kita ko, suvienijant jėgas su jomis ir plečiant pranešimų apie laisvas darbo vietas sklaidą;</w:t>
      </w:r>
    </w:p>
    <w:p w:rsidR="00BD7C92" w:rsidRPr="00980471" w:rsidRDefault="00BD7C92" w:rsidP="00BD7C92">
      <w:pPr>
        <w:pStyle w:val="Normal12Hanging"/>
        <w:rPr>
          <w:szCs w:val="24"/>
          <w:lang w:val="lt-LT"/>
        </w:rPr>
      </w:pPr>
      <w:r w:rsidRPr="00980471">
        <w:rPr>
          <w:lang w:val="lt-LT"/>
        </w:rPr>
        <w:t>14.</w:t>
      </w:r>
      <w:r w:rsidRPr="00980471">
        <w:rPr>
          <w:lang w:val="lt-LT"/>
        </w:rPr>
        <w:tab/>
        <w:t>džiaugdamasis pažymi, kad Centras aktyviai dirba siekdamas pagerinti darbuotojų gerovę bei jų profesinio ir asmeninio gyvenimo pusiausvyrą; atsižvelgdamas į tai pažymi, kad 2022 m. Centras organizavo mokymus, be kita ko, apie nerimo darbo vietoje valdymą, atsparumą stresui ir skaitmeninę gerovę, atliko žmogiškųjų išteklių greitąsias apklausas, atnaujino savo jungtinį komitetą, kuris padeda puoselėti darbuotojų gerovę ir sveikatą, ir įgyvendino visą parą septynias dienas per savaitę veikiančią darbuotojų pagalbos programą, skirtą konfidencialiai paramai, susijusiai su įvairiais su gyvenimu ar darbu susijusiais iššūkiais, su kuriais susiduria Centro darbuotojai;</w:t>
      </w:r>
    </w:p>
    <w:p w:rsidR="00BD7C92" w:rsidRPr="00980471" w:rsidRDefault="00BD7C92" w:rsidP="00BD7C92">
      <w:pPr>
        <w:pStyle w:val="NormalHanging12a"/>
      </w:pPr>
      <w:r w:rsidRPr="00980471">
        <w:t>15.</w:t>
      </w:r>
      <w:r w:rsidRPr="00980471">
        <w:tab/>
        <w:t xml:space="preserve">pažymi, kad 2022 m. Centras pradėjo savo reguliarią darbuotojų įsitraukimo tyrimą, kurio rezultatai rodo, kad 65 proc. Centro darbuotojų (atsakymo lygis – 75 proc.) atsakė teigiamai, o 10-yje iš 12-os analizės aspektų, palyginti su 2019 m. tyrimo rezultatais, buvo teigiamų pokyčių, nepaisant labai trikdančio laikotarpio nuo paskutinio tų metų </w:t>
      </w:r>
      <w:r w:rsidRPr="00980471">
        <w:lastRenderedPageBreak/>
        <w:t>tyrimo, nors kai kurioms sritims, pvz., darbo krūviui, sprendimų priėmimo skaidrumui ir vidaus bendradarbiavimui, reikia skirti daugiau dėmesio; palankiai vertina tai, kad tyrimo rezultatai buvo pristatyti visiems darbuotojams generalinėje asamblėjoje ir specialiuose klausimų valandos posėdžiuose;</w:t>
      </w:r>
    </w:p>
    <w:p w:rsidR="00BD7C92" w:rsidRPr="00980471" w:rsidRDefault="00BD7C92" w:rsidP="00BD7C92">
      <w:pPr>
        <w:pStyle w:val="NormalHanging12a"/>
      </w:pPr>
      <w:r w:rsidRPr="00980471">
        <w:t>16.</w:t>
      </w:r>
      <w:r w:rsidRPr="00980471">
        <w:tab/>
        <w:t xml:space="preserve">atsižvelgdamas į Centro lygių galimybių ir įvairovės politiką, taip pat paramą asmenims su negalia, teigiamai vertina taikomas priemones, pvz., mokymus (įvairovės ir </w:t>
      </w:r>
      <w:proofErr w:type="spellStart"/>
      <w:r w:rsidRPr="00980471">
        <w:t>įtraukties</w:t>
      </w:r>
      <w:proofErr w:type="spellEnd"/>
      <w:r w:rsidRPr="00980471">
        <w:t xml:space="preserve"> klausimais) ir gaires (kaip nustatyti nesąmoningą šališkumą ir su juo kovoti), teikiamas žmogiškųjų išteklių darbuotojams ir atrankos komisijoms, taip pat kandidatų su negalia apgyvendinimą; remdamasis Centro atsakymais į Parlamento raštu pateiktus klausimus, atkreipia dėmesį į Centro planus 2023 m. priimti įvairovės ir </w:t>
      </w:r>
      <w:proofErr w:type="spellStart"/>
      <w:r w:rsidRPr="00980471">
        <w:t>įtraukties</w:t>
      </w:r>
      <w:proofErr w:type="spellEnd"/>
      <w:r w:rsidRPr="00980471">
        <w:t xml:space="preserve"> chartiją;</w:t>
      </w:r>
    </w:p>
    <w:p w:rsidR="00BD7C92" w:rsidRPr="00980471" w:rsidRDefault="00BD7C92" w:rsidP="00BD7C92">
      <w:pPr>
        <w:pStyle w:val="Normal12Hanging"/>
        <w:rPr>
          <w:szCs w:val="24"/>
          <w:lang w:val="lt-LT"/>
        </w:rPr>
      </w:pPr>
      <w:r w:rsidRPr="00980471">
        <w:rPr>
          <w:lang w:val="lt-LT"/>
        </w:rPr>
        <w:t>17.</w:t>
      </w:r>
      <w:r w:rsidRPr="00980471">
        <w:rPr>
          <w:lang w:val="lt-LT"/>
        </w:rPr>
        <w:tab/>
        <w:t>remdamasis Audito Rūmų ataskaita susirūpinęs atkreipia dėmesį į pastabą, kad 2017–2022 m. Centras dviem Graikijos piliečiams, įdarbintiems kaip deleguotieji nacionaliniai ekspertai, mokėjo mėnesines išmokas ir dienpinigius; atsižvelgdamas į tai pažymi, kad abu deleguotieji nacionaliniai ekspertai neturėjo teisės gauti šių išmokų pagal Centro vidaus taisykles, nes Centras įsikūręs Graikijoje, todėl visi susiję mokėjimai, atlikti dviem deleguotiesiems nacionaliniams ekspertams tuo laikotarpiu ir sudarantys 222 647 EUR (palyginti su 36 608 EUR 2022 m.), laikomi neteisėtais; be to, pažymi, kad 2022 m. nustačius šią problemą Centras šiuos du atvejus užregistravo reikalavimų nesilaikymo ir išimčių registre, nusprendė nereikalauti grąžinti neteisėtai išmokėtų sumų ir nustatė trijų mėnesių laipsniško atleidimo laikotarpį deleguotajam nacionaliniam ekspertui, kuris tuo metu vis dar dirbo; ragina ateityje griežtai stebėti tokias situacijas ir jų vengti;</w:t>
      </w:r>
    </w:p>
    <w:p w:rsidR="00BD7C92" w:rsidRPr="00980471" w:rsidRDefault="00BD7C92" w:rsidP="00BD7C92">
      <w:pPr>
        <w:pStyle w:val="Normal12Hanging"/>
        <w:rPr>
          <w:b/>
          <w:i/>
          <w:szCs w:val="24"/>
          <w:lang w:val="lt-LT"/>
        </w:rPr>
      </w:pPr>
      <w:r w:rsidRPr="00980471">
        <w:rPr>
          <w:b/>
          <w:i/>
          <w:lang w:val="lt-LT"/>
        </w:rPr>
        <w:t>Interesų konfliktų prevencija ir valdymas, taip pat skaidrumas</w:t>
      </w:r>
    </w:p>
    <w:p w:rsidR="00BD7C92" w:rsidRPr="00980471" w:rsidRDefault="00BD7C92" w:rsidP="00BD7C92">
      <w:pPr>
        <w:pStyle w:val="Normal12Hanging"/>
        <w:rPr>
          <w:szCs w:val="24"/>
          <w:lang w:val="lt-LT"/>
        </w:rPr>
      </w:pPr>
      <w:r w:rsidRPr="00980471">
        <w:rPr>
          <w:lang w:val="lt-LT"/>
        </w:rPr>
        <w:t>18.</w:t>
      </w:r>
      <w:r w:rsidRPr="00980471">
        <w:rPr>
          <w:lang w:val="lt-LT"/>
        </w:rPr>
        <w:tab/>
        <w:t xml:space="preserve">atkreipia dėmesį į šiuo metu Centro taikomas priemones ir nenutrūkstamas pastangas užtikrinti skaidrumą, interesų konfliktų prevenciją ir valdymą bei pranešėjų apie pažeidimus apsaugą; pažymi, kad Centras prašo savo darbuotojų deklaruoti galimus ar faktinius interesus, jei jie veikia tokioje situacijoje, kurioje gali kilti interesų konfliktas; atsižvelgdamas į tai pažymi, kad Centras yra įdiegęs savo mechanizmą, kuris apima </w:t>
      </w:r>
      <w:proofErr w:type="spellStart"/>
      <w:r w:rsidRPr="00980471">
        <w:rPr>
          <w:i/>
          <w:iCs/>
          <w:lang w:val="lt-LT"/>
        </w:rPr>
        <w:t>ex</w:t>
      </w:r>
      <w:proofErr w:type="spellEnd"/>
      <w:r w:rsidRPr="00980471">
        <w:rPr>
          <w:i/>
          <w:iCs/>
          <w:lang w:val="lt-LT"/>
        </w:rPr>
        <w:t> ante</w:t>
      </w:r>
      <w:r w:rsidRPr="00980471">
        <w:rPr>
          <w:lang w:val="lt-LT"/>
        </w:rPr>
        <w:t xml:space="preserve"> priemones, apimančias rizikos mažinimo veiksmus, </w:t>
      </w:r>
      <w:proofErr w:type="spellStart"/>
      <w:r w:rsidRPr="00980471">
        <w:rPr>
          <w:i/>
          <w:iCs/>
          <w:lang w:val="lt-LT"/>
        </w:rPr>
        <w:t>ex</w:t>
      </w:r>
      <w:proofErr w:type="spellEnd"/>
      <w:r w:rsidRPr="00980471">
        <w:rPr>
          <w:i/>
          <w:iCs/>
          <w:lang w:val="lt-LT"/>
        </w:rPr>
        <w:t> </w:t>
      </w:r>
      <w:proofErr w:type="spellStart"/>
      <w:r w:rsidRPr="00980471">
        <w:rPr>
          <w:i/>
          <w:iCs/>
          <w:lang w:val="lt-LT"/>
        </w:rPr>
        <w:t>post</w:t>
      </w:r>
      <w:proofErr w:type="spellEnd"/>
      <w:r w:rsidRPr="00980471">
        <w:rPr>
          <w:lang w:val="lt-LT"/>
        </w:rPr>
        <w:t xml:space="preserve"> kontrolę, taip pat Centro vidaus kontrolės koordinatoriaus, kuris gauna informaciją apie paskelbtus interesų konfliktus, pagalbą;</w:t>
      </w:r>
    </w:p>
    <w:p w:rsidR="00BD7C92" w:rsidRPr="00980471" w:rsidRDefault="00BD7C92" w:rsidP="00BD7C92">
      <w:pPr>
        <w:pStyle w:val="Normal12Hanging"/>
        <w:rPr>
          <w:szCs w:val="24"/>
          <w:lang w:val="lt-LT"/>
        </w:rPr>
      </w:pPr>
      <w:r w:rsidRPr="00980471">
        <w:rPr>
          <w:lang w:val="lt-LT"/>
        </w:rPr>
        <w:t>19.</w:t>
      </w:r>
      <w:r w:rsidRPr="00980471">
        <w:rPr>
          <w:lang w:val="lt-LT"/>
        </w:rPr>
        <w:tab/>
        <w:t>primena, kad, vadovaujantis Reglamentu (ES) 2019/128, visi nariai ir pakaitiniai nariai, kurie dalyvauja Valdančiosios tarybos posėdžiuose arba naudojasi balsavimo teise, privalo pateikti interesų deklaraciją; palankiai vertina tai, kad visų Valdančiosios tarybos narių ir pakaitinių narių, taip pat vyresniosios ar vidurinės grandies vadovų pareigas einančių Centro darbuotojų interesų deklaracijos buvo paskelbtos Centro interneto svetainėje; remdamasis Centro atsakymais į Parlamento raštu pateiktus klausimus pažymi, kad nuo 2022 m. Valdančiosios tarybos nariai arba pakaitiniai nariai, kurie nepateikia pasirašytos interesų deklaracijos, nebekviečiami į Valdančiosios tarybos posėdžius, negauna Valdančiosios tarybos dokumentų ir nedalyvauja rašytinėse sprendimų priėmimo procedūrose; atkreipia dėmesį į tai, kad, nors oficialiai to nereikalaujama, paskelbti Valdančiosios tarybos narių gyvenimo aprašymai; pažymi, kad dar trūksta kai kurių Valdančiosios tarybos narių, įskaitant jos pirmininko, gyvenimo aprašymų; ragina Centrą paskelbti visų Valdančiosios tarybos narių ir pakaitinių narių gyvenimo aprašymus;</w:t>
      </w:r>
    </w:p>
    <w:p w:rsidR="00BD7C92" w:rsidRPr="00980471" w:rsidRDefault="00BD7C92" w:rsidP="00BD7C92">
      <w:pPr>
        <w:pStyle w:val="Normal12Hanging"/>
        <w:rPr>
          <w:szCs w:val="24"/>
          <w:lang w:val="lt-LT"/>
        </w:rPr>
      </w:pPr>
      <w:r w:rsidRPr="00980471">
        <w:rPr>
          <w:lang w:val="lt-LT"/>
        </w:rPr>
        <w:lastRenderedPageBreak/>
        <w:t>20.</w:t>
      </w:r>
      <w:r w:rsidRPr="00980471">
        <w:rPr>
          <w:lang w:val="lt-LT"/>
        </w:rPr>
        <w:tab/>
        <w:t>pažymi, kad Centras pripažįsta „sukamųjų durų“ reiškinio atvejų svarbą ir nuolat didina visų savo darbuotojų informuotumą apie įgyvendinimo taisykles dėl išorės veiklos, užduočių ir profesinės veiklos baigus tarnybą; palankiai vertina tai, kad visų Centrą paliekančių darbuotojų prašoma pasirašyti raštą dėl savo įsipareigojimų baigus tarnybą, įskaitant tai, kad joks būsimas darbas neturėtų trukdyti jiems laikytis konfidencialumo pareigos Centro atžvilgiu;</w:t>
      </w:r>
    </w:p>
    <w:p w:rsidR="00BD7C92" w:rsidRPr="00980471" w:rsidRDefault="00BD7C92" w:rsidP="00BD7C92">
      <w:pPr>
        <w:pStyle w:val="Normal12Hanging"/>
        <w:rPr>
          <w:b/>
          <w:i/>
          <w:szCs w:val="24"/>
          <w:lang w:val="lt-LT"/>
        </w:rPr>
      </w:pPr>
      <w:r w:rsidRPr="00980471">
        <w:rPr>
          <w:b/>
          <w:i/>
          <w:lang w:val="lt-LT"/>
        </w:rPr>
        <w:t>Vidaus kontrolė</w:t>
      </w:r>
    </w:p>
    <w:p w:rsidR="00BD7C92" w:rsidRPr="00980471" w:rsidRDefault="00BD7C92" w:rsidP="00BD7C92">
      <w:pPr>
        <w:pStyle w:val="Normal12Hanging"/>
        <w:rPr>
          <w:szCs w:val="24"/>
          <w:lang w:val="lt-LT"/>
        </w:rPr>
      </w:pPr>
      <w:r w:rsidRPr="00980471">
        <w:rPr>
          <w:lang w:val="lt-LT"/>
        </w:rPr>
        <w:t>21.</w:t>
      </w:r>
      <w:r w:rsidRPr="00980471">
        <w:rPr>
          <w:lang w:val="lt-LT"/>
        </w:rPr>
        <w:tab/>
        <w:t>pažymi, kad 2022 m. bendros vidaus kontrolės išlaidos sudarė 1 101 755 EUR (29 024 EUR tiesioginių išlaidų ir 1 072 731 EUR netiesioginių išlaidų), o tai atitinka 6 proc. Centro biudžeto; taip pat atkreipia dėmesį į Centro pareiškimą, kad nedidelį išlaidų padidėjimą, palyginti su 2021 m. (5,3 proc.), lemia padidėjusios atlyginimų išlaidos ir darbuotojų, vykdančių vidaus kontrolės užduotis, derinys, dėl kurio padidėjo netiesioginės išlaidos;</w:t>
      </w:r>
    </w:p>
    <w:p w:rsidR="00BD7C92" w:rsidRPr="00980471" w:rsidRDefault="00BD7C92" w:rsidP="00BD7C92">
      <w:pPr>
        <w:pStyle w:val="Normal12Hanging"/>
        <w:rPr>
          <w:szCs w:val="24"/>
          <w:lang w:val="lt-LT"/>
        </w:rPr>
      </w:pPr>
      <w:r w:rsidRPr="00980471">
        <w:rPr>
          <w:lang w:val="lt-LT"/>
        </w:rPr>
        <w:t>22.</w:t>
      </w:r>
      <w:r w:rsidRPr="00980471">
        <w:rPr>
          <w:lang w:val="lt-LT"/>
        </w:rPr>
        <w:tab/>
        <w:t xml:space="preserve">pripažįsta, kad vadovaudamasis savo vertinimo politika Centras atlieka viešųjų pirkimų procedūrų, kurių vertė viršija 500 000 EUR, </w:t>
      </w:r>
      <w:proofErr w:type="spellStart"/>
      <w:r w:rsidRPr="00980471">
        <w:rPr>
          <w:i/>
          <w:iCs/>
          <w:lang w:val="lt-LT"/>
        </w:rPr>
        <w:t>ex</w:t>
      </w:r>
      <w:proofErr w:type="spellEnd"/>
      <w:r w:rsidRPr="00980471">
        <w:rPr>
          <w:i/>
          <w:iCs/>
          <w:lang w:val="lt-LT"/>
        </w:rPr>
        <w:t> ante</w:t>
      </w:r>
      <w:r w:rsidRPr="00980471">
        <w:rPr>
          <w:lang w:val="lt-LT"/>
        </w:rPr>
        <w:t xml:space="preserve"> vertinimus ir projektų bei veiklos, kurių bendros išlaidos viršija 500 000 EUR, </w:t>
      </w:r>
      <w:proofErr w:type="spellStart"/>
      <w:r w:rsidRPr="00980471">
        <w:rPr>
          <w:i/>
          <w:iCs/>
          <w:lang w:val="lt-LT"/>
        </w:rPr>
        <w:t>ex</w:t>
      </w:r>
      <w:proofErr w:type="spellEnd"/>
      <w:r w:rsidRPr="00980471">
        <w:rPr>
          <w:i/>
          <w:iCs/>
          <w:lang w:val="lt-LT"/>
        </w:rPr>
        <w:t> </w:t>
      </w:r>
      <w:proofErr w:type="spellStart"/>
      <w:r w:rsidRPr="00980471">
        <w:rPr>
          <w:i/>
          <w:iCs/>
          <w:lang w:val="lt-LT"/>
        </w:rPr>
        <w:t>post</w:t>
      </w:r>
      <w:proofErr w:type="spellEnd"/>
      <w:r w:rsidRPr="00980471">
        <w:rPr>
          <w:lang w:val="lt-LT"/>
        </w:rPr>
        <w:t xml:space="preserve"> vertinimus; pažymi, kad Finansų ir viešųjų pirkimų skyriaus vadovo 2022 m. ataskaitoje padaryta išvada, jog nagrinėjamu laikotarpiu pradėtos viešųjų pirkimų procedūros atitiko </w:t>
      </w:r>
      <w:proofErr w:type="spellStart"/>
      <w:r w:rsidRPr="00980471">
        <w:rPr>
          <w:i/>
          <w:iCs/>
          <w:lang w:val="lt-LT"/>
        </w:rPr>
        <w:t>ex</w:t>
      </w:r>
      <w:proofErr w:type="spellEnd"/>
      <w:r w:rsidRPr="00980471">
        <w:rPr>
          <w:i/>
          <w:iCs/>
          <w:lang w:val="lt-LT"/>
        </w:rPr>
        <w:t> ante</w:t>
      </w:r>
      <w:r w:rsidRPr="00980471">
        <w:rPr>
          <w:lang w:val="lt-LT"/>
        </w:rPr>
        <w:t xml:space="preserve"> vertinimo reikalavimus; pažymi, kad 2022 m. Centras atliko veiklos, kurioje daugiausia dėmesio skirta preliminariajai sutarčiai darbo rinkos tyrimo ir įgūdžių poreikių analizės srityje, </w:t>
      </w:r>
      <w:proofErr w:type="spellStart"/>
      <w:r w:rsidRPr="00980471">
        <w:rPr>
          <w:i/>
          <w:iCs/>
          <w:lang w:val="lt-LT"/>
        </w:rPr>
        <w:t>ex</w:t>
      </w:r>
      <w:proofErr w:type="spellEnd"/>
      <w:r w:rsidRPr="00980471">
        <w:rPr>
          <w:i/>
          <w:iCs/>
          <w:lang w:val="lt-LT"/>
        </w:rPr>
        <w:t> </w:t>
      </w:r>
      <w:proofErr w:type="spellStart"/>
      <w:r w:rsidRPr="00980471">
        <w:rPr>
          <w:i/>
          <w:iCs/>
          <w:lang w:val="lt-LT"/>
        </w:rPr>
        <w:t>post</w:t>
      </w:r>
      <w:proofErr w:type="spellEnd"/>
      <w:r w:rsidRPr="00980471">
        <w:rPr>
          <w:lang w:val="lt-LT"/>
        </w:rPr>
        <w:t xml:space="preserve"> vertinimą (sutarties vertė 1 088 350 EUR); taip pat pažymi, kad vertinimo rezultatai patvirtino, kad veikla buvo veiksminga, efektyvi, nuosekli ir suteikė Sąjungos pridėtinės vertės; taip pat pažymi, kad 2022 m. vykdomojo direktoriaus paskirta darbo grupė padarė išvadą, kad trijų viešųjų pirkimų procedūrų imties atžvilgiu buvo nustatyti kriterijai, susiję su veiksminga ir efektyvia vidaus kontrole, ir jų buvo laikomasi, todėl taisomųjų veiksmų imtis nereikia;</w:t>
      </w:r>
    </w:p>
    <w:p w:rsidR="00BD7C92" w:rsidRPr="00980471" w:rsidRDefault="00BD7C92" w:rsidP="00BD7C92">
      <w:pPr>
        <w:pStyle w:val="Normal12Hanging"/>
        <w:rPr>
          <w:szCs w:val="24"/>
          <w:lang w:val="lt-LT"/>
        </w:rPr>
      </w:pPr>
      <w:r w:rsidRPr="00980471">
        <w:rPr>
          <w:lang w:val="lt-LT"/>
        </w:rPr>
        <w:t>23.</w:t>
      </w:r>
      <w:r w:rsidRPr="00980471">
        <w:rPr>
          <w:lang w:val="lt-LT"/>
        </w:rPr>
        <w:tab/>
        <w:t>pažymi, kad 2022 m. Centras užregistravo 57 reikalavimų nesilaikymo atvejus ir prašymus taikyti išimtis, susijusius su sutarčių ir finansų valdymo klausimais; be to, pažymi, kad buvo įgyvendintos vidaus kontrolės koordinatoriaus pateiktos rekomendacijos ir imtasi tolesnių veiksmų siekiant išvengti klaidų pasikartojimo;</w:t>
      </w:r>
    </w:p>
    <w:p w:rsidR="00BD7C92" w:rsidRPr="00980471" w:rsidRDefault="00BD7C92" w:rsidP="00BD7C92">
      <w:pPr>
        <w:pStyle w:val="Normal12Hanging"/>
        <w:rPr>
          <w:szCs w:val="24"/>
          <w:lang w:val="lt-LT"/>
        </w:rPr>
      </w:pPr>
      <w:r w:rsidRPr="00980471">
        <w:rPr>
          <w:lang w:val="lt-LT"/>
        </w:rPr>
        <w:t>24.</w:t>
      </w:r>
      <w:r w:rsidRPr="00980471">
        <w:rPr>
          <w:lang w:val="lt-LT"/>
        </w:rPr>
        <w:tab/>
        <w:t>pažymi, kad Centro bendros vidaus kontrolės sistemos vertinime, kurį atliko vidaus kontrolės koordinatorius naudodamasis Biudžeto GD suteikta priemone, padaryta išvada, kad vidaus kontrolės sistema yra veiksminga, visos jos sudedamosios dalys yra įdiegtos ir veikia gerai bei pagal numatytą paskirtį, o vidaus kontrolės komponentą „Kontrolės veikla“ reikia šiek tiek patobulinti; remdamasis tolesnių veiksmų ataskaita, su pasitenkinimu pažymi, kad Centras, vykdydamas savo informuotumo etikos, sąžiningumo ir vidaus kontrolės klausimais didinimo veiklą, visiems darbuotojams ir Valdančiosios tarybos nariams rengia reguliarias privalomas sesijas gero valdymo klausimais, įskaitant su sukčiavimu susijusius klausimus;</w:t>
      </w:r>
    </w:p>
    <w:p w:rsidR="00BD7C92" w:rsidRPr="00980471" w:rsidRDefault="00BD7C92" w:rsidP="00BD7C92">
      <w:pPr>
        <w:pStyle w:val="Normal12Hanging"/>
        <w:rPr>
          <w:szCs w:val="24"/>
          <w:lang w:val="lt-LT"/>
        </w:rPr>
      </w:pPr>
      <w:r w:rsidRPr="00980471">
        <w:rPr>
          <w:b/>
          <w:i/>
          <w:lang w:val="lt-LT"/>
        </w:rPr>
        <w:t>Kitos pastabos</w:t>
      </w:r>
    </w:p>
    <w:p w:rsidR="00BD7C92" w:rsidRPr="00980471" w:rsidRDefault="00BD7C92" w:rsidP="00BD7C92">
      <w:pPr>
        <w:pStyle w:val="Normal12Hanging"/>
        <w:rPr>
          <w:szCs w:val="24"/>
          <w:lang w:val="lt-LT"/>
        </w:rPr>
      </w:pPr>
      <w:r w:rsidRPr="00980471">
        <w:rPr>
          <w:lang w:val="lt-LT"/>
        </w:rPr>
        <w:t>25.</w:t>
      </w:r>
      <w:r w:rsidRPr="00980471">
        <w:rPr>
          <w:lang w:val="lt-LT"/>
        </w:rPr>
        <w:tab/>
        <w:t xml:space="preserve">palankiai vertina Centro pastangas bendrauti tokiais būdais, kurie padėtų užmegzti ryšius su platesne auditorija, be kita ko, Centro interneto svetainėje įdiegiant mašininio vertimo mechanizmą, kad visi jo tinklalapiai būtų prieinami visomis oficialiomis Sąjungos institucijų kalbomis; pažymi, kad 2022 m. Centras investavo į kelis </w:t>
      </w:r>
      <w:r w:rsidRPr="00980471">
        <w:rPr>
          <w:lang w:val="lt-LT"/>
        </w:rPr>
        <w:lastRenderedPageBreak/>
        <w:t xml:space="preserve">novatoriškus produktus, pvz., organizacijos vaizdo įrašų gamybą, judesio grafiką, animaciją (apie Sąjungos Tarybai 2022 m. pirmininkavusių šalių, t. y. Prancūzijos ir Čekijos, profesinio mokymo sistemas), </w:t>
      </w:r>
      <w:proofErr w:type="spellStart"/>
      <w:r w:rsidRPr="00980471">
        <w:rPr>
          <w:lang w:val="lt-LT"/>
        </w:rPr>
        <w:t>tinklalaides</w:t>
      </w:r>
      <w:proofErr w:type="spellEnd"/>
      <w:r w:rsidRPr="00980471">
        <w:rPr>
          <w:lang w:val="lt-LT"/>
        </w:rPr>
        <w:t>, taip pat naujas duomenų vizualizacijas ir internetines duomenų bazes, kurios sustiprino Centro interneto portalą; džiaugdamasis pažymi, kad Centro leidiniai ir informaciniai pranešimai, kuriuos galima tiesiogiai atsisiųsti, pasiekė dešimtis tūkstančių žmonių; giria Centrą už tai, kad 2022 m. pagerėjo jo socialinių tinklų rodikliai;</w:t>
      </w:r>
    </w:p>
    <w:p w:rsidR="00BD7C92" w:rsidRPr="00980471" w:rsidRDefault="00BD7C92" w:rsidP="00BD7C92">
      <w:pPr>
        <w:pStyle w:val="Normal12Hanging"/>
        <w:rPr>
          <w:szCs w:val="24"/>
          <w:lang w:val="lt-LT"/>
        </w:rPr>
      </w:pPr>
      <w:r w:rsidRPr="00980471">
        <w:rPr>
          <w:lang w:val="lt-LT"/>
        </w:rPr>
        <w:t>26.</w:t>
      </w:r>
      <w:r w:rsidRPr="00980471">
        <w:rPr>
          <w:lang w:val="lt-LT"/>
        </w:rPr>
        <w:tab/>
        <w:t>pabrėžia, kad profesinis rengimas ir mokymas bei suaugusiųjų švietimas yra pagrindiniai „Europos socialinio fondo +“ (ESF+) prioritetai siekiant žaliojo ir skaitmeninio atsigavimo, o 2021–2027 m. ESF+ biudžetas siekia beveik 99,3 mlrd. EUR;</w:t>
      </w:r>
    </w:p>
    <w:p w:rsidR="00BD7C92" w:rsidRPr="00980471" w:rsidRDefault="00BD7C92" w:rsidP="00BD7C92">
      <w:pPr>
        <w:pStyle w:val="NormalHanging12a"/>
      </w:pPr>
      <w:r w:rsidRPr="00980471">
        <w:t>27.</w:t>
      </w:r>
      <w:r w:rsidRPr="00980471">
        <w:tab/>
        <w:t>atkreipia dėmesį į tai, kad dėl didelio infliacijos lygio ir su tuo susijusio darbo užmokesčio koregavimo, darbo užmokesčio padidėjimo, viršijančio pradines prognozes, ir kartu svorinio daugiklio padidėjimo lankstumo galimybės, užtikrinant papildomus išteklius pagrindinei veiklai, buvo ribotos;</w:t>
      </w:r>
    </w:p>
    <w:p w:rsidR="00BD7C92" w:rsidRPr="00980471" w:rsidRDefault="00BD7C92" w:rsidP="00BD7C92">
      <w:pPr>
        <w:pStyle w:val="NormalCenter12a"/>
      </w:pPr>
      <w:r w:rsidRPr="00980471">
        <w:t>°</w:t>
      </w:r>
    </w:p>
    <w:p w:rsidR="00BD7C92" w:rsidRPr="00980471" w:rsidRDefault="00BD7C92" w:rsidP="00BD7C92">
      <w:pPr>
        <w:pStyle w:val="NormalCenter12a"/>
      </w:pPr>
      <w:r w:rsidRPr="00980471">
        <w:t>°</w:t>
      </w:r>
      <w:r w:rsidRPr="00980471">
        <w:tab/>
        <w:t>°</w:t>
      </w:r>
    </w:p>
    <w:p w:rsidR="00E365E1" w:rsidRPr="00980471" w:rsidRDefault="00BD7C92" w:rsidP="00E64DFB">
      <w:pPr>
        <w:pStyle w:val="NormalHanging12a"/>
      </w:pPr>
      <w:r w:rsidRPr="00980471">
        <w:t>28.</w:t>
      </w:r>
      <w:r w:rsidRPr="00980471">
        <w:tab/>
        <w:t xml:space="preserve">pažymi, kad kitos su sprendimu dėl biudžeto įvykdymo patvirtinimo susijusios pastabos, kurios yra horizontaliojo pobūdžio, pateikiamos jo 2024 m. </w:t>
      </w:r>
      <w:r w:rsidR="00825E61">
        <w:t>balandžio 11</w:t>
      </w:r>
      <w:r w:rsidR="00825E61" w:rsidRPr="00980471">
        <w:t xml:space="preserve"> </w:t>
      </w:r>
      <w:r w:rsidR="00A02C93">
        <w:t xml:space="preserve">d. </w:t>
      </w:r>
      <w:r w:rsidRPr="00980471">
        <w:t>rezoliucijoje</w:t>
      </w:r>
      <w:r w:rsidRPr="00980471">
        <w:rPr>
          <w:rStyle w:val="FootnoteReference"/>
        </w:rPr>
        <w:footnoteReference w:id="12"/>
      </w:r>
      <w:r w:rsidRPr="00980471">
        <w:t xml:space="preserve"> dėl agentūrų veiklos, finansų valdymo ir kontrolės.</w:t>
      </w:r>
      <w:bookmarkStart w:id="8" w:name="TextBodyEnd"/>
      <w:bookmarkStart w:id="9" w:name="_GoBack"/>
      <w:bookmarkEnd w:id="8"/>
      <w:bookmarkEnd w:id="9"/>
    </w:p>
    <w:sectPr w:rsidR="00E365E1" w:rsidRPr="00980471" w:rsidSect="0098047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D55" w:rsidRPr="00980471" w:rsidRDefault="00042D55">
      <w:r w:rsidRPr="00980471">
        <w:separator/>
      </w:r>
    </w:p>
  </w:endnote>
  <w:endnote w:type="continuationSeparator" w:id="0">
    <w:p w:rsidR="00042D55" w:rsidRPr="00980471" w:rsidRDefault="00042D55">
      <w:r w:rsidRPr="009804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C92" w:rsidRPr="00980471" w:rsidRDefault="00BD7C92" w:rsidP="00847B0B">
    <w:pPr>
      <w:pStyle w:val="EPFooter"/>
    </w:pPr>
    <w:r w:rsidRPr="00980471">
      <w:t>PE</w:t>
    </w:r>
    <w:r w:rsidRPr="00980471">
      <w:rPr>
        <w:rStyle w:val="HideTWBExt"/>
      </w:rPr>
      <w:t>&lt;</w:t>
    </w:r>
    <w:proofErr w:type="spellStart"/>
    <w:r w:rsidRPr="00980471">
      <w:rPr>
        <w:rStyle w:val="HideTWBExt"/>
      </w:rPr>
      <w:t>NoPE</w:t>
    </w:r>
    <w:proofErr w:type="spellEnd"/>
    <w:r w:rsidRPr="00980471">
      <w:rPr>
        <w:rStyle w:val="HideTWBExt"/>
      </w:rPr>
      <w:t>&gt;</w:t>
    </w:r>
    <w:r w:rsidRPr="00980471">
      <w:t>753.509</w:t>
    </w:r>
    <w:r w:rsidRPr="00980471">
      <w:rPr>
        <w:rStyle w:val="HideTWBExt"/>
      </w:rPr>
      <w:t>&lt;/</w:t>
    </w:r>
    <w:proofErr w:type="spellStart"/>
    <w:r w:rsidRPr="00980471">
      <w:rPr>
        <w:rStyle w:val="HideTWBExt"/>
      </w:rPr>
      <w:t>NoPE</w:t>
    </w:r>
    <w:proofErr w:type="spellEnd"/>
    <w:r w:rsidRPr="00980471">
      <w:rPr>
        <w:rStyle w:val="HideTWBExt"/>
      </w:rPr>
      <w:t>&gt;&lt;Version&gt;</w:t>
    </w:r>
    <w:r w:rsidRPr="00980471">
      <w:t>v02-00</w:t>
    </w:r>
    <w:r w:rsidRPr="00980471">
      <w:rPr>
        <w:rStyle w:val="HideTWBExt"/>
      </w:rPr>
      <w:t>&lt;/</w:t>
    </w:r>
    <w:proofErr w:type="spellStart"/>
    <w:r w:rsidRPr="00980471">
      <w:rPr>
        <w:rStyle w:val="HideTWBExt"/>
      </w:rPr>
      <w:t>Version</w:t>
    </w:r>
    <w:proofErr w:type="spellEnd"/>
    <w:r w:rsidRPr="00980471">
      <w:rPr>
        <w:rStyle w:val="HideTWBExt"/>
      </w:rPr>
      <w:t>&gt;</w:t>
    </w:r>
    <w:r w:rsidRPr="00980471">
      <w:tab/>
    </w:r>
    <w:r w:rsidRPr="00980471">
      <w:fldChar w:fldCharType="begin"/>
    </w:r>
    <w:r w:rsidRPr="00980471">
      <w:instrText xml:space="preserve"> PAGE  \* MERGEFORMAT </w:instrText>
    </w:r>
    <w:r w:rsidRPr="00980471">
      <w:fldChar w:fldCharType="separate"/>
    </w:r>
    <w:r w:rsidRPr="00980471">
      <w:rPr>
        <w:noProof/>
      </w:rPr>
      <w:t>12</w:t>
    </w:r>
    <w:r w:rsidRPr="00980471">
      <w:fldChar w:fldCharType="end"/>
    </w:r>
    <w:r w:rsidRPr="00980471">
      <w:t>/</w:t>
    </w:r>
    <w:fldSimple w:instr=" NUMPAGES  \* MERGEFORMAT ">
      <w:r w:rsidRPr="00980471">
        <w:rPr>
          <w:noProof/>
        </w:rPr>
        <w:t>12</w:t>
      </w:r>
    </w:fldSimple>
    <w:r w:rsidRPr="00980471">
      <w:tab/>
    </w:r>
    <w:r w:rsidRPr="00980471">
      <w:rPr>
        <w:rStyle w:val="HideTWBExt"/>
      </w:rPr>
      <w:t>&lt;PathFdR&gt;</w:t>
    </w:r>
    <w:r w:rsidRPr="00980471">
      <w:t>RR\1298579LT.docx</w:t>
    </w:r>
    <w:r w:rsidRPr="00980471">
      <w:rPr>
        <w:rStyle w:val="HideTWBExt"/>
      </w:rPr>
      <w:t>&lt;/</w:t>
    </w:r>
    <w:proofErr w:type="spellStart"/>
    <w:r w:rsidRPr="00980471">
      <w:rPr>
        <w:rStyle w:val="HideTWBExt"/>
      </w:rPr>
      <w:t>PathFdR</w:t>
    </w:r>
    <w:proofErr w:type="spellEnd"/>
    <w:r w:rsidRPr="00980471">
      <w:rPr>
        <w:rStyle w:val="HideTWBExt"/>
      </w:rPr>
      <w:t>&gt;</w:t>
    </w:r>
  </w:p>
  <w:p w:rsidR="00BD7C92" w:rsidRPr="00980471" w:rsidRDefault="00BD7C92" w:rsidP="00847B0B">
    <w:pPr>
      <w:pStyle w:val="EPFooter2"/>
    </w:pPr>
    <w:r w:rsidRPr="00980471">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C92" w:rsidRPr="00980471" w:rsidRDefault="00BD7C92" w:rsidP="00847B0B">
    <w:pPr>
      <w:pStyle w:val="EPFooter"/>
    </w:pPr>
    <w:r w:rsidRPr="00980471">
      <w:rPr>
        <w:rStyle w:val="HideTWBExt"/>
      </w:rPr>
      <w:t>&lt;PathFdR&gt;</w:t>
    </w:r>
    <w:r w:rsidRPr="00980471">
      <w:t>RR\1298579LT.docx</w:t>
    </w:r>
    <w:r w:rsidRPr="00980471">
      <w:rPr>
        <w:rStyle w:val="HideTWBExt"/>
      </w:rPr>
      <w:t>&lt;/</w:t>
    </w:r>
    <w:proofErr w:type="spellStart"/>
    <w:r w:rsidRPr="00980471">
      <w:rPr>
        <w:rStyle w:val="HideTWBExt"/>
      </w:rPr>
      <w:t>PathFdR</w:t>
    </w:r>
    <w:proofErr w:type="spellEnd"/>
    <w:r w:rsidRPr="00980471">
      <w:rPr>
        <w:rStyle w:val="HideTWBExt"/>
      </w:rPr>
      <w:t>&gt;</w:t>
    </w:r>
    <w:r w:rsidRPr="00980471">
      <w:tab/>
    </w:r>
    <w:r w:rsidRPr="00980471">
      <w:tab/>
      <w:t>PE</w:t>
    </w:r>
    <w:r w:rsidRPr="00980471">
      <w:rPr>
        <w:rStyle w:val="HideTWBExt"/>
      </w:rPr>
      <w:t>&lt;</w:t>
    </w:r>
    <w:proofErr w:type="spellStart"/>
    <w:r w:rsidRPr="00980471">
      <w:rPr>
        <w:rStyle w:val="HideTWBExt"/>
      </w:rPr>
      <w:t>NoPE</w:t>
    </w:r>
    <w:proofErr w:type="spellEnd"/>
    <w:r w:rsidRPr="00980471">
      <w:rPr>
        <w:rStyle w:val="HideTWBExt"/>
      </w:rPr>
      <w:t>&gt;</w:t>
    </w:r>
    <w:r w:rsidRPr="00980471">
      <w:t>753.509</w:t>
    </w:r>
    <w:r w:rsidRPr="00980471">
      <w:rPr>
        <w:rStyle w:val="HideTWBExt"/>
      </w:rPr>
      <w:t>&lt;/</w:t>
    </w:r>
    <w:proofErr w:type="spellStart"/>
    <w:r w:rsidRPr="00980471">
      <w:rPr>
        <w:rStyle w:val="HideTWBExt"/>
      </w:rPr>
      <w:t>NoPE</w:t>
    </w:r>
    <w:proofErr w:type="spellEnd"/>
    <w:r w:rsidRPr="00980471">
      <w:rPr>
        <w:rStyle w:val="HideTWBExt"/>
      </w:rPr>
      <w:t>&gt;&lt;Version&gt;</w:t>
    </w:r>
    <w:r w:rsidRPr="00980471">
      <w:t>v02-00</w:t>
    </w:r>
    <w:r w:rsidRPr="00980471">
      <w:rPr>
        <w:rStyle w:val="HideTWBExt"/>
      </w:rPr>
      <w:t>&lt;/</w:t>
    </w:r>
    <w:proofErr w:type="spellStart"/>
    <w:r w:rsidRPr="00980471">
      <w:rPr>
        <w:rStyle w:val="HideTWBExt"/>
      </w:rPr>
      <w:t>Version</w:t>
    </w:r>
    <w:proofErr w:type="spellEnd"/>
    <w:r w:rsidRPr="00980471">
      <w:rPr>
        <w:rStyle w:val="HideTWBExt"/>
      </w:rPr>
      <w:t>&gt;</w:t>
    </w:r>
  </w:p>
  <w:p w:rsidR="00BD7C92" w:rsidRPr="00980471" w:rsidRDefault="00BD7C92" w:rsidP="00847B0B">
    <w:pPr>
      <w:pStyle w:val="EPFooter2"/>
    </w:pPr>
    <w:r w:rsidRPr="00980471">
      <w:t>LT</w:t>
    </w:r>
    <w:r w:rsidRPr="00980471">
      <w:tab/>
    </w:r>
    <w:r w:rsidRPr="00980471">
      <w:rPr>
        <w:b w:val="0"/>
        <w:i/>
        <w:color w:val="C0C0C0"/>
        <w:sz w:val="22"/>
      </w:rPr>
      <w:t>Suvienijusi įvairovę</w:t>
    </w:r>
    <w:r w:rsidRPr="00980471">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047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047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04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D55" w:rsidRPr="00980471" w:rsidRDefault="00042D55">
      <w:r w:rsidRPr="00980471">
        <w:separator/>
      </w:r>
    </w:p>
  </w:footnote>
  <w:footnote w:type="continuationSeparator" w:id="0">
    <w:p w:rsidR="00042D55" w:rsidRPr="00980471" w:rsidRDefault="00042D55">
      <w:r w:rsidRPr="00980471">
        <w:continuationSeparator/>
      </w:r>
    </w:p>
  </w:footnote>
  <w:footnote w:id="1">
    <w:p w:rsidR="00BD7C92" w:rsidRPr="00980471" w:rsidRDefault="00BD7C92" w:rsidP="00980471">
      <w:pPr>
        <w:pStyle w:val="FootnoteText"/>
        <w:ind w:left="567" w:hanging="567"/>
        <w:rPr>
          <w:sz w:val="24"/>
          <w:lang w:val="lt-LT"/>
        </w:rPr>
      </w:pPr>
      <w:r w:rsidRPr="00980471">
        <w:rPr>
          <w:rStyle w:val="FootnoteReference"/>
          <w:sz w:val="24"/>
          <w:lang w:val="lt-LT"/>
        </w:rPr>
        <w:footnoteRef/>
      </w:r>
      <w:r w:rsidR="00980471" w:rsidRPr="00980471">
        <w:rPr>
          <w:sz w:val="24"/>
          <w:lang w:val="lt-LT"/>
        </w:rPr>
        <w:t xml:space="preserve"> </w:t>
      </w:r>
      <w:r w:rsidR="00980471" w:rsidRPr="00980471">
        <w:rPr>
          <w:sz w:val="24"/>
          <w:lang w:val="lt-LT"/>
        </w:rPr>
        <w:tab/>
      </w:r>
      <w:r w:rsidRPr="00980471">
        <w:rPr>
          <w:sz w:val="24"/>
          <w:lang w:val="lt-LT"/>
        </w:rPr>
        <w:t>OL C, C/2023/594, 2023 10 27.</w:t>
      </w:r>
    </w:p>
  </w:footnote>
  <w:footnote w:id="2">
    <w:p w:rsidR="00BD7C92" w:rsidRPr="00980471" w:rsidRDefault="00BD7C92" w:rsidP="00980471">
      <w:pPr>
        <w:pStyle w:val="FootnoteText"/>
        <w:ind w:left="567" w:hanging="567"/>
        <w:rPr>
          <w:sz w:val="24"/>
          <w:lang w:val="lt-LT"/>
        </w:rPr>
      </w:pPr>
      <w:r w:rsidRPr="00980471">
        <w:rPr>
          <w:rStyle w:val="FootnoteReference"/>
          <w:sz w:val="24"/>
          <w:lang w:val="lt-LT"/>
        </w:rPr>
        <w:footnoteRef/>
      </w:r>
      <w:r w:rsidR="00980471" w:rsidRPr="00980471">
        <w:rPr>
          <w:sz w:val="24"/>
          <w:lang w:val="lt-LT"/>
        </w:rPr>
        <w:t xml:space="preserve"> </w:t>
      </w:r>
      <w:r w:rsidR="00980471" w:rsidRPr="00980471">
        <w:rPr>
          <w:sz w:val="24"/>
          <w:lang w:val="lt-LT"/>
        </w:rPr>
        <w:tab/>
      </w:r>
      <w:r w:rsidRPr="00980471">
        <w:rPr>
          <w:sz w:val="24"/>
          <w:lang w:val="lt-LT"/>
        </w:rPr>
        <w:t>OL C, C/2023/112, 2023 10 12.</w:t>
      </w:r>
    </w:p>
  </w:footnote>
  <w:footnote w:id="3">
    <w:p w:rsidR="00BD7C92" w:rsidRPr="00980471" w:rsidRDefault="00BD7C92" w:rsidP="00980471">
      <w:pPr>
        <w:pStyle w:val="FootnoteText"/>
        <w:ind w:left="567" w:hanging="567"/>
        <w:rPr>
          <w:sz w:val="24"/>
          <w:lang w:val="lt-LT"/>
        </w:rPr>
      </w:pPr>
      <w:r w:rsidRPr="00980471">
        <w:rPr>
          <w:rStyle w:val="FootnoteReference"/>
          <w:sz w:val="24"/>
          <w:lang w:val="lt-LT"/>
        </w:rPr>
        <w:footnoteRef/>
      </w:r>
      <w:r w:rsidR="00980471" w:rsidRPr="00980471">
        <w:rPr>
          <w:sz w:val="24"/>
          <w:lang w:val="lt-LT"/>
        </w:rPr>
        <w:t xml:space="preserve"> </w:t>
      </w:r>
      <w:r w:rsidR="00980471" w:rsidRPr="00980471">
        <w:rPr>
          <w:sz w:val="24"/>
          <w:lang w:val="lt-LT"/>
        </w:rPr>
        <w:tab/>
      </w:r>
      <w:r w:rsidRPr="00980471">
        <w:rPr>
          <w:sz w:val="24"/>
          <w:lang w:val="lt-LT"/>
        </w:rPr>
        <w:t>OL L 193, 2018 7 30, p. 1.</w:t>
      </w:r>
    </w:p>
  </w:footnote>
  <w:footnote w:id="4">
    <w:p w:rsidR="00BD7C92" w:rsidRPr="00980471" w:rsidRDefault="00BD7C92" w:rsidP="00980471">
      <w:pPr>
        <w:pStyle w:val="FootnoteText"/>
        <w:ind w:left="567" w:hanging="567"/>
        <w:rPr>
          <w:sz w:val="24"/>
          <w:lang w:val="lt-LT"/>
        </w:rPr>
      </w:pPr>
      <w:r w:rsidRPr="00980471">
        <w:rPr>
          <w:rStyle w:val="FootnoteReference"/>
          <w:sz w:val="24"/>
          <w:lang w:val="lt-LT"/>
        </w:rPr>
        <w:footnoteRef/>
      </w:r>
      <w:r w:rsidR="00980471" w:rsidRPr="00980471">
        <w:rPr>
          <w:sz w:val="24"/>
          <w:lang w:val="lt-LT"/>
        </w:rPr>
        <w:t xml:space="preserve"> </w:t>
      </w:r>
      <w:r w:rsidR="00980471" w:rsidRPr="00980471">
        <w:rPr>
          <w:sz w:val="24"/>
          <w:lang w:val="lt-LT"/>
        </w:rPr>
        <w:tab/>
      </w:r>
      <w:r w:rsidRPr="00980471">
        <w:rPr>
          <w:sz w:val="24"/>
          <w:lang w:val="lt-LT"/>
        </w:rPr>
        <w:t>OL L 30, 2019 1 31, p. 90.</w:t>
      </w:r>
    </w:p>
  </w:footnote>
  <w:footnote w:id="5">
    <w:p w:rsidR="00BD7C92" w:rsidRPr="00980471" w:rsidRDefault="00BD7C92" w:rsidP="00980471">
      <w:pPr>
        <w:pStyle w:val="FootnoteText"/>
        <w:ind w:left="567" w:hanging="567"/>
        <w:rPr>
          <w:sz w:val="24"/>
          <w:lang w:val="lt-LT"/>
        </w:rPr>
      </w:pPr>
      <w:r w:rsidRPr="00980471">
        <w:rPr>
          <w:rStyle w:val="FootnoteReference"/>
          <w:sz w:val="24"/>
          <w:lang w:val="lt-LT"/>
        </w:rPr>
        <w:footnoteRef/>
      </w:r>
      <w:r w:rsidR="00980471" w:rsidRPr="00980471">
        <w:rPr>
          <w:sz w:val="24"/>
          <w:lang w:val="lt-LT"/>
        </w:rPr>
        <w:t xml:space="preserve"> </w:t>
      </w:r>
      <w:r w:rsidR="00980471" w:rsidRPr="00980471">
        <w:rPr>
          <w:sz w:val="24"/>
          <w:lang w:val="lt-LT"/>
        </w:rPr>
        <w:tab/>
      </w:r>
      <w:r w:rsidRPr="00980471">
        <w:rPr>
          <w:sz w:val="24"/>
          <w:lang w:val="lt-LT"/>
        </w:rPr>
        <w:t>OL L 122, 2019 5 10, p. 1.</w:t>
      </w:r>
    </w:p>
  </w:footnote>
  <w:footnote w:id="6">
    <w:p w:rsidR="00BD7C92" w:rsidRPr="00980471" w:rsidRDefault="00BD7C92" w:rsidP="00980471">
      <w:pPr>
        <w:pStyle w:val="FootnoteText"/>
        <w:ind w:left="567" w:hanging="567"/>
        <w:rPr>
          <w:sz w:val="24"/>
          <w:lang w:val="lt-LT"/>
        </w:rPr>
      </w:pPr>
      <w:r w:rsidRPr="00980471">
        <w:rPr>
          <w:rStyle w:val="FootnoteReference"/>
          <w:sz w:val="24"/>
          <w:lang w:val="lt-LT"/>
        </w:rPr>
        <w:footnoteRef/>
      </w:r>
      <w:r w:rsidR="00980471" w:rsidRPr="00980471">
        <w:rPr>
          <w:sz w:val="24"/>
          <w:lang w:val="lt-LT"/>
        </w:rPr>
        <w:t xml:space="preserve"> </w:t>
      </w:r>
      <w:r w:rsidR="00980471" w:rsidRPr="00980471">
        <w:rPr>
          <w:sz w:val="24"/>
          <w:lang w:val="lt-LT"/>
        </w:rPr>
        <w:tab/>
      </w:r>
      <w:r w:rsidRPr="00980471">
        <w:rPr>
          <w:sz w:val="24"/>
          <w:lang w:val="lt-LT"/>
        </w:rPr>
        <w:t>OL C, C/2023/594, 2023 10 27.</w:t>
      </w:r>
    </w:p>
  </w:footnote>
  <w:footnote w:id="7">
    <w:p w:rsidR="00BD7C92" w:rsidRPr="00980471" w:rsidRDefault="00BD7C92" w:rsidP="00980471">
      <w:pPr>
        <w:pStyle w:val="FootnoteText"/>
        <w:ind w:left="567" w:hanging="567"/>
        <w:rPr>
          <w:sz w:val="24"/>
          <w:lang w:val="lt-LT"/>
        </w:rPr>
      </w:pPr>
      <w:r w:rsidRPr="00980471">
        <w:rPr>
          <w:rStyle w:val="FootnoteReference"/>
          <w:sz w:val="24"/>
          <w:lang w:val="lt-LT"/>
        </w:rPr>
        <w:footnoteRef/>
      </w:r>
      <w:r w:rsidR="00980471" w:rsidRPr="00980471">
        <w:rPr>
          <w:sz w:val="24"/>
          <w:lang w:val="lt-LT"/>
        </w:rPr>
        <w:t xml:space="preserve"> </w:t>
      </w:r>
      <w:r w:rsidR="00980471" w:rsidRPr="00980471">
        <w:rPr>
          <w:sz w:val="24"/>
          <w:lang w:val="lt-LT"/>
        </w:rPr>
        <w:tab/>
      </w:r>
      <w:r w:rsidRPr="00980471">
        <w:rPr>
          <w:sz w:val="24"/>
          <w:lang w:val="lt-LT"/>
        </w:rPr>
        <w:t>OL C, C/2023/112, 2023 10 12.</w:t>
      </w:r>
    </w:p>
  </w:footnote>
  <w:footnote w:id="8">
    <w:p w:rsidR="00BD7C92" w:rsidRPr="00980471" w:rsidRDefault="00BD7C92" w:rsidP="00980471">
      <w:pPr>
        <w:pStyle w:val="FootnoteText"/>
        <w:ind w:left="567" w:hanging="567"/>
        <w:rPr>
          <w:sz w:val="24"/>
          <w:lang w:val="lt-LT"/>
        </w:rPr>
      </w:pPr>
      <w:r w:rsidRPr="00980471">
        <w:rPr>
          <w:rStyle w:val="FootnoteReference"/>
          <w:sz w:val="24"/>
          <w:lang w:val="lt-LT"/>
        </w:rPr>
        <w:footnoteRef/>
      </w:r>
      <w:r w:rsidR="00980471" w:rsidRPr="00980471">
        <w:rPr>
          <w:sz w:val="24"/>
          <w:lang w:val="lt-LT"/>
        </w:rPr>
        <w:t xml:space="preserve"> </w:t>
      </w:r>
      <w:r w:rsidR="00980471" w:rsidRPr="00980471">
        <w:rPr>
          <w:sz w:val="24"/>
          <w:lang w:val="lt-LT"/>
        </w:rPr>
        <w:tab/>
      </w:r>
      <w:r w:rsidRPr="00980471">
        <w:rPr>
          <w:sz w:val="24"/>
          <w:lang w:val="lt-LT"/>
        </w:rPr>
        <w:t>OL L 193, 2018 7 30, p. 1.</w:t>
      </w:r>
    </w:p>
  </w:footnote>
  <w:footnote w:id="9">
    <w:p w:rsidR="00BD7C92" w:rsidRPr="00980471" w:rsidRDefault="00BD7C92" w:rsidP="00980471">
      <w:pPr>
        <w:pStyle w:val="FootnoteText"/>
        <w:ind w:left="567" w:hanging="567"/>
        <w:rPr>
          <w:sz w:val="24"/>
          <w:lang w:val="lt-LT"/>
        </w:rPr>
      </w:pPr>
      <w:r w:rsidRPr="00980471">
        <w:rPr>
          <w:rStyle w:val="FootnoteReference"/>
          <w:sz w:val="24"/>
          <w:lang w:val="lt-LT"/>
        </w:rPr>
        <w:footnoteRef/>
      </w:r>
      <w:r w:rsidR="00980471" w:rsidRPr="00980471">
        <w:rPr>
          <w:sz w:val="24"/>
          <w:lang w:val="lt-LT"/>
        </w:rPr>
        <w:t xml:space="preserve"> </w:t>
      </w:r>
      <w:r w:rsidR="00980471" w:rsidRPr="00980471">
        <w:rPr>
          <w:sz w:val="24"/>
          <w:lang w:val="lt-LT"/>
        </w:rPr>
        <w:tab/>
      </w:r>
      <w:r w:rsidRPr="00980471">
        <w:rPr>
          <w:sz w:val="24"/>
          <w:lang w:val="lt-LT"/>
        </w:rPr>
        <w:t>OL L 30, 2019 1 31, p. 90.</w:t>
      </w:r>
    </w:p>
  </w:footnote>
  <w:footnote w:id="10">
    <w:p w:rsidR="00BD7C92" w:rsidRPr="00980471" w:rsidRDefault="00BD7C92" w:rsidP="00980471">
      <w:pPr>
        <w:pStyle w:val="FootnoteText"/>
        <w:ind w:left="567" w:hanging="567"/>
        <w:rPr>
          <w:sz w:val="24"/>
          <w:lang w:val="lt-LT"/>
        </w:rPr>
      </w:pPr>
      <w:r w:rsidRPr="00980471">
        <w:rPr>
          <w:rStyle w:val="FootnoteReference"/>
          <w:sz w:val="24"/>
          <w:lang w:val="lt-LT"/>
        </w:rPr>
        <w:footnoteRef/>
      </w:r>
      <w:r w:rsidR="00980471" w:rsidRPr="00980471">
        <w:rPr>
          <w:sz w:val="24"/>
          <w:lang w:val="lt-LT"/>
        </w:rPr>
        <w:t xml:space="preserve"> </w:t>
      </w:r>
      <w:r w:rsidR="00980471" w:rsidRPr="00980471">
        <w:rPr>
          <w:sz w:val="24"/>
          <w:lang w:val="lt-LT"/>
        </w:rPr>
        <w:tab/>
      </w:r>
      <w:r w:rsidRPr="00980471">
        <w:rPr>
          <w:sz w:val="24"/>
          <w:lang w:val="lt-LT"/>
        </w:rPr>
        <w:t>OL L 122, 2019 5 10, p. 1.</w:t>
      </w:r>
    </w:p>
  </w:footnote>
  <w:footnote w:id="11">
    <w:p w:rsidR="00BD7C92" w:rsidRPr="00980471" w:rsidRDefault="00BD7C92" w:rsidP="00980471">
      <w:pPr>
        <w:pStyle w:val="FootnoteText"/>
        <w:ind w:left="567" w:hanging="567"/>
        <w:rPr>
          <w:sz w:val="24"/>
          <w:lang w:val="lt-LT"/>
        </w:rPr>
      </w:pPr>
      <w:r w:rsidRPr="00980471">
        <w:rPr>
          <w:rStyle w:val="FootnoteReference"/>
          <w:sz w:val="24"/>
          <w:lang w:val="lt-LT"/>
        </w:rPr>
        <w:footnoteRef/>
      </w:r>
      <w:r w:rsidR="00980471" w:rsidRPr="00980471">
        <w:rPr>
          <w:sz w:val="24"/>
          <w:lang w:val="lt-LT"/>
        </w:rPr>
        <w:t xml:space="preserve"> </w:t>
      </w:r>
      <w:r w:rsidR="00980471" w:rsidRPr="00980471">
        <w:rPr>
          <w:sz w:val="24"/>
          <w:lang w:val="lt-LT"/>
        </w:rPr>
        <w:tab/>
      </w:r>
      <w:r w:rsidRPr="00980471">
        <w:rPr>
          <w:sz w:val="24"/>
          <w:lang w:val="lt-LT"/>
        </w:rPr>
        <w:t>OL C 73, 2023 2 28, p. 4.</w:t>
      </w:r>
    </w:p>
  </w:footnote>
  <w:footnote w:id="12">
    <w:p w:rsidR="00BD7C92" w:rsidRPr="00980471" w:rsidRDefault="00BD7C92" w:rsidP="00980471">
      <w:pPr>
        <w:pStyle w:val="FootnoteText"/>
        <w:ind w:left="567" w:hanging="567"/>
        <w:rPr>
          <w:sz w:val="24"/>
          <w:lang w:val="lt-LT"/>
        </w:rPr>
      </w:pPr>
      <w:r w:rsidRPr="00980471">
        <w:rPr>
          <w:rStyle w:val="FootnoteReference"/>
          <w:sz w:val="24"/>
          <w:lang w:val="lt-LT"/>
        </w:rPr>
        <w:footnoteRef/>
      </w:r>
      <w:r w:rsidR="00980471" w:rsidRPr="00980471">
        <w:rPr>
          <w:sz w:val="24"/>
          <w:lang w:val="lt-LT"/>
        </w:rPr>
        <w:t xml:space="preserve"> </w:t>
      </w:r>
      <w:r w:rsidR="00980471" w:rsidRPr="00980471">
        <w:rPr>
          <w:sz w:val="24"/>
          <w:lang w:val="lt-LT"/>
        </w:rPr>
        <w:tab/>
      </w:r>
      <w:r w:rsidRPr="00980471">
        <w:rPr>
          <w:sz w:val="24"/>
          <w:lang w:val="lt-LT"/>
        </w:rPr>
        <w:t>Priimti tekstai, P9_TA(2024)0</w:t>
      </w:r>
      <w:r w:rsidR="004A48FE">
        <w:rPr>
          <w:sz w:val="24"/>
          <w:lang w:val="lt-LT"/>
        </w:rPr>
        <w:t>280</w:t>
      </w:r>
      <w:r w:rsidRPr="00980471">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047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047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804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0/2024"/>
    <w:docVar w:name="dvlangue" w:val="LT"/>
    <w:docVar w:name="dvnumam" w:val="0"/>
    <w:docVar w:name="dvpe" w:val="753.509"/>
    <w:docVar w:name="dvrapporteur" w:val="Pranešėjas: "/>
    <w:docVar w:name="dvtitre" w:val="Europos Parlamento sprendimas dėl Europos profesinio mokymo plėtros centro (CEDEFOP) 2022 finansinių metų biudžeto įvykdymo patvirtinimo(2023/2143(DEC))"/>
  </w:docVars>
  <w:rsids>
    <w:rsidRoot w:val="00042D55"/>
    <w:rsid w:val="00002272"/>
    <w:rsid w:val="00042D55"/>
    <w:rsid w:val="00064002"/>
    <w:rsid w:val="000677B9"/>
    <w:rsid w:val="000831BA"/>
    <w:rsid w:val="000A42CC"/>
    <w:rsid w:val="000E7DD9"/>
    <w:rsid w:val="0010095E"/>
    <w:rsid w:val="00125B37"/>
    <w:rsid w:val="00187494"/>
    <w:rsid w:val="001F32AE"/>
    <w:rsid w:val="002767FF"/>
    <w:rsid w:val="002B18FE"/>
    <w:rsid w:val="002B19E6"/>
    <w:rsid w:val="002B5493"/>
    <w:rsid w:val="00343214"/>
    <w:rsid w:val="00361C00"/>
    <w:rsid w:val="00395FA1"/>
    <w:rsid w:val="003E15D4"/>
    <w:rsid w:val="00411CCE"/>
    <w:rsid w:val="0041666E"/>
    <w:rsid w:val="00421060"/>
    <w:rsid w:val="00471C19"/>
    <w:rsid w:val="004846ED"/>
    <w:rsid w:val="004867E3"/>
    <w:rsid w:val="00494A28"/>
    <w:rsid w:val="004A48FE"/>
    <w:rsid w:val="004C0004"/>
    <w:rsid w:val="004C5D52"/>
    <w:rsid w:val="0050519A"/>
    <w:rsid w:val="005072A1"/>
    <w:rsid w:val="00514517"/>
    <w:rsid w:val="00545827"/>
    <w:rsid w:val="00560270"/>
    <w:rsid w:val="00572ECF"/>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5E61"/>
    <w:rsid w:val="00842779"/>
    <w:rsid w:val="00865F67"/>
    <w:rsid w:val="00881A7B"/>
    <w:rsid w:val="008840E5"/>
    <w:rsid w:val="00887B3E"/>
    <w:rsid w:val="008C2AC6"/>
    <w:rsid w:val="00930C23"/>
    <w:rsid w:val="0093193B"/>
    <w:rsid w:val="009509D8"/>
    <w:rsid w:val="00950B64"/>
    <w:rsid w:val="00980471"/>
    <w:rsid w:val="00981893"/>
    <w:rsid w:val="00A02C93"/>
    <w:rsid w:val="00A1687D"/>
    <w:rsid w:val="00A43E52"/>
    <w:rsid w:val="00A4678D"/>
    <w:rsid w:val="00A778C7"/>
    <w:rsid w:val="00AB441E"/>
    <w:rsid w:val="00AB6293"/>
    <w:rsid w:val="00AE0928"/>
    <w:rsid w:val="00AF3B82"/>
    <w:rsid w:val="00B12E95"/>
    <w:rsid w:val="00B22876"/>
    <w:rsid w:val="00B558F0"/>
    <w:rsid w:val="00BD48FE"/>
    <w:rsid w:val="00BD7BD8"/>
    <w:rsid w:val="00BD7C92"/>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4DF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B6956"/>
  <w15:chartTrackingRefBased/>
  <w15:docId w15:val="{F56A9343-D4B3-45A6-A18C-CB77FF9D9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D7C9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D7C92"/>
    <w:pPr>
      <w:spacing w:before="480" w:after="240"/>
    </w:pPr>
  </w:style>
  <w:style w:type="paragraph" w:customStyle="1" w:styleId="PageHeading">
    <w:name w:val="PageHeading"/>
    <w:basedOn w:val="Normal"/>
    <w:rsid w:val="00BD7C92"/>
    <w:pPr>
      <w:keepNext/>
      <w:spacing w:after="480"/>
      <w:jc w:val="center"/>
    </w:pPr>
    <w:rPr>
      <w:rFonts w:ascii="Arial" w:hAnsi="Arial" w:cs="Arial"/>
      <w:b/>
    </w:rPr>
  </w:style>
  <w:style w:type="paragraph" w:customStyle="1" w:styleId="NormalBold">
    <w:name w:val="NormalBold"/>
    <w:basedOn w:val="Normal"/>
    <w:rsid w:val="00BD7C92"/>
    <w:rPr>
      <w:b/>
    </w:rPr>
  </w:style>
  <w:style w:type="paragraph" w:customStyle="1" w:styleId="NormalHanging12a">
    <w:name w:val="NormalHanging12a"/>
    <w:basedOn w:val="Normal"/>
    <w:link w:val="NormalHanging12aChar"/>
    <w:rsid w:val="00BD7C92"/>
    <w:pPr>
      <w:spacing w:after="240"/>
      <w:ind w:left="567" w:hanging="567"/>
    </w:pPr>
  </w:style>
  <w:style w:type="paragraph" w:customStyle="1" w:styleId="NormalCenter12a">
    <w:name w:val="NormalCenter12a"/>
    <w:basedOn w:val="Normal"/>
    <w:rsid w:val="00BD7C92"/>
    <w:pPr>
      <w:spacing w:after="240"/>
      <w:jc w:val="center"/>
    </w:pPr>
  </w:style>
  <w:style w:type="paragraph" w:styleId="Header">
    <w:name w:val="header"/>
    <w:basedOn w:val="Normal"/>
    <w:link w:val="HeaderChar"/>
    <w:rsid w:val="00BD7C92"/>
    <w:pPr>
      <w:tabs>
        <w:tab w:val="center" w:pos="4513"/>
        <w:tab w:val="right" w:pos="9026"/>
      </w:tabs>
    </w:pPr>
  </w:style>
  <w:style w:type="character" w:customStyle="1" w:styleId="HeaderChar">
    <w:name w:val="Header Char"/>
    <w:basedOn w:val="DefaultParagraphFont"/>
    <w:link w:val="Header"/>
    <w:rsid w:val="00BD7C92"/>
    <w:rPr>
      <w:sz w:val="24"/>
      <w:lang w:val="lt-LT"/>
    </w:rPr>
  </w:style>
  <w:style w:type="paragraph" w:customStyle="1" w:styleId="EPFooter">
    <w:name w:val="EPFooter"/>
    <w:basedOn w:val="Normal"/>
    <w:rsid w:val="00BD7C92"/>
    <w:pPr>
      <w:tabs>
        <w:tab w:val="center" w:pos="4535"/>
        <w:tab w:val="right" w:pos="9071"/>
      </w:tabs>
      <w:spacing w:before="240" w:after="240"/>
    </w:pPr>
    <w:rPr>
      <w:color w:val="010000"/>
      <w:sz w:val="22"/>
    </w:rPr>
  </w:style>
  <w:style w:type="character" w:customStyle="1" w:styleId="Normal12HangingChar">
    <w:name w:val="Normal12Hanging Char"/>
    <w:link w:val="Normal12Hanging"/>
    <w:locked/>
    <w:rsid w:val="00BD7C92"/>
    <w:rPr>
      <w:sz w:val="24"/>
    </w:rPr>
  </w:style>
  <w:style w:type="paragraph" w:customStyle="1" w:styleId="Normal12Hanging">
    <w:name w:val="Normal12Hanging"/>
    <w:basedOn w:val="Normal"/>
    <w:link w:val="Normal12HangingChar"/>
    <w:rsid w:val="00BD7C92"/>
    <w:pPr>
      <w:spacing w:after="240"/>
      <w:ind w:left="567" w:hanging="567"/>
    </w:pPr>
    <w:rPr>
      <w:lang w:val="en-GB"/>
    </w:rPr>
  </w:style>
  <w:style w:type="character" w:customStyle="1" w:styleId="NormalHanging12aChar">
    <w:name w:val="NormalHanging12a Char"/>
    <w:basedOn w:val="DefaultParagraphFont"/>
    <w:link w:val="NormalHanging12a"/>
    <w:locked/>
    <w:rsid w:val="00BD7C92"/>
    <w:rPr>
      <w:sz w:val="24"/>
      <w:lang w:val="lt-LT"/>
    </w:rPr>
  </w:style>
  <w:style w:type="paragraph" w:customStyle="1" w:styleId="Normal24a">
    <w:name w:val="Normal24a"/>
    <w:basedOn w:val="Normal"/>
    <w:rsid w:val="00BD7C92"/>
    <w:pPr>
      <w:spacing w:after="480"/>
    </w:pPr>
  </w:style>
  <w:style w:type="paragraph" w:customStyle="1" w:styleId="Normal12a">
    <w:name w:val="Normal12a"/>
    <w:basedOn w:val="Normal"/>
    <w:rsid w:val="00BD7C92"/>
    <w:pPr>
      <w:spacing w:after="240"/>
    </w:pPr>
  </w:style>
  <w:style w:type="paragraph" w:customStyle="1" w:styleId="PageHeadingNotTOC">
    <w:name w:val="PageHeadingNotTOC"/>
    <w:basedOn w:val="Normal"/>
    <w:rsid w:val="00BD7C92"/>
    <w:pPr>
      <w:keepNext/>
      <w:spacing w:after="480"/>
      <w:jc w:val="center"/>
    </w:pPr>
    <w:rPr>
      <w:rFonts w:ascii="Arial" w:hAnsi="Arial" w:cs="Arial"/>
      <w:b/>
    </w:rPr>
  </w:style>
  <w:style w:type="paragraph" w:styleId="Footer">
    <w:name w:val="footer"/>
    <w:basedOn w:val="Normal"/>
    <w:link w:val="FooterChar"/>
    <w:rsid w:val="00825E61"/>
    <w:pPr>
      <w:tabs>
        <w:tab w:val="center" w:pos="4513"/>
        <w:tab w:val="right" w:pos="9026"/>
      </w:tabs>
    </w:pPr>
  </w:style>
  <w:style w:type="character" w:customStyle="1" w:styleId="FooterChar">
    <w:name w:val="Footer Char"/>
    <w:basedOn w:val="DefaultParagraphFont"/>
    <w:link w:val="Footer"/>
    <w:rsid w:val="00825E61"/>
    <w:rPr>
      <w:sz w:val="24"/>
      <w:lang w:val="lt-LT"/>
    </w:rPr>
  </w:style>
  <w:style w:type="paragraph" w:styleId="BalloonText">
    <w:name w:val="Balloon Text"/>
    <w:basedOn w:val="Normal"/>
    <w:link w:val="BalloonTextChar"/>
    <w:rsid w:val="00825E61"/>
    <w:rPr>
      <w:rFonts w:ascii="Segoe UI" w:hAnsi="Segoe UI" w:cs="Segoe UI"/>
      <w:sz w:val="18"/>
      <w:szCs w:val="18"/>
    </w:rPr>
  </w:style>
  <w:style w:type="character" w:customStyle="1" w:styleId="BalloonTextChar">
    <w:name w:val="Balloon Text Char"/>
    <w:basedOn w:val="DefaultParagraphFont"/>
    <w:link w:val="BalloonText"/>
    <w:rsid w:val="00825E61"/>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8A632-2C3D-46D8-A059-72BB99784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3560</Words>
  <Characters>23666</Characters>
  <Application>Microsoft Office Word</Application>
  <DocSecurity>0</DocSecurity>
  <Lines>197</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6</cp:revision>
  <cp:lastPrinted>2004-11-19T15:42:00Z</cp:lastPrinted>
  <dcterms:created xsi:type="dcterms:W3CDTF">2024-04-03T15:59:00Z</dcterms:created>
  <dcterms:modified xsi:type="dcterms:W3CDTF">2024-04-11T12:19:00Z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A9-0080/2024</vt:lpwstr>
  </property>
  <property fmtid="{D5CDD505-2E9C-101B-9397-08002B2CF9AE}" pid="4" name="&lt;Type&gt;">
    <vt:lpwstr>RR</vt:lpwstr>
  </property>
</Properties>
</file>