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89A" w:rsidTr="0010095E">
        <w:trPr>
          <w:trHeight w:hRule="exact" w:val="1418"/>
        </w:trPr>
        <w:tc>
          <w:tcPr>
            <w:tcW w:w="6804" w:type="dxa"/>
            <w:shd w:val="clear" w:color="auto" w:fill="auto"/>
            <w:vAlign w:val="center"/>
          </w:tcPr>
          <w:p w:rsidR="00751A4A" w:rsidRPr="0013189A" w:rsidRDefault="00320765" w:rsidP="0010095E">
            <w:pPr>
              <w:pStyle w:val="EPName"/>
            </w:pPr>
            <w:r w:rsidRPr="0013189A">
              <w:t>Parlamentul European</w:t>
            </w:r>
          </w:p>
          <w:p w:rsidR="00751A4A" w:rsidRPr="0013189A" w:rsidRDefault="00817416" w:rsidP="00756632">
            <w:pPr>
              <w:pStyle w:val="EPTerm"/>
              <w:rPr>
                <w:rStyle w:val="HideTWBExt"/>
                <w:noProof w:val="0"/>
                <w:vanish w:val="0"/>
                <w:color w:val="auto"/>
              </w:rPr>
            </w:pPr>
            <w:r w:rsidRPr="0013189A">
              <w:t>2019-2024</w:t>
            </w:r>
          </w:p>
        </w:tc>
        <w:tc>
          <w:tcPr>
            <w:tcW w:w="2268" w:type="dxa"/>
            <w:shd w:val="clear" w:color="auto" w:fill="auto"/>
          </w:tcPr>
          <w:p w:rsidR="00751A4A" w:rsidRPr="0013189A" w:rsidRDefault="00187494" w:rsidP="0010095E">
            <w:pPr>
              <w:pStyle w:val="EPLogo"/>
            </w:pPr>
            <w:r w:rsidRPr="001318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189A" w:rsidRDefault="00D058B8" w:rsidP="004C5D52">
      <w:pPr>
        <w:pStyle w:val="LineTop"/>
      </w:pPr>
    </w:p>
    <w:p w:rsidR="00680577" w:rsidRPr="0013189A" w:rsidRDefault="00320765" w:rsidP="00680577">
      <w:pPr>
        <w:pStyle w:val="EPBodyTA1"/>
      </w:pPr>
      <w:r w:rsidRPr="0013189A">
        <w:t>TEXTE ADOPTATE</w:t>
      </w:r>
    </w:p>
    <w:p w:rsidR="00D058B8" w:rsidRPr="0013189A" w:rsidRDefault="00D058B8" w:rsidP="00D058B8">
      <w:pPr>
        <w:pStyle w:val="LineBottom"/>
      </w:pPr>
    </w:p>
    <w:p w:rsidR="00320765" w:rsidRPr="0013189A" w:rsidRDefault="00320765" w:rsidP="00320765">
      <w:pPr>
        <w:pStyle w:val="ATHeading1"/>
      </w:pPr>
      <w:bookmarkStart w:id="0" w:name="TANumber"/>
      <w:r w:rsidRPr="0013189A">
        <w:t>P9_TA(2024)0</w:t>
      </w:r>
      <w:bookmarkEnd w:id="0"/>
      <w:r w:rsidR="00724023">
        <w:t>238</w:t>
      </w:r>
      <w:bookmarkStart w:id="1" w:name="_GoBack"/>
      <w:bookmarkEnd w:id="1"/>
    </w:p>
    <w:p w:rsidR="00320765" w:rsidRPr="0013189A" w:rsidRDefault="00320765" w:rsidP="00320765">
      <w:pPr>
        <w:pStyle w:val="ATHeading2"/>
      </w:pPr>
      <w:bookmarkStart w:id="2" w:name="title"/>
      <w:r w:rsidRPr="0013189A">
        <w:t>Descărcarea de gestiune 2022: Centrul European pentru Dezvoltarea Formării Profesionale (</w:t>
      </w:r>
      <w:proofErr w:type="spellStart"/>
      <w:r w:rsidRPr="0013189A">
        <w:t>Cedefop</w:t>
      </w:r>
      <w:proofErr w:type="spellEnd"/>
      <w:r w:rsidRPr="0013189A">
        <w:t>)</w:t>
      </w:r>
      <w:bookmarkEnd w:id="2"/>
    </w:p>
    <w:p w:rsidR="00320765" w:rsidRPr="0013189A" w:rsidRDefault="00320765" w:rsidP="00320765">
      <w:pPr>
        <w:rPr>
          <w:i/>
          <w:vanish/>
        </w:rPr>
      </w:pPr>
      <w:r w:rsidRPr="0013189A">
        <w:rPr>
          <w:i/>
        </w:rPr>
        <w:fldChar w:fldCharType="begin"/>
      </w:r>
      <w:r w:rsidRPr="0013189A">
        <w:rPr>
          <w:i/>
        </w:rPr>
        <w:instrText xml:space="preserve"> TC"(</w:instrText>
      </w:r>
      <w:bookmarkStart w:id="3" w:name="DocNumber"/>
      <w:r w:rsidRPr="0013189A">
        <w:rPr>
          <w:i/>
        </w:rPr>
        <w:instrText>A9-0080/2024</w:instrText>
      </w:r>
      <w:bookmarkEnd w:id="3"/>
      <w:r w:rsidRPr="0013189A">
        <w:rPr>
          <w:i/>
        </w:rPr>
        <w:instrText xml:space="preserve"> - Raportor: Petri </w:instrText>
      </w:r>
      <w:proofErr w:type="spellStart"/>
      <w:r w:rsidRPr="0013189A">
        <w:rPr>
          <w:i/>
        </w:rPr>
        <w:instrText>Sarvamaa</w:instrText>
      </w:r>
      <w:proofErr w:type="spellEnd"/>
      <w:r w:rsidRPr="0013189A">
        <w:rPr>
          <w:i/>
        </w:rPr>
        <w:instrText xml:space="preserve">)"\l3 \n&gt; \* MERGEFORMAT </w:instrText>
      </w:r>
      <w:r w:rsidRPr="0013189A">
        <w:rPr>
          <w:i/>
        </w:rPr>
        <w:fldChar w:fldCharType="end"/>
      </w:r>
    </w:p>
    <w:p w:rsidR="00320765" w:rsidRPr="0013189A" w:rsidRDefault="00320765" w:rsidP="00320765">
      <w:pPr>
        <w:rPr>
          <w:vanish/>
        </w:rPr>
      </w:pPr>
      <w:bookmarkStart w:id="4" w:name="Commission"/>
      <w:r w:rsidRPr="0013189A">
        <w:rPr>
          <w:vanish/>
        </w:rPr>
        <w:t>Comisia pentru control bugetar</w:t>
      </w:r>
      <w:bookmarkEnd w:id="4"/>
    </w:p>
    <w:p w:rsidR="00320765" w:rsidRPr="0013189A" w:rsidRDefault="00320765" w:rsidP="00320765">
      <w:pPr>
        <w:rPr>
          <w:vanish/>
        </w:rPr>
      </w:pPr>
      <w:bookmarkStart w:id="5" w:name="PE"/>
      <w:r w:rsidRPr="0013189A">
        <w:rPr>
          <w:vanish/>
        </w:rPr>
        <w:t>PE753.509</w:t>
      </w:r>
      <w:bookmarkEnd w:id="5"/>
    </w:p>
    <w:p w:rsidR="00320765" w:rsidRPr="0013189A" w:rsidRDefault="00320765" w:rsidP="00320765">
      <w:pPr>
        <w:pStyle w:val="ATHeading3"/>
      </w:pPr>
      <w:bookmarkStart w:id="6" w:name="Sujet"/>
      <w:r w:rsidRPr="0013189A">
        <w:t>1. Decizia Parlamentului European din 11 aprilie 2024 privind descărcarea de gestiune pentru execuția bugetului Centrului European pentru Dezvoltarea Formării Profesionale (</w:t>
      </w:r>
      <w:proofErr w:type="spellStart"/>
      <w:r w:rsidRPr="0013189A">
        <w:t>Cedefop</w:t>
      </w:r>
      <w:proofErr w:type="spellEnd"/>
      <w:r w:rsidRPr="0013189A">
        <w:t>) aferent exercițiului financiar 2022</w:t>
      </w:r>
      <w:bookmarkEnd w:id="6"/>
      <w:r w:rsidRPr="0013189A">
        <w:t xml:space="preserve"> </w:t>
      </w:r>
      <w:bookmarkStart w:id="7" w:name="References"/>
      <w:r w:rsidRPr="0013189A">
        <w:t>(2023/2143(DEC))</w:t>
      </w:r>
      <w:bookmarkEnd w:id="7"/>
    </w:p>
    <w:p w:rsidR="006D5CDA" w:rsidRPr="0013189A" w:rsidRDefault="006D5CDA" w:rsidP="006D5CDA">
      <w:pPr>
        <w:pStyle w:val="EPComma"/>
      </w:pPr>
      <w:bookmarkStart w:id="8" w:name="TextBodyBegin"/>
      <w:bookmarkEnd w:id="8"/>
      <w:r w:rsidRPr="0013189A">
        <w:rPr>
          <w:i/>
          <w:iCs/>
        </w:rPr>
        <w:t>Parlamentul European</w:t>
      </w:r>
      <w:r w:rsidRPr="0013189A">
        <w:t>,</w:t>
      </w:r>
    </w:p>
    <w:p w:rsidR="006D5CDA" w:rsidRPr="0013189A" w:rsidRDefault="006D5CDA" w:rsidP="006D5CDA">
      <w:pPr>
        <w:pStyle w:val="NormalHanging12a"/>
      </w:pPr>
      <w:r w:rsidRPr="0013189A">
        <w:t>–</w:t>
      </w:r>
      <w:r w:rsidRPr="0013189A">
        <w:tab/>
        <w:t>având în vedere conturile anuale finale ale Centrului European pentru Dezvoltarea Formării Profesionale (</w:t>
      </w:r>
      <w:proofErr w:type="spellStart"/>
      <w:r w:rsidRPr="0013189A">
        <w:t>Cedefop</w:t>
      </w:r>
      <w:proofErr w:type="spellEnd"/>
      <w:r w:rsidRPr="0013189A">
        <w:t>) pentru exercițiul financiar 2022,</w:t>
      </w:r>
    </w:p>
    <w:p w:rsidR="006D5CDA" w:rsidRPr="0013189A" w:rsidRDefault="006D5CDA" w:rsidP="006D5CDA">
      <w:pPr>
        <w:pStyle w:val="NormalHanging12a"/>
      </w:pPr>
      <w:r w:rsidRPr="0013189A">
        <w:t>–</w:t>
      </w:r>
      <w:r w:rsidRPr="0013189A">
        <w:tab/>
        <w:t>având în vedere Raportul anual al Curții de Conturi privind agențiile UE pentru exercițiul financiar 2022, însoțit de răspunsurile agențiilor</w:t>
      </w:r>
      <w:r w:rsidRPr="0013189A">
        <w:rPr>
          <w:rStyle w:val="FootnoteReference"/>
        </w:rPr>
        <w:footnoteReference w:id="1"/>
      </w:r>
      <w:r w:rsidRPr="0013189A">
        <w:t>,</w:t>
      </w:r>
    </w:p>
    <w:p w:rsidR="006D5CDA" w:rsidRPr="0013189A" w:rsidRDefault="006D5CDA" w:rsidP="006D5CDA">
      <w:pPr>
        <w:pStyle w:val="NormalHanging12a"/>
      </w:pPr>
      <w:r w:rsidRPr="0013189A">
        <w:t>–</w:t>
      </w:r>
      <w:r w:rsidRPr="0013189A">
        <w:tab/>
        <w:t>având în vedere declarația de asigurare privind fiabilitatea conturilor</w:t>
      </w:r>
      <w:r w:rsidRPr="0013189A">
        <w:rPr>
          <w:rStyle w:val="FootnoteReference"/>
        </w:rPr>
        <w:footnoteReference w:id="2"/>
      </w:r>
      <w:r w:rsidRPr="0013189A">
        <w:t xml:space="preserve"> și legalitatea și regularitatea operațiunilor subiacente întocmită de Curtea de Conturi pentru exercițiul 2022 în temeiul articolului 287 din Tratatul privind funcționarea Uniunii Europene,</w:t>
      </w:r>
    </w:p>
    <w:p w:rsidR="006D5CDA" w:rsidRPr="0013189A" w:rsidRDefault="006D5CDA" w:rsidP="006D5CDA">
      <w:pPr>
        <w:pStyle w:val="NormalHanging12a"/>
      </w:pPr>
      <w:r w:rsidRPr="0013189A">
        <w:t>–</w:t>
      </w:r>
      <w:r w:rsidRPr="0013189A">
        <w:tab/>
        <w:t>având în vedere Recomandarea Consiliului din 22 februarie 2024 privind descărcarea de gestiune a Centrului în ceea ce privește execuția bugetară pentru exercițiul financiar 2022 (</w:t>
      </w:r>
      <w:r w:rsidR="000D0495" w:rsidRPr="0013189A">
        <w:t>06180/2024 – C9</w:t>
      </w:r>
      <w:r w:rsidR="000D0495" w:rsidRPr="0013189A">
        <w:noBreakHyphen/>
        <w:t>0081/2024</w:t>
      </w:r>
      <w:r w:rsidRPr="0013189A">
        <w:t>),</w:t>
      </w:r>
    </w:p>
    <w:p w:rsidR="006D5CDA" w:rsidRPr="0013189A" w:rsidRDefault="006D5CDA" w:rsidP="006D5CDA">
      <w:pPr>
        <w:pStyle w:val="NormalHanging12a"/>
      </w:pPr>
      <w:r w:rsidRPr="0013189A">
        <w:t>–</w:t>
      </w:r>
      <w:r w:rsidRPr="0013189A">
        <w:tab/>
        <w:t>având în vedere articolul 319 din Tratatul privind funcționarea Uniunii Europene,</w:t>
      </w:r>
    </w:p>
    <w:p w:rsidR="006D5CDA" w:rsidRPr="0013189A" w:rsidRDefault="006D5CDA" w:rsidP="006D5CDA">
      <w:pPr>
        <w:pStyle w:val="NormalHanging12a"/>
      </w:pPr>
      <w:r w:rsidRPr="0013189A">
        <w:t>–</w:t>
      </w:r>
      <w:r w:rsidRPr="0013189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3189A">
        <w:rPr>
          <w:rStyle w:val="FootnoteReference"/>
        </w:rPr>
        <w:footnoteReference w:id="3"/>
      </w:r>
      <w:r w:rsidRPr="0013189A">
        <w:t>, în special articolul 70,</w:t>
      </w:r>
    </w:p>
    <w:p w:rsidR="006D5CDA" w:rsidRPr="0013189A" w:rsidRDefault="006D5CDA" w:rsidP="006D5CDA">
      <w:pPr>
        <w:pStyle w:val="NormalHanging12a"/>
      </w:pPr>
      <w:r w:rsidRPr="0013189A">
        <w:t>–</w:t>
      </w:r>
      <w:r w:rsidRPr="0013189A">
        <w:tab/>
        <w:t xml:space="preserve">având în vedere Regulamentul (UE) 2019/128 al Parlamentului European și al </w:t>
      </w:r>
      <w:r w:rsidRPr="0013189A">
        <w:lastRenderedPageBreak/>
        <w:t>Consiliului din 16 ianuarie 2019 de înființare a Centrului European pentru Dezvoltarea Formării Profesionale (</w:t>
      </w:r>
      <w:proofErr w:type="spellStart"/>
      <w:r w:rsidRPr="0013189A">
        <w:t>Cedefop</w:t>
      </w:r>
      <w:proofErr w:type="spellEnd"/>
      <w:r w:rsidRPr="0013189A">
        <w:t>) și de abrogare a Regulamentului (CEE) nr. 337/75 al Consiliului</w:t>
      </w:r>
      <w:r w:rsidRPr="0013189A">
        <w:rPr>
          <w:rStyle w:val="FootnoteReference"/>
        </w:rPr>
        <w:footnoteReference w:id="4"/>
      </w:r>
      <w:r w:rsidRPr="0013189A">
        <w:t>, în special articolul 15,</w:t>
      </w:r>
    </w:p>
    <w:p w:rsidR="006D5CDA" w:rsidRPr="0013189A" w:rsidRDefault="006D5CDA" w:rsidP="006D5CDA">
      <w:pPr>
        <w:pStyle w:val="NormalHanging12a"/>
      </w:pPr>
      <w:r w:rsidRPr="0013189A">
        <w:t>–</w:t>
      </w:r>
      <w:r w:rsidRPr="0013189A">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3189A">
        <w:rPr>
          <w:rStyle w:val="FootnoteReference"/>
        </w:rPr>
        <w:footnoteReference w:id="5"/>
      </w:r>
      <w:r w:rsidRPr="0013189A">
        <w:t>, în special articolul 105,</w:t>
      </w:r>
    </w:p>
    <w:p w:rsidR="006D5CDA" w:rsidRPr="0013189A" w:rsidRDefault="006D5CDA" w:rsidP="006D5CDA">
      <w:pPr>
        <w:pStyle w:val="NormalHanging12a"/>
      </w:pPr>
      <w:r w:rsidRPr="0013189A">
        <w:t>–</w:t>
      </w:r>
      <w:r w:rsidRPr="0013189A">
        <w:tab/>
        <w:t>având în vedere articolul 100 și anexa V la Regulamentul său de procedură,</w:t>
      </w:r>
    </w:p>
    <w:p w:rsidR="006D5CDA" w:rsidRPr="0013189A" w:rsidRDefault="006D5CDA" w:rsidP="006D5CDA">
      <w:pPr>
        <w:pStyle w:val="NormalHanging12a"/>
      </w:pPr>
      <w:r w:rsidRPr="0013189A">
        <w:t>–</w:t>
      </w:r>
      <w:r w:rsidRPr="0013189A">
        <w:tab/>
        <w:t>având în vedere avizul Comisiei pentru ocuparea forței de muncă și afaceri sociale,</w:t>
      </w:r>
    </w:p>
    <w:p w:rsidR="006D5CDA" w:rsidRPr="0013189A" w:rsidRDefault="006D5CDA" w:rsidP="006D5CDA">
      <w:pPr>
        <w:pStyle w:val="NormalHanging12a"/>
      </w:pPr>
      <w:r w:rsidRPr="0013189A">
        <w:t>–</w:t>
      </w:r>
      <w:r w:rsidRPr="0013189A">
        <w:tab/>
        <w:t>având în vedere raportul Comisiei pentru control bugetar (A9-0080/2024),</w:t>
      </w:r>
    </w:p>
    <w:p w:rsidR="006D5CDA" w:rsidRPr="0013189A" w:rsidRDefault="006D5CDA" w:rsidP="006D5CDA">
      <w:pPr>
        <w:pStyle w:val="NormalHanging12a"/>
      </w:pPr>
      <w:r w:rsidRPr="0013189A">
        <w:t>1.</w:t>
      </w:r>
      <w:r w:rsidRPr="0013189A">
        <w:tab/>
        <w:t>acordă directorului executiv al Centrului European pentru Dezvoltarea Formării Profesionale (</w:t>
      </w:r>
      <w:proofErr w:type="spellStart"/>
      <w:r w:rsidRPr="0013189A">
        <w:t>Cedefop</w:t>
      </w:r>
      <w:proofErr w:type="spellEnd"/>
      <w:r w:rsidRPr="0013189A">
        <w:t>) descărcarea de gestiune pentru execuția bugetului Centrului aferent exercițiului financiar 2022;</w:t>
      </w:r>
    </w:p>
    <w:p w:rsidR="006D5CDA" w:rsidRPr="0013189A" w:rsidRDefault="006D5CDA" w:rsidP="006D5CDA">
      <w:pPr>
        <w:pStyle w:val="NormalHanging12a"/>
      </w:pPr>
      <w:r w:rsidRPr="0013189A">
        <w:t>2.</w:t>
      </w:r>
      <w:r w:rsidRPr="0013189A">
        <w:tab/>
        <w:t>își prezintă observațiile în cadrul rezoluției de mai jos;</w:t>
      </w:r>
    </w:p>
    <w:p w:rsidR="006D5CDA" w:rsidRPr="0013189A" w:rsidRDefault="006D5CDA" w:rsidP="006D5CDA">
      <w:pPr>
        <w:pStyle w:val="NormalHanging12a"/>
      </w:pPr>
      <w:r w:rsidRPr="0013189A">
        <w:t>3.</w:t>
      </w:r>
      <w:r w:rsidRPr="0013189A">
        <w:tab/>
        <w:t>încredințează Președintei sarcina de a transmite prezenta decizie împreună cu rezoluția Parlamentului, ca parte integrantă a acesteia, directorului executiv al Centrului European pentru Dezvoltarea Formării Profesionale (</w:t>
      </w:r>
      <w:proofErr w:type="spellStart"/>
      <w:r w:rsidRPr="0013189A">
        <w:t>Cedefop</w:t>
      </w:r>
      <w:proofErr w:type="spellEnd"/>
      <w:r w:rsidRPr="0013189A">
        <w:t xml:space="preserve">), Consiliului, Comisiei și Curții de Conturi și de a asigura publicarea acestora în </w:t>
      </w:r>
      <w:r w:rsidRPr="0013189A">
        <w:rPr>
          <w:i/>
          <w:iCs/>
        </w:rPr>
        <w:t>Jurnalul Oficial al Uniunii Europene</w:t>
      </w:r>
      <w:r w:rsidRPr="0013189A">
        <w:t xml:space="preserve"> (seria L).</w:t>
      </w:r>
    </w:p>
    <w:p w:rsidR="006D5CDA" w:rsidRPr="0013189A" w:rsidRDefault="006D5CDA" w:rsidP="006D5CDA"/>
    <w:p w:rsidR="006D5CDA" w:rsidRPr="0013189A" w:rsidRDefault="006D5CDA" w:rsidP="006D5CDA">
      <w:pPr>
        <w:pStyle w:val="PageHeading"/>
        <w:sectPr w:rsidR="006D5CDA" w:rsidRPr="0013189A" w:rsidSect="00E7652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D5CDA" w:rsidRPr="0013189A" w:rsidRDefault="00E7771B" w:rsidP="00E7771B">
      <w:pPr>
        <w:pStyle w:val="ATHeading3"/>
      </w:pPr>
      <w:r w:rsidRPr="0013189A">
        <w:lastRenderedPageBreak/>
        <w:t xml:space="preserve">2. Decizia Parlamentului European din 11 aprilie 2024 </w:t>
      </w:r>
      <w:r w:rsidR="006D5CDA" w:rsidRPr="0013189A">
        <w:t>privind închiderea conturilor Centrului European pentru Dezvoltarea Formării Profesionale (</w:t>
      </w:r>
      <w:proofErr w:type="spellStart"/>
      <w:r w:rsidR="006D5CDA" w:rsidRPr="0013189A">
        <w:t>Cedefop</w:t>
      </w:r>
      <w:proofErr w:type="spellEnd"/>
      <w:r w:rsidR="006D5CDA" w:rsidRPr="0013189A">
        <w:t>) pentru exercițiul financiar 2022</w:t>
      </w:r>
      <w:r w:rsidRPr="0013189A">
        <w:t xml:space="preserve"> </w:t>
      </w:r>
      <w:r w:rsidR="006D5CDA" w:rsidRPr="0013189A">
        <w:t>(2023/2143(DEC))</w:t>
      </w:r>
    </w:p>
    <w:p w:rsidR="006D5CDA" w:rsidRPr="0013189A" w:rsidRDefault="006D5CDA" w:rsidP="006D5CDA">
      <w:pPr>
        <w:pStyle w:val="EPComma"/>
      </w:pPr>
      <w:r w:rsidRPr="0013189A">
        <w:rPr>
          <w:i/>
          <w:iCs/>
        </w:rPr>
        <w:t>Parlamentul European</w:t>
      </w:r>
      <w:r w:rsidRPr="0013189A">
        <w:t>,</w:t>
      </w:r>
    </w:p>
    <w:p w:rsidR="006D5CDA" w:rsidRPr="0013189A" w:rsidRDefault="006D5CDA" w:rsidP="006D5CDA">
      <w:pPr>
        <w:pStyle w:val="NormalHanging12a"/>
      </w:pPr>
      <w:r w:rsidRPr="0013189A">
        <w:t>–</w:t>
      </w:r>
      <w:r w:rsidRPr="0013189A">
        <w:tab/>
        <w:t>având în vedere conturile anuale finale ale Centrului European pentru Dezvoltarea Formării Profesionale (</w:t>
      </w:r>
      <w:proofErr w:type="spellStart"/>
      <w:r w:rsidRPr="0013189A">
        <w:t>Cedefop</w:t>
      </w:r>
      <w:proofErr w:type="spellEnd"/>
      <w:r w:rsidRPr="0013189A">
        <w:t>) pentru exercițiul financiar 2022,</w:t>
      </w:r>
    </w:p>
    <w:p w:rsidR="006D5CDA" w:rsidRPr="0013189A" w:rsidRDefault="006D5CDA" w:rsidP="006D5CDA">
      <w:pPr>
        <w:pStyle w:val="NormalHanging12a"/>
      </w:pPr>
      <w:r w:rsidRPr="0013189A">
        <w:t>–</w:t>
      </w:r>
      <w:r w:rsidRPr="0013189A">
        <w:tab/>
        <w:t>având în vedere Raportul anual al Curții de Conturi privind agențiile UE pentru exercițiul financiar 2022, însoțit de răspunsurile agențiilor</w:t>
      </w:r>
      <w:r w:rsidRPr="0013189A">
        <w:rPr>
          <w:rStyle w:val="FootnoteReference"/>
        </w:rPr>
        <w:footnoteReference w:id="6"/>
      </w:r>
      <w:r w:rsidRPr="0013189A">
        <w:t>,</w:t>
      </w:r>
    </w:p>
    <w:p w:rsidR="006D5CDA" w:rsidRPr="0013189A" w:rsidRDefault="006D5CDA" w:rsidP="006D5CDA">
      <w:pPr>
        <w:pStyle w:val="NormalHanging12a"/>
      </w:pPr>
      <w:r w:rsidRPr="0013189A">
        <w:t>–</w:t>
      </w:r>
      <w:r w:rsidRPr="0013189A">
        <w:tab/>
        <w:t>având în vedere declarația de asigurare privind fiabilitatea conturilor</w:t>
      </w:r>
      <w:r w:rsidRPr="0013189A">
        <w:rPr>
          <w:rStyle w:val="FootnoteReference"/>
        </w:rPr>
        <w:footnoteReference w:id="7"/>
      </w:r>
      <w:r w:rsidRPr="0013189A">
        <w:t xml:space="preserve"> și legalitatea și regularitatea operațiunilor subiacente întocmită de Curtea de Conturi pentru exercițiul 2022 în temeiul articolului 287 din Tratatul privind funcționarea Uniunii Europene,</w:t>
      </w:r>
    </w:p>
    <w:p w:rsidR="006D5CDA" w:rsidRPr="0013189A" w:rsidRDefault="006D5CDA" w:rsidP="006D5CDA">
      <w:pPr>
        <w:pStyle w:val="NormalHanging12a"/>
      </w:pPr>
      <w:r w:rsidRPr="0013189A">
        <w:t>–</w:t>
      </w:r>
      <w:r w:rsidRPr="0013189A">
        <w:tab/>
        <w:t>având în vedere Recomandarea Consiliului din 22 februarie 2024 privind descărcarea de gestiune a Centrului în ceea ce privește execuția bugetară pentru exercițiul financiar 2022 (</w:t>
      </w:r>
      <w:r w:rsidR="000D0495" w:rsidRPr="0013189A">
        <w:t>06180/2024 – C9</w:t>
      </w:r>
      <w:r w:rsidR="000D0495" w:rsidRPr="0013189A">
        <w:noBreakHyphen/>
        <w:t>0081/2024</w:t>
      </w:r>
      <w:r w:rsidRPr="0013189A">
        <w:t>),</w:t>
      </w:r>
    </w:p>
    <w:p w:rsidR="006D5CDA" w:rsidRPr="0013189A" w:rsidRDefault="006D5CDA" w:rsidP="006D5CDA">
      <w:pPr>
        <w:pStyle w:val="NormalHanging12a"/>
      </w:pPr>
      <w:r w:rsidRPr="0013189A">
        <w:t>–</w:t>
      </w:r>
      <w:r w:rsidRPr="0013189A">
        <w:tab/>
        <w:t>având în vedere articolul 319 din Tratatul privind funcționarea Uniunii Europene,</w:t>
      </w:r>
    </w:p>
    <w:p w:rsidR="006D5CDA" w:rsidRPr="0013189A" w:rsidRDefault="006D5CDA" w:rsidP="006D5CDA">
      <w:pPr>
        <w:pStyle w:val="NormalHanging12a"/>
      </w:pPr>
      <w:r w:rsidRPr="0013189A">
        <w:t>–</w:t>
      </w:r>
      <w:r w:rsidRPr="0013189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13189A">
        <w:rPr>
          <w:rStyle w:val="FootnoteReference"/>
        </w:rPr>
        <w:footnoteReference w:id="8"/>
      </w:r>
      <w:r w:rsidRPr="0013189A">
        <w:t>, în special articolul 70,</w:t>
      </w:r>
    </w:p>
    <w:p w:rsidR="006D5CDA" w:rsidRPr="0013189A" w:rsidRDefault="006D5CDA" w:rsidP="006D5CDA">
      <w:pPr>
        <w:pStyle w:val="NormalHanging12a"/>
      </w:pPr>
      <w:r w:rsidRPr="0013189A">
        <w:t>–</w:t>
      </w:r>
      <w:r w:rsidRPr="0013189A">
        <w:tab/>
        <w:t>având în vedere Regulamentul (UE) 2019/128 al Parlamentului European și al Consiliului din 16 ianuarie 2019 de înființare a Centrului European pentru Dezvoltarea Formării Profesionale (</w:t>
      </w:r>
      <w:proofErr w:type="spellStart"/>
      <w:r w:rsidRPr="0013189A">
        <w:t>Cedefop</w:t>
      </w:r>
      <w:proofErr w:type="spellEnd"/>
      <w:r w:rsidRPr="0013189A">
        <w:t>) și de abrogare a Regulamentului (CEE) nr. 337/75 al Consiliului</w:t>
      </w:r>
      <w:r w:rsidRPr="0013189A">
        <w:rPr>
          <w:rStyle w:val="FootnoteReference"/>
        </w:rPr>
        <w:footnoteReference w:id="9"/>
      </w:r>
      <w:r w:rsidRPr="0013189A">
        <w:t>, în special articolul 15,</w:t>
      </w:r>
    </w:p>
    <w:p w:rsidR="006D5CDA" w:rsidRPr="0013189A" w:rsidRDefault="006D5CDA" w:rsidP="006D5CDA">
      <w:pPr>
        <w:pStyle w:val="NormalHanging12a"/>
      </w:pPr>
      <w:r w:rsidRPr="0013189A">
        <w:t>–</w:t>
      </w:r>
      <w:r w:rsidRPr="0013189A">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13189A">
        <w:rPr>
          <w:rStyle w:val="FootnoteReference"/>
        </w:rPr>
        <w:footnoteReference w:id="10"/>
      </w:r>
      <w:r w:rsidRPr="0013189A">
        <w:t>, în special articolul 105,</w:t>
      </w:r>
    </w:p>
    <w:p w:rsidR="006D5CDA" w:rsidRPr="0013189A" w:rsidRDefault="006D5CDA" w:rsidP="006D5CDA">
      <w:pPr>
        <w:pStyle w:val="NormalHanging12a"/>
      </w:pPr>
      <w:r w:rsidRPr="0013189A">
        <w:t>–</w:t>
      </w:r>
      <w:r w:rsidRPr="0013189A">
        <w:tab/>
        <w:t>având în vedere articolul 100 și anexa V la Regulamentul său de procedură,</w:t>
      </w:r>
    </w:p>
    <w:p w:rsidR="006D5CDA" w:rsidRPr="0013189A" w:rsidRDefault="006D5CDA" w:rsidP="006D5CDA">
      <w:pPr>
        <w:pStyle w:val="NormalHanging12a"/>
      </w:pPr>
      <w:r w:rsidRPr="0013189A">
        <w:t>–</w:t>
      </w:r>
      <w:r w:rsidRPr="0013189A">
        <w:tab/>
        <w:t>având în vedere avizul Comisiei pentru ocuparea forței de muncă și afaceri sociale,</w:t>
      </w:r>
    </w:p>
    <w:p w:rsidR="006D5CDA" w:rsidRPr="0013189A" w:rsidRDefault="006D5CDA" w:rsidP="006D5CDA">
      <w:pPr>
        <w:pStyle w:val="NormalHanging12a"/>
      </w:pPr>
      <w:r w:rsidRPr="0013189A">
        <w:t>–</w:t>
      </w:r>
      <w:r w:rsidRPr="0013189A">
        <w:tab/>
        <w:t>având în vedere raportul Comisiei pentru control bugetar (A9-0080/2024),</w:t>
      </w:r>
    </w:p>
    <w:p w:rsidR="006D5CDA" w:rsidRPr="0013189A" w:rsidRDefault="006D5CDA" w:rsidP="006D5CDA">
      <w:pPr>
        <w:pStyle w:val="NormalHanging12a"/>
      </w:pPr>
      <w:r w:rsidRPr="0013189A">
        <w:t>1.</w:t>
      </w:r>
      <w:r w:rsidRPr="0013189A">
        <w:tab/>
        <w:t xml:space="preserve">aprobă închiderea conturilor Centrului European pentru Dezvoltarea Formării </w:t>
      </w:r>
      <w:r w:rsidRPr="0013189A">
        <w:lastRenderedPageBreak/>
        <w:t>Profesionale (</w:t>
      </w:r>
      <w:proofErr w:type="spellStart"/>
      <w:r w:rsidRPr="0013189A">
        <w:t>Cedefop</w:t>
      </w:r>
      <w:proofErr w:type="spellEnd"/>
      <w:r w:rsidRPr="0013189A">
        <w:t>) pentru exercițiul financiar 2022;</w:t>
      </w:r>
    </w:p>
    <w:p w:rsidR="006D5CDA" w:rsidRPr="0013189A" w:rsidRDefault="006D5CDA" w:rsidP="006D5CDA">
      <w:pPr>
        <w:pStyle w:val="NormalHanging12a"/>
      </w:pPr>
      <w:r w:rsidRPr="0013189A">
        <w:t>2.</w:t>
      </w:r>
      <w:r w:rsidRPr="0013189A">
        <w:tab/>
        <w:t>încredințează Președintei sarcina de a transmite prezenta decizie directorului executiv al Centrului European pentru Dezvoltarea Formării Profesionale (</w:t>
      </w:r>
      <w:proofErr w:type="spellStart"/>
      <w:r w:rsidRPr="0013189A">
        <w:t>Cedefop</w:t>
      </w:r>
      <w:proofErr w:type="spellEnd"/>
      <w:r w:rsidRPr="0013189A">
        <w:t xml:space="preserve">), Consiliului, Comisiei și Curții de Conturi și de a asigura publicarea acesteia în </w:t>
      </w:r>
      <w:r w:rsidRPr="0013189A">
        <w:rPr>
          <w:i/>
          <w:iCs/>
        </w:rPr>
        <w:t>Jurnalul Oficial al Uniunii Europene</w:t>
      </w:r>
      <w:r w:rsidRPr="0013189A">
        <w:t xml:space="preserve"> (seria L).</w:t>
      </w:r>
    </w:p>
    <w:p w:rsidR="006D5CDA" w:rsidRPr="0013189A" w:rsidRDefault="006D5CDA" w:rsidP="006D5CDA"/>
    <w:p w:rsidR="006D5CDA" w:rsidRPr="0013189A" w:rsidRDefault="006D5CDA" w:rsidP="006D5CDA">
      <w:pPr>
        <w:pStyle w:val="PageHeading"/>
        <w:sectPr w:rsidR="006D5CDA" w:rsidRPr="0013189A" w:rsidSect="00E76528">
          <w:footnotePr>
            <w:numRestart w:val="eachPage"/>
          </w:footnotePr>
          <w:endnotePr>
            <w:numFmt w:val="decimal"/>
          </w:endnotePr>
          <w:pgSz w:w="11906" w:h="16838" w:code="9"/>
          <w:pgMar w:top="1134" w:right="1418" w:bottom="1418" w:left="1418" w:header="567" w:footer="567" w:gutter="0"/>
          <w:cols w:space="720"/>
          <w:noEndnote/>
          <w:docGrid w:linePitch="326"/>
        </w:sectPr>
      </w:pPr>
    </w:p>
    <w:p w:rsidR="006D5CDA" w:rsidRPr="0013189A" w:rsidRDefault="00E7771B" w:rsidP="00E7771B">
      <w:pPr>
        <w:pStyle w:val="ATHeading3"/>
      </w:pPr>
      <w:r w:rsidRPr="0013189A">
        <w:lastRenderedPageBreak/>
        <w:t xml:space="preserve">3. Rezoluția Parlamentului European din 11 aprilie 2024 conținând observațiile </w:t>
      </w:r>
      <w:r w:rsidR="006D5CDA" w:rsidRPr="0013189A">
        <w:t>care fac parte integrantă din decizia privind descărcarea de gestiune pentru execuția bugetului Centrului European pentru Dezvoltarea Formării Profesionale (</w:t>
      </w:r>
      <w:proofErr w:type="spellStart"/>
      <w:r w:rsidR="006D5CDA" w:rsidRPr="0013189A">
        <w:t>Cedefop</w:t>
      </w:r>
      <w:proofErr w:type="spellEnd"/>
      <w:r w:rsidR="006D5CDA" w:rsidRPr="0013189A">
        <w:t>) aferent exercițiului financiar 2022</w:t>
      </w:r>
      <w:r w:rsidRPr="0013189A">
        <w:t xml:space="preserve"> </w:t>
      </w:r>
      <w:r w:rsidR="006D5CDA" w:rsidRPr="0013189A">
        <w:t>(2023/2143(DEC))</w:t>
      </w:r>
    </w:p>
    <w:p w:rsidR="006D5CDA" w:rsidRPr="0013189A" w:rsidRDefault="006D5CDA" w:rsidP="006D5CDA">
      <w:pPr>
        <w:pStyle w:val="EPComma"/>
      </w:pPr>
      <w:r w:rsidRPr="0013189A">
        <w:rPr>
          <w:i/>
          <w:iCs/>
        </w:rPr>
        <w:t>Parlamentul European</w:t>
      </w:r>
      <w:r w:rsidRPr="0013189A">
        <w:t>,</w:t>
      </w:r>
    </w:p>
    <w:p w:rsidR="006D5CDA" w:rsidRPr="0013189A" w:rsidRDefault="006D5CDA" w:rsidP="006D5CDA">
      <w:pPr>
        <w:pStyle w:val="NormalHanging12a"/>
      </w:pPr>
      <w:r w:rsidRPr="0013189A">
        <w:t>–</w:t>
      </w:r>
      <w:r w:rsidRPr="0013189A">
        <w:tab/>
        <w:t>având în vedere decizia sa privind descărcarea de gestiune pentru execuția bugetului Centrului European pentru Dezvoltarea Formării Profesionale (</w:t>
      </w:r>
      <w:proofErr w:type="spellStart"/>
      <w:r w:rsidRPr="0013189A">
        <w:t>Cedefop</w:t>
      </w:r>
      <w:proofErr w:type="spellEnd"/>
      <w:r w:rsidRPr="0013189A">
        <w:t>) aferent exercițiului financiar 2022,</w:t>
      </w:r>
    </w:p>
    <w:p w:rsidR="006D5CDA" w:rsidRPr="0013189A" w:rsidRDefault="006D5CDA" w:rsidP="006D5CDA">
      <w:pPr>
        <w:pStyle w:val="NormalHanging12a"/>
      </w:pPr>
      <w:r w:rsidRPr="0013189A">
        <w:t>–</w:t>
      </w:r>
      <w:r w:rsidRPr="0013189A">
        <w:tab/>
        <w:t>având în vedere articolul 100 și anexa V la Regulamentul său de procedură,</w:t>
      </w:r>
    </w:p>
    <w:p w:rsidR="006D5CDA" w:rsidRPr="0013189A" w:rsidRDefault="006D5CDA" w:rsidP="006D5CDA">
      <w:pPr>
        <w:pStyle w:val="NormalHanging12a"/>
      </w:pPr>
      <w:r w:rsidRPr="0013189A">
        <w:t>–</w:t>
      </w:r>
      <w:r w:rsidRPr="0013189A">
        <w:tab/>
        <w:t>având în vedere avizul Comisiei pentru ocuparea forței de muncă și afaceri sociale,</w:t>
      </w:r>
    </w:p>
    <w:p w:rsidR="006D5CDA" w:rsidRPr="0013189A" w:rsidRDefault="006D5CDA" w:rsidP="006D5CDA">
      <w:pPr>
        <w:pStyle w:val="NormalHanging12a"/>
      </w:pPr>
      <w:r w:rsidRPr="0013189A">
        <w:t>–</w:t>
      </w:r>
      <w:r w:rsidRPr="0013189A">
        <w:tab/>
        <w:t>având în vedere raportul Comisiei pentru control bugetar (A9-0080/2024),</w:t>
      </w:r>
    </w:p>
    <w:p w:rsidR="006D5CDA" w:rsidRPr="0013189A" w:rsidRDefault="006D5CDA" w:rsidP="006D5CDA">
      <w:pPr>
        <w:pStyle w:val="Normal12Hanging"/>
        <w:rPr>
          <w:szCs w:val="24"/>
          <w:lang w:val="ro-RO"/>
        </w:rPr>
      </w:pPr>
      <w:r w:rsidRPr="0013189A">
        <w:rPr>
          <w:lang w:val="ro-RO"/>
        </w:rPr>
        <w:t>A.</w:t>
      </w:r>
      <w:r w:rsidRPr="0013189A">
        <w:rPr>
          <w:lang w:val="ro-RO"/>
        </w:rPr>
        <w:tab/>
        <w:t>întrucât, potrivit situației veniturilor și cheltuielilor sale</w:t>
      </w:r>
      <w:r w:rsidRPr="0013189A">
        <w:rPr>
          <w:rStyle w:val="FootnoteReference"/>
          <w:szCs w:val="24"/>
          <w:lang w:val="ro-RO"/>
        </w:rPr>
        <w:footnoteReference w:id="11"/>
      </w:r>
      <w:r w:rsidRPr="0013189A">
        <w:rPr>
          <w:lang w:val="ro-RO"/>
        </w:rPr>
        <w:t>, bugetul definitiv al Centrului European pentru Dezvoltarea Formării Profesionale (</w:t>
      </w:r>
      <w:proofErr w:type="spellStart"/>
      <w:r w:rsidRPr="0013189A">
        <w:rPr>
          <w:lang w:val="ro-RO"/>
        </w:rPr>
        <w:t>Cedefop</w:t>
      </w:r>
      <w:proofErr w:type="spellEnd"/>
      <w:r w:rsidRPr="0013189A">
        <w:rPr>
          <w:lang w:val="ro-RO"/>
        </w:rPr>
        <w:t>) (denumit în continuare „Centrul”) aferent exercițiului financiar 2022 a fost de 18 434 420 EUR, ceea ce reprezintă o scădere cu 0,29 % față de bugetul pentru 2021; întrucât bugetul Centrului provine în principal de la bugetul Uniunii;</w:t>
      </w:r>
    </w:p>
    <w:p w:rsidR="006D5CDA" w:rsidRPr="0013189A" w:rsidRDefault="006D5CDA" w:rsidP="006D5CDA">
      <w:pPr>
        <w:pStyle w:val="Normal12Hanging"/>
        <w:rPr>
          <w:szCs w:val="24"/>
          <w:lang w:val="ro-RO"/>
        </w:rPr>
      </w:pPr>
      <w:r w:rsidRPr="0013189A">
        <w:rPr>
          <w:lang w:val="ro-RO"/>
        </w:rPr>
        <w:t>B.</w:t>
      </w:r>
      <w:r w:rsidRPr="0013189A">
        <w:rPr>
          <w:lang w:val="ro-RO"/>
        </w:rPr>
        <w:tab/>
        <w:t>întrucât, pe lângă contribuția Uniunii în valoare de 17 960 000 EUR, bugetul Centrului disponibil în 2022 a inclus suma de 464 420 EUR reprezentând contribuții din partea țărilor asociate (Norvegia și Islanda) și o sumă de 43 960 EUR reprezentând venituri proprii diverse și sume rambursate;</w:t>
      </w:r>
    </w:p>
    <w:p w:rsidR="006D5CDA" w:rsidRPr="0013189A" w:rsidRDefault="006D5CDA" w:rsidP="006D5CDA">
      <w:pPr>
        <w:pStyle w:val="Normal12Hanging"/>
        <w:rPr>
          <w:szCs w:val="24"/>
          <w:lang w:val="ro-RO"/>
        </w:rPr>
      </w:pPr>
      <w:r w:rsidRPr="0013189A">
        <w:rPr>
          <w:lang w:val="ro-RO"/>
        </w:rPr>
        <w:t>C.</w:t>
      </w:r>
      <w:r w:rsidRPr="0013189A">
        <w:rPr>
          <w:lang w:val="ro-RO"/>
        </w:rPr>
        <w:tab/>
        <w:t>întrucât Centrul a aderat la Protocolul 31 la Acordul privind Spațiul Economic European (SEE), cu efect de la 1 ianuarie 2023, conform căruia Centrul va primi contribuții din partea țărilor asociate prin intermediul bugetului SEE-AELS;</w:t>
      </w:r>
    </w:p>
    <w:p w:rsidR="006D5CDA" w:rsidRPr="0013189A" w:rsidRDefault="006D5CDA" w:rsidP="006D5CDA">
      <w:pPr>
        <w:pStyle w:val="Normal12Hanging"/>
        <w:rPr>
          <w:szCs w:val="24"/>
          <w:lang w:val="ro-RO"/>
        </w:rPr>
      </w:pPr>
      <w:r w:rsidRPr="0013189A">
        <w:rPr>
          <w:lang w:val="ro-RO"/>
        </w:rPr>
        <w:t>D.</w:t>
      </w:r>
      <w:r w:rsidRPr="0013189A">
        <w:rPr>
          <w:lang w:val="ro-RO"/>
        </w:rPr>
        <w:tab/>
        <w:t>întrucât, în ceea ce privește sectorul achizițiilor publice ale Centrului, nu au fost comunicate probleme care să necesite acțiuni corective pentru 2022 și nici nu există acțiuni corective în curs sau restante în urma auditurilor și evaluărilor din exercițiile anterioare;</w:t>
      </w:r>
    </w:p>
    <w:p w:rsidR="006D5CDA" w:rsidRPr="0013189A" w:rsidRDefault="006D5CDA" w:rsidP="006D5CDA">
      <w:pPr>
        <w:pStyle w:val="Normal12Hanging"/>
        <w:rPr>
          <w:szCs w:val="24"/>
          <w:lang w:val="ro-RO"/>
        </w:rPr>
      </w:pPr>
      <w:r w:rsidRPr="0013189A">
        <w:rPr>
          <w:lang w:val="ro-RO"/>
        </w:rPr>
        <w:t>E.</w:t>
      </w:r>
      <w:r w:rsidRPr="0013189A">
        <w:rPr>
          <w:lang w:val="ro-RO"/>
        </w:rPr>
        <w:tab/>
        <w:t>întrucât Curtea de Conturi („Curtea”), în raportul său privind conturile anuale ale Observatorului pentru exercițiul financiar 2022 („raportul Curții”), a declarat că a obținut asigurări rezonabile cu privire la fiabilitatea conturilor anuale ale Observatorului și cu privire la legalitatea și regularitatea operațiunilor subiacente,</w:t>
      </w:r>
    </w:p>
    <w:p w:rsidR="006D5CDA" w:rsidRPr="0013189A" w:rsidRDefault="006D5CDA" w:rsidP="006D5CDA">
      <w:pPr>
        <w:pStyle w:val="Normal12Hanging"/>
        <w:rPr>
          <w:b/>
          <w:i/>
          <w:szCs w:val="24"/>
          <w:lang w:val="ro-RO"/>
        </w:rPr>
      </w:pPr>
      <w:r w:rsidRPr="0013189A">
        <w:rPr>
          <w:b/>
          <w:i/>
          <w:lang w:val="ro-RO"/>
        </w:rPr>
        <w:t>Gestiunea bugetară și financiară</w:t>
      </w:r>
    </w:p>
    <w:p w:rsidR="006D5CDA" w:rsidRPr="0013189A" w:rsidRDefault="006D5CDA" w:rsidP="006D5CDA">
      <w:pPr>
        <w:pStyle w:val="Normal12Hanging"/>
        <w:rPr>
          <w:szCs w:val="24"/>
          <w:lang w:val="ro-RO"/>
        </w:rPr>
      </w:pPr>
      <w:r w:rsidRPr="0013189A">
        <w:rPr>
          <w:lang w:val="ro-RO"/>
        </w:rPr>
        <w:t>1.</w:t>
      </w:r>
      <w:r w:rsidRPr="0013189A">
        <w:rPr>
          <w:lang w:val="ro-RO"/>
        </w:rPr>
        <w:tab/>
        <w:t>constată cu apreciere că eforturile de monitorizare a bugetului au avut ca rezultat o rată de execuție bugetară în 2022 de 99,98 %, ceea ce reprezintă o ușoară scădere de 0,02 % față de 2021; regretă nivelul scăzut al ratei creditelor de plată pentru anul în curs (77,64 %), ceea ce reprezintă o scădere de 2,38 % față de 2021;</w:t>
      </w:r>
    </w:p>
    <w:p w:rsidR="006D5CDA" w:rsidRPr="0013189A" w:rsidRDefault="006D5CDA" w:rsidP="006D5CDA">
      <w:pPr>
        <w:pStyle w:val="Normal12Hanging"/>
        <w:rPr>
          <w:szCs w:val="24"/>
          <w:lang w:val="ro-RO"/>
        </w:rPr>
      </w:pPr>
      <w:r w:rsidRPr="0013189A">
        <w:rPr>
          <w:lang w:val="ro-RO"/>
        </w:rPr>
        <w:lastRenderedPageBreak/>
        <w:t>2.</w:t>
      </w:r>
      <w:r w:rsidRPr="0013189A">
        <w:rPr>
          <w:lang w:val="ro-RO"/>
        </w:rPr>
        <w:tab/>
        <w:t>reamintește, în raportul Curții pentru 2021, observația cu privire la deficiențele din tranziția Centrului către un nou sistem contabil (ABAC) utilizat, de asemenea, de Comisie; constată, pe baza raportului Curții, că în 2022 au fost observate cazuri similare (neconcordanțe între data finală efectivă de punere în aplicare a angajamentelor juridice și data înregistrată în ABAC) și în cazul angajamentelor bugetare reportate din 2022 în 2023; constată cu satisfacție din raportul Centrului privind acțiunile întreprinse în urma descărcării de gestiune pentru exercițiul financiar 2021 („raportul de monitorizare”) că, între timp, Centrul a instituit un sistem de monitorizare pentru a identifica acele tipuri de neconcordanțe care, odată detectate, sunt corectate imediat în ABAC;</w:t>
      </w:r>
    </w:p>
    <w:p w:rsidR="006D5CDA" w:rsidRPr="0013189A" w:rsidRDefault="006D5CDA" w:rsidP="006D5CDA">
      <w:pPr>
        <w:pStyle w:val="Normal12Hanging"/>
        <w:rPr>
          <w:szCs w:val="24"/>
          <w:lang w:val="ro-RO"/>
        </w:rPr>
      </w:pPr>
      <w:r w:rsidRPr="0013189A">
        <w:rPr>
          <w:lang w:val="ro-RO"/>
        </w:rPr>
        <w:t>3.</w:t>
      </w:r>
      <w:r w:rsidRPr="0013189A">
        <w:rPr>
          <w:lang w:val="ro-RO"/>
        </w:rPr>
        <w:tab/>
        <w:t>ia act de observația din raportul Curții conform căreia Centrul nu a aplicat în mod corect metoda de calcul a contribuției stabilită în Declarația privind cooperarea dintre Centru și AELS în legătură cu amendamentul nr. 1 la bugetul Centrului; constată, prin urmare, că, pentru 2022, contribuțiile Islandei și Norvegiei la bugetul Centrului, pe de o parte, și contribuția Uniunii, pe de altă parte, au fost mai mari și, respectiv, mai mici decât ar fi trebuit să fie; ia act, de asemenea, de recunoașterea de către Curte a faptului că o modificare a Protocolului nr. 31 la Acordul SEE privind cooperarea în domenii specifice în afara celor patru libertăți a fost semnată și a intrat în vigoare la 1 ianuarie 2023 și, prin urmare, începând cu 2023, problema ajustărilor contribuțiilor țărilor AELS din cauza modificărilor aduse bugetului Centrului nu va mai apărea;</w:t>
      </w:r>
    </w:p>
    <w:p w:rsidR="006D5CDA" w:rsidRPr="0013189A" w:rsidRDefault="006D5CDA" w:rsidP="006D5CDA">
      <w:pPr>
        <w:pStyle w:val="Normal12Hanging"/>
        <w:rPr>
          <w:b/>
          <w:i/>
          <w:szCs w:val="24"/>
          <w:lang w:val="ro-RO"/>
        </w:rPr>
      </w:pPr>
      <w:r w:rsidRPr="0013189A">
        <w:rPr>
          <w:b/>
          <w:i/>
          <w:lang w:val="ro-RO"/>
        </w:rPr>
        <w:t>Performanța</w:t>
      </w:r>
    </w:p>
    <w:p w:rsidR="006D5CDA" w:rsidRPr="0013189A" w:rsidRDefault="006D5CDA" w:rsidP="006D5CDA">
      <w:pPr>
        <w:pStyle w:val="Normal12Hanging"/>
        <w:rPr>
          <w:lang w:val="ro-RO"/>
        </w:rPr>
      </w:pPr>
      <w:r w:rsidRPr="0013189A">
        <w:rPr>
          <w:lang w:val="ro-RO"/>
        </w:rPr>
        <w:t>4.</w:t>
      </w:r>
      <w:r w:rsidRPr="0013189A">
        <w:rPr>
          <w:lang w:val="ro-RO"/>
        </w:rPr>
        <w:tab/>
        <w:t>constată cu satisfacție că, în pofida provocărilor continue generate de pandemia de COVID-19, de războiul nejustificat din Ucraina, de criza energetică și de escaladarea urgenței climatice, Centrul și-a pus pe deplin în aplicare programul de lucru în 2022, cu realizări remarcabile în toate cele trei domenii strategice de funcționare ale Centrului care le depășesc pe cele planificate în programul de lucru pentru 2022; ia act de faptul că educația și formarea profesională au fost identificate ca fiind un domeniu de interes pentru cooperare în cadrul inițiativei privind Spațiul european al educației pentru perioada 2021-2030;</w:t>
      </w:r>
    </w:p>
    <w:p w:rsidR="006D5CDA" w:rsidRPr="0013189A" w:rsidRDefault="006D5CDA" w:rsidP="006D5CDA">
      <w:pPr>
        <w:pStyle w:val="Normal12Hanging"/>
        <w:rPr>
          <w:lang w:val="ro-RO"/>
        </w:rPr>
      </w:pPr>
      <w:r w:rsidRPr="0013189A">
        <w:rPr>
          <w:lang w:val="ro-RO"/>
        </w:rPr>
        <w:t>5.</w:t>
      </w:r>
      <w:r w:rsidRPr="0013189A">
        <w:rPr>
          <w:lang w:val="ro-RO"/>
        </w:rPr>
        <w:tab/>
        <w:t xml:space="preserve">ia act, printre mai multe realizări din 2022, de: (i) lansarea Observatorului verde al Centrului, care a analizat implicațiile tranziției verzi pentru orașe și trei domenii-cheie (gestionarea deșeurilor, sectorul agroalimentar și economia circulară); (ii) analiza realizată de Centru cu privire la planurile naționale de punere în aplicare, care prezintă reformele și inițiativele naționale în curs și viitoare în domeniul educației și formării profesionale (EFP); (iii) prezentarea concluziilor studiului Centrului privind </w:t>
      </w:r>
      <w:proofErr w:type="spellStart"/>
      <w:r w:rsidRPr="0013189A">
        <w:rPr>
          <w:lang w:val="ro-RO"/>
        </w:rPr>
        <w:t>microcertificatele</w:t>
      </w:r>
      <w:proofErr w:type="spellEnd"/>
      <w:r w:rsidRPr="0013189A">
        <w:rPr>
          <w:lang w:val="ro-RO"/>
        </w:rPr>
        <w:t>, care a stat la baza propunerii Comisiei de recomandare a Consiliului pe această temă; (iv) studiul de fezabilitate realizat de Centru pentru o anchetă în rândul profesorilor și formatorilor EFP inițiali; (v) finalizarea celui de-al doilea proiect „Viitorul EFP”, care contribuie la o mai bună înțelegere generală a provocărilor și oportunităților cu care se va confrunta EFP europeană în următorii ani; și (vi) publicarea celei de-a doua anchete europene privind competențele și locurile de muncă (ESJS), care a contribuit la evidențierea digitalizării și a impactului acesteia asupra locurilor de muncă și a competențelor;</w:t>
      </w:r>
    </w:p>
    <w:p w:rsidR="006D5CDA" w:rsidRPr="0013189A" w:rsidRDefault="006D5CDA" w:rsidP="006D5CDA">
      <w:pPr>
        <w:pStyle w:val="NormalHanging12a"/>
        <w:rPr>
          <w:szCs w:val="24"/>
        </w:rPr>
      </w:pPr>
      <w:r w:rsidRPr="0013189A">
        <w:t>6.</w:t>
      </w:r>
      <w:r w:rsidRPr="0013189A">
        <w:tab/>
        <w:t xml:space="preserve">apreciază activitățile și munca de înaltă calitate a Centrului, prin care asigură activități de cercetare, analiză, consultanță tehnică și cunoștințe specializate pentru politicile în domeniul educației și formării profesionale (EFP), al calificărilor și al competențelor, vizând să promoveze formări de înaltă calitate, adaptate nevoilor individuale și ale </w:t>
      </w:r>
      <w:r w:rsidRPr="0013189A">
        <w:lastRenderedPageBreak/>
        <w:t>pieței muncii; reamintește că Centrul are un rol important în a asigura integrarea competențelor digitale în EFP în întreaga Uniune, precum și un rol în a monitoriza punerea în aplicare și impactul recomandărilor Consiliului privind Agenda europeană pentru competențe, EFP pentru competitivitate sustenabilă, echitate socială și reziliență și Planul de acțiune pentru educația digitală; evidențiază necesitatea de a menține resurse umane și financiare adecvate, care să permită Centrului să își îndeplinească mandatul și să continue realizarea programului său de lucru cu o rată foarte ridicată de finalizare a activităților;</w:t>
      </w:r>
    </w:p>
    <w:p w:rsidR="006D5CDA" w:rsidRPr="0013189A" w:rsidRDefault="006D5CDA" w:rsidP="006D5CDA">
      <w:pPr>
        <w:pStyle w:val="Normal12Hanging"/>
        <w:rPr>
          <w:b/>
          <w:i/>
          <w:szCs w:val="24"/>
          <w:lang w:val="ro-RO"/>
        </w:rPr>
      </w:pPr>
      <w:r w:rsidRPr="0013189A">
        <w:rPr>
          <w:b/>
          <w:i/>
          <w:lang w:val="ro-RO"/>
        </w:rPr>
        <w:t>Eficiența și realizările</w:t>
      </w:r>
    </w:p>
    <w:p w:rsidR="006D5CDA" w:rsidRPr="0013189A" w:rsidRDefault="006D5CDA" w:rsidP="006D5CDA">
      <w:pPr>
        <w:pStyle w:val="Normal12Hanging"/>
        <w:rPr>
          <w:lang w:val="ro-RO"/>
        </w:rPr>
      </w:pPr>
      <w:r w:rsidRPr="0013189A">
        <w:rPr>
          <w:lang w:val="ro-RO"/>
        </w:rPr>
        <w:t>7.</w:t>
      </w:r>
      <w:r w:rsidRPr="0013189A">
        <w:rPr>
          <w:lang w:val="ro-RO"/>
        </w:rPr>
        <w:tab/>
        <w:t>salută practica de lungă durată a Centrului de cooperare și schimb de informații cu Fundația Europeană de Formare (ETF) și cu Fundația Europeană pentru Îmbunătățirea Condițiilor de Viață și de Muncă (</w:t>
      </w:r>
      <w:proofErr w:type="spellStart"/>
      <w:r w:rsidRPr="0013189A">
        <w:rPr>
          <w:lang w:val="ro-RO"/>
        </w:rPr>
        <w:t>Eurofound</w:t>
      </w:r>
      <w:proofErr w:type="spellEnd"/>
      <w:r w:rsidRPr="0013189A">
        <w:rPr>
          <w:lang w:val="ro-RO"/>
        </w:rPr>
        <w:t xml:space="preserve">); ia act de faptul că Centrul și ETF colaborează la proiecte comune în ceea ce privește EFP, publicațiile, economia platformelor/activitatea pe platforme online privind corelarea competențelor și anticiparea sau identificarea, monitorizarea și analizarea progreselor înregistrate de țări, precum și cu privire la ESJS; ia act, de asemenea, de faptul că, în 2022, Centrul și-a întărit și mai mult cooperarea de lungă durată cu </w:t>
      </w:r>
      <w:proofErr w:type="spellStart"/>
      <w:r w:rsidRPr="0013189A">
        <w:rPr>
          <w:lang w:val="ro-RO"/>
        </w:rPr>
        <w:t>Eurofound</w:t>
      </w:r>
      <w:proofErr w:type="spellEnd"/>
      <w:r w:rsidRPr="0013189A">
        <w:rPr>
          <w:lang w:val="ro-RO"/>
        </w:rPr>
        <w:t xml:space="preserve"> în ceea ce privește activitățile operaționale prin pregătirea în comun a unui al doilea raport emblematic privind competențele, bazat pe Sondajul european în rândul întreprinderilor, colaborând mai strâns cu privire la tranziția verde echitabilă și conducând în comun pregătirea și organizarea evenimentului „Tineretul pe primul loc” de către cinci agenții, eveniment care a avut loc la Parlament; salută încheierea unui memorandum de înțelegere specific între Centru și Autoritatea Europeană a Muncii, care cuprinde schimbul de cunoștințe și </w:t>
      </w:r>
      <w:proofErr w:type="spellStart"/>
      <w:r w:rsidRPr="0013189A">
        <w:rPr>
          <w:lang w:val="ro-RO"/>
        </w:rPr>
        <w:t>sinergiile</w:t>
      </w:r>
      <w:proofErr w:type="spellEnd"/>
      <w:r w:rsidRPr="0013189A">
        <w:rPr>
          <w:lang w:val="ro-RO"/>
        </w:rPr>
        <w:t>, cu accent pe competențe și tendințele pieței muncii, precum și pe mobilitatea transfrontalieră a forței de muncă; ia act de acordurile la nivel de servicii încheiate de Centru cu Institutul European pentru Egalitatea de Șanse între Femei și Bărbați în vederea partajării serviciilor de contabilitate și cu Agenția pentru Securitate Cibernetică a Uniunii Europene în domenii precum, printre altele, protecția datelor, achizițiile publice și TIC, precum și de discuțiile în curs de desfășurare cu ETF cu privire la un responsabil comun pentru securitatea cibernetică; invită, de asemenea, Centrul și alte agenții să exploreze și să identifice noi sinergii și domenii de cooperare pentru a crește eficiența și a reduce costurile;</w:t>
      </w:r>
    </w:p>
    <w:p w:rsidR="006D5CDA" w:rsidRPr="0013189A" w:rsidRDefault="006D5CDA" w:rsidP="006D5CDA">
      <w:pPr>
        <w:pStyle w:val="Normal12Hanging"/>
        <w:rPr>
          <w:szCs w:val="24"/>
          <w:lang w:val="ro-RO"/>
        </w:rPr>
      </w:pPr>
      <w:r w:rsidRPr="0013189A">
        <w:rPr>
          <w:lang w:val="ro-RO"/>
        </w:rPr>
        <w:t>8.</w:t>
      </w:r>
      <w:r w:rsidRPr="0013189A">
        <w:rPr>
          <w:lang w:val="ro-RO"/>
        </w:rPr>
        <w:tab/>
        <w:t>ia act cu satisfacție de angajamentul Centrului de a deveni neutru din punctul de vedere al emisiilor de dioxid de carbon până în 2030 și de adoptarea, în 2023, a strategiei și a planului său de acțiune pentru neutralitatea climatică; ia act, în acest context, de acțiunile specifice deja întreprinse în 2022, cum ar fi instalarea de storuri de ferestre eficiente din punct de vedere energetic și finalizarea lucrărilor de pregătire pentru instalarea panourilor fotovoltaice în 2023, pentru a produce energie electrică proprie din surse regenerabile, care se preconizează că va duce la o rentabilitate a investițiilor de aproximativ 50 %; laudă Centrul pentru succesul înregistrat în atingerea sau depășirea obiectivelor sale pentru 2022, având ca bază anul 2019, în ceea ce privește reducerea utilizării energiei electrice (cu 27 %), a păcurii (cu 43 %) și a hârtiei (cu 73 %), precum și reducerea costurilor de misiune (cu 71 %) și a costurilor reuniunilor cu prezență fizică (cu 56,5 %);</w:t>
      </w:r>
    </w:p>
    <w:p w:rsidR="006D5CDA" w:rsidRPr="0013189A" w:rsidRDefault="006D5CDA" w:rsidP="006D5CDA">
      <w:pPr>
        <w:pStyle w:val="Normal12Hanging"/>
        <w:rPr>
          <w:szCs w:val="24"/>
          <w:lang w:val="ro-RO"/>
        </w:rPr>
      </w:pPr>
      <w:r w:rsidRPr="0013189A">
        <w:rPr>
          <w:lang w:val="ro-RO"/>
        </w:rPr>
        <w:t>9.</w:t>
      </w:r>
      <w:r w:rsidRPr="0013189A">
        <w:rPr>
          <w:lang w:val="ro-RO"/>
        </w:rPr>
        <w:tab/>
        <w:t xml:space="preserve">apreciază întărirea activităților de bază ale Centrului prin eforturile de simplificare și raționalizare a administrației, prin schimbul de cunoștințe și resurse cu alte agenții, prin digitalizarea, raționalizarea și reorganizarea sarcinilor, precum și prin reducerea </w:t>
      </w:r>
      <w:r w:rsidRPr="0013189A">
        <w:rPr>
          <w:lang w:val="ro-RO"/>
        </w:rPr>
        <w:lastRenderedPageBreak/>
        <w:t>numărului reuniunilor cu prezență fizică și creșterea participării online la evenimente; ia act de rezultatul acestor eforturi, printre altele, de transformarea a trei posturi de asistent în posturi de expert și de economiile de aproximativ 390 000 EUR ca urmare a reducerii numărului reuniunilor cu prezență fizică, toate contribuind la o creștere lăudabilă a ponderii personalului de bază al activității de la 66,5 % în 2021 la 73,2 % în 2022;</w:t>
      </w:r>
    </w:p>
    <w:p w:rsidR="006D5CDA" w:rsidRPr="0013189A" w:rsidRDefault="006D5CDA" w:rsidP="006D5CDA">
      <w:pPr>
        <w:pStyle w:val="Normal12Hanging"/>
        <w:rPr>
          <w:szCs w:val="24"/>
          <w:lang w:val="ro-RO"/>
        </w:rPr>
      </w:pPr>
      <w:r w:rsidRPr="0013189A">
        <w:rPr>
          <w:lang w:val="ro-RO"/>
        </w:rPr>
        <w:t>10.</w:t>
      </w:r>
      <w:r w:rsidRPr="0013189A">
        <w:rPr>
          <w:lang w:val="ro-RO"/>
        </w:rPr>
        <w:tab/>
        <w:t>felicită Centrul pentru progresele sale continue în ceea ce privește punerea în aplicare a strategiei sale privind TIC și digitalizarea pentru a obține în continuare câștiguri de eficiență; ia act de faptul că, în 2022, Centrul a digitalizat toate fluxurile de lucru, a introdus un instrument digital pentru procedurile de selecție și un nou mediu digital de lucru și colaborare și a pregătit și lansat utilizarea (începând din ianuarie 2023) a instrumentului de gestionare a achizițiilor publice; salută faptul că Centrul a emis semnături digitale pentru întregul său personal, iar managerii utilizează certificate de semnătură ale UE pentru contracte, bonuri de comandă și documente obligatorii din punct de vedere juridic;</w:t>
      </w:r>
    </w:p>
    <w:p w:rsidR="006D5CDA" w:rsidRPr="0013189A" w:rsidRDefault="006D5CDA" w:rsidP="006D5CDA">
      <w:pPr>
        <w:spacing w:after="240"/>
        <w:ind w:left="567" w:hanging="567"/>
        <w:rPr>
          <w:iCs/>
        </w:rPr>
      </w:pPr>
      <w:r w:rsidRPr="0013189A">
        <w:t>11.</w:t>
      </w:r>
      <w:r w:rsidRPr="0013189A">
        <w:tab/>
        <w:t>constată din raportul Curții că Centrul nu se numără printre agențiile care dispun de o formă de informare de mediu în rapoartele lor anuale de activitate și care au primit înregistrarea EMAS; ia act, cu toate acestea, de sistemul de management de mediu al Centrului, care îl ajută să își atingă obiectivele de mediu, inclusiv prin utilizarea unor indicatori-cheie de performanță privind consumul de energie, apă, hârtie, precum și privind deșeurile și emisiile de CO</w:t>
      </w:r>
      <w:r w:rsidRPr="0013189A">
        <w:rPr>
          <w:vertAlign w:val="subscript"/>
        </w:rPr>
        <w:t>2</w:t>
      </w:r>
      <w:r w:rsidRPr="0013189A">
        <w:t>; constată cu satisfacție că sistemul de gestionare a performanței al Centrului include un indicator de mediu [„emisiile de CO</w:t>
      </w:r>
      <w:r w:rsidRPr="0013189A">
        <w:rPr>
          <w:vertAlign w:val="subscript"/>
        </w:rPr>
        <w:t>2</w:t>
      </w:r>
      <w:r w:rsidRPr="0013189A">
        <w:t xml:space="preserve"> (tone)”] care evaluează performanța de mediu a Centrului utilizând CO</w:t>
      </w:r>
      <w:r w:rsidRPr="0013189A">
        <w:rPr>
          <w:vertAlign w:val="subscript"/>
        </w:rPr>
        <w:t>2</w:t>
      </w:r>
      <w:r w:rsidRPr="0013189A">
        <w:t xml:space="preserve"> și emisiile totale de deșeuri; ia act, de asemenea, de angajamentul Centrului de a-și moderniza sistemul de management de mediu și de a lua măsuri pentru a obține certificarea EMAS începând cu 2025;</w:t>
      </w:r>
    </w:p>
    <w:p w:rsidR="006D5CDA" w:rsidRPr="0013189A" w:rsidRDefault="006D5CDA" w:rsidP="006D5CDA">
      <w:pPr>
        <w:pStyle w:val="Normal12Hanging"/>
        <w:rPr>
          <w:b/>
          <w:i/>
          <w:szCs w:val="24"/>
          <w:lang w:val="ro-RO"/>
        </w:rPr>
      </w:pPr>
      <w:r w:rsidRPr="0013189A">
        <w:rPr>
          <w:b/>
          <w:i/>
          <w:lang w:val="ro-RO"/>
        </w:rPr>
        <w:t>Politica de personal</w:t>
      </w:r>
    </w:p>
    <w:p w:rsidR="006D5CDA" w:rsidRPr="0013189A" w:rsidRDefault="006D5CDA" w:rsidP="006D5CDA">
      <w:pPr>
        <w:pStyle w:val="Normal12Hanging"/>
        <w:rPr>
          <w:szCs w:val="24"/>
          <w:lang w:val="ro-RO"/>
        </w:rPr>
      </w:pPr>
      <w:r w:rsidRPr="0013189A">
        <w:rPr>
          <w:lang w:val="ro-RO"/>
        </w:rPr>
        <w:t>12.</w:t>
      </w:r>
      <w:r w:rsidRPr="0013189A">
        <w:rPr>
          <w:lang w:val="ro-RO"/>
        </w:rPr>
        <w:tab/>
        <w:t>constată că, la 31 decembrie 2022, schema de personal a fost implementată în proporție de 95,60 %, cu 79 de agenți temporari numiți din 83 de posturi temporare și opt funcționari din opt posturi autorizate în cadrul bugetului Uniunii; constată că, în plus, 20 de agenți contractuali din cele 25 de posturi autorizate în temeiul bugetului Uniunii, patru experți naționali detașați și cinci lucrători interimari au lucrat în cadrul Centrului în 2022;</w:t>
      </w:r>
    </w:p>
    <w:p w:rsidR="006D5CDA" w:rsidRPr="0013189A" w:rsidRDefault="006D5CDA" w:rsidP="006D5CDA">
      <w:pPr>
        <w:pStyle w:val="NormalHanging12a"/>
      </w:pPr>
      <w:r w:rsidRPr="0013189A">
        <w:t>13.</w:t>
      </w:r>
      <w:r w:rsidRPr="0013189A">
        <w:tab/>
        <w:t>constată că, în ceea ce privește echilibrul dintre femei și bărbați comunicat pentru 2022, personalul de conducere de nivel superior al Centrului este alcătuit din patru bărbați (66,7 %) și două femei (33,3 %); constată că consiliul de administrație este format din 78 de bărbați (53 %) și 68 de femei (47 %); reamintește mandatul Centrului și faptul că numărul mare de membri ai Comitetului (</w:t>
      </w:r>
      <w:r w:rsidR="000D0495" w:rsidRPr="0013189A">
        <w:t>146</w:t>
      </w:r>
      <w:r w:rsidRPr="0013189A">
        <w:t>) provine din componența sa specifică, bazată pe principiul tripartit, incluzând astfel reprezentanți ai autorităților naționale și ai partenerilor sociali; recunoaște că, prin intermediul membrilor săi, Consiliul de administrație asigură alinierea necesară între activitatea Centrului și nevoile și prioritățile părților interesate; constată, de asemenea, că, în ceea ce privește personalul Centrului în general, repartizarea pe sexe este de 44 % bărbați (47) și 56 % femei (61); reamintește importanța echilibrului geografic și salută, în acest sens, pe baza raportului de monitorizare, angajamentul Centrului de a reechilibra din punct de vedere geografic personalul său prin utilizarea listelor de rezervă ale altor agenții, inclusiv prin unirea forțelor cu acestea și prin extinderea difuzării anunțurilor de posturi vacante;</w:t>
      </w:r>
    </w:p>
    <w:p w:rsidR="006D5CDA" w:rsidRPr="0013189A" w:rsidRDefault="006D5CDA" w:rsidP="006D5CDA">
      <w:pPr>
        <w:pStyle w:val="Normal12Hanging"/>
        <w:rPr>
          <w:szCs w:val="24"/>
          <w:lang w:val="ro-RO"/>
        </w:rPr>
      </w:pPr>
      <w:r w:rsidRPr="0013189A">
        <w:rPr>
          <w:lang w:val="ro-RO"/>
        </w:rPr>
        <w:lastRenderedPageBreak/>
        <w:t>14.</w:t>
      </w:r>
      <w:r w:rsidRPr="0013189A">
        <w:rPr>
          <w:lang w:val="ro-RO"/>
        </w:rPr>
        <w:tab/>
        <w:t xml:space="preserve">constată cu satisfacție că Centrul lucrează în mod </w:t>
      </w:r>
      <w:proofErr w:type="spellStart"/>
      <w:r w:rsidRPr="0013189A">
        <w:rPr>
          <w:lang w:val="ro-RO"/>
        </w:rPr>
        <w:t>proactiv</w:t>
      </w:r>
      <w:proofErr w:type="spellEnd"/>
      <w:r w:rsidRPr="0013189A">
        <w:rPr>
          <w:lang w:val="ro-RO"/>
        </w:rPr>
        <w:t xml:space="preserve"> pentru a îmbunătăți starea de bine a personalului și echilibrul dintre viața profesională și cea privată; constată, în acest sens, că, în 2022, Centrul a oferit cursuri de formare (privind, printre altele, gestionarea anxietății la locul de muncă, obținerea de rezultate bune la stres și starea de bine digitală), a desfășurat „sondaje pentru a colecta feedback” în domeniul resurselor umane, și-a restructurat comitetul mixt care servește la promovarea stării de bine și a sănătății personalului și a instituit un program de asistență pentru angajați 24/7 pentru sprijin confidențial în ceea ce privește diversele provocări legate de viață sau de muncă cu care se confruntă personalul Centrului;</w:t>
      </w:r>
    </w:p>
    <w:p w:rsidR="006D5CDA" w:rsidRPr="0013189A" w:rsidRDefault="006D5CDA" w:rsidP="006D5CDA">
      <w:pPr>
        <w:pStyle w:val="NormalHanging12a"/>
      </w:pPr>
      <w:r w:rsidRPr="0013189A">
        <w:t>15.</w:t>
      </w:r>
      <w:r w:rsidRPr="0013189A">
        <w:tab/>
        <w:t>ia act de faptul că Centrul și-a lansat ancheta periodică privind implicarea personalului în 2022, ale cărei rezultate au arătat răspunsuri favorabile din partea a 65 % din personalul Centrului (o rată de răspuns de 75 %), în timp ce 10 din cele 12 dimensiuni ale analizei au înregistrat schimbări pozitive în comparație cu rezultatele sondajului din 2019, în pofida perioadei extrem de perturbatoare de la ultimul sondaj din acel an, în timp ce unele domenii necesită o atenție mai mare, cum ar fi volumul de muncă, transparența procesului decizional și cooperarea internă; salută faptul că rezultatele sondajului au fost prezentate întregului personal în cadrul unei adunări generale și al unor reuniuni dedicate întrebărilor;</w:t>
      </w:r>
    </w:p>
    <w:p w:rsidR="006D5CDA" w:rsidRPr="0013189A" w:rsidRDefault="006D5CDA" w:rsidP="006D5CDA">
      <w:pPr>
        <w:pStyle w:val="NormalHanging12a"/>
      </w:pPr>
      <w:r w:rsidRPr="0013189A">
        <w:t>16.</w:t>
      </w:r>
      <w:r w:rsidRPr="0013189A">
        <w:tab/>
        <w:t>salută măsurile luate în cadrul politicii Centrului privind egalitatea de șanse și diversitatea și în ceea ce privește sprijinul acordat persoanelor cu handicap, cum ar fi cursuri de formare (privind aspecte legate de diversitate și includere) și orientări (modalități de detectare și contracarare a prejudecăților inconștiente) oferite personalului din domeniul resurselor umane și comitetelor de selecție, precum și de adaptarea la candidații cu handicap; ia notă, în cele din urmă, de răspunsurile Centrului la întrebările cu solicitare de răspuns scris ale Parlamentului, de planurile Centrului de a adopta „Carta privind diversitatea și includerea” în 2023;</w:t>
      </w:r>
    </w:p>
    <w:p w:rsidR="006D5CDA" w:rsidRPr="0013189A" w:rsidRDefault="006D5CDA" w:rsidP="006D5CDA">
      <w:pPr>
        <w:pStyle w:val="Normal12Hanging"/>
        <w:rPr>
          <w:szCs w:val="24"/>
          <w:lang w:val="ro-RO"/>
        </w:rPr>
      </w:pPr>
      <w:r w:rsidRPr="0013189A">
        <w:rPr>
          <w:lang w:val="ro-RO"/>
        </w:rPr>
        <w:t>17.</w:t>
      </w:r>
      <w:r w:rsidRPr="0013189A">
        <w:rPr>
          <w:lang w:val="ro-RO"/>
        </w:rPr>
        <w:tab/>
        <w:t>ia act cu îngrijorare, din raportul Curții, de observația potrivit căreia, în perioada 2017-2022, Centrul a plătit indemnizații lunare și zilnice de subzistență pentru doi resortisanți greci angajați ca experți naționali detașați; constată, în acest context, că cei doi experți naționali detașați nu aveau dreptul la aceste indemnizații în conformitate cu normele interne ale Centrului, deoarece Centrul este situat în Republica Elenă și, prin urmare, plățile aferente totale efectuate către cei doi experți naționali detașați în perioada respectivă, în valoare de 222 647 EUR (pe lângă 36 608 EUR în 2022), sunt considerate neconforme; constată, de asemenea, că, atunci când Centrul a identificat problema în 2022, a înregistrat cele două cazuri în registrul de neconformitate și excepții, a decis să nu solicite rambursarea sumelor plătite în mod neregulamentar și a introdus o perioadă de retragere treptată de trei luni pentru experții naționali detașați încă prezenți la momentul respectiv; solicită o monitorizare strictă și evitarea unor astfel de situații în viitor;</w:t>
      </w:r>
    </w:p>
    <w:p w:rsidR="006D5CDA" w:rsidRPr="0013189A" w:rsidRDefault="006D5CDA" w:rsidP="006D5CDA">
      <w:pPr>
        <w:pStyle w:val="Normal12Hanging"/>
        <w:rPr>
          <w:b/>
          <w:i/>
          <w:szCs w:val="24"/>
          <w:lang w:val="ro-RO"/>
        </w:rPr>
      </w:pPr>
      <w:r w:rsidRPr="0013189A">
        <w:rPr>
          <w:b/>
          <w:i/>
          <w:lang w:val="ro-RO"/>
        </w:rPr>
        <w:t>Prevenirea și gestionarea conflictelor de interese și transparența</w:t>
      </w:r>
    </w:p>
    <w:p w:rsidR="006D5CDA" w:rsidRPr="0013189A" w:rsidRDefault="006D5CDA" w:rsidP="006D5CDA">
      <w:pPr>
        <w:pStyle w:val="Normal12Hanging"/>
        <w:rPr>
          <w:szCs w:val="24"/>
          <w:lang w:val="ro-RO"/>
        </w:rPr>
      </w:pPr>
      <w:r w:rsidRPr="0013189A">
        <w:rPr>
          <w:lang w:val="ro-RO"/>
        </w:rPr>
        <w:t>18.</w:t>
      </w:r>
      <w:r w:rsidRPr="0013189A">
        <w:rPr>
          <w:lang w:val="ro-RO"/>
        </w:rPr>
        <w:tab/>
        <w:t xml:space="preserve">ia act de măsurile aplicate de Centru și de efortul constant depus de acesta pentru a asigura transparența, prevenirea și gestionarea conflictelor de interese, precum și protecția avertizorilor de integritate; observă că Centrul solicită membrilor personalului său să declare interese potențiale sau reale dacă acționează într-o situație în care poate apărea un conflict de interese; constată, în acest context, că Centrul dispune de propriul său mecanism, care include măsuri ex ante cu acțiuni de atenuare, controale ex post, </w:t>
      </w:r>
      <w:r w:rsidRPr="0013189A">
        <w:rPr>
          <w:lang w:val="ro-RO"/>
        </w:rPr>
        <w:lastRenderedPageBreak/>
        <w:t>precum și asistență din partea coordonatorului pentru controlul intern al Centrului, care primește informații cu privire la conflictele de interese declarate;</w:t>
      </w:r>
    </w:p>
    <w:p w:rsidR="006D5CDA" w:rsidRPr="0013189A" w:rsidRDefault="006D5CDA" w:rsidP="006D5CDA">
      <w:pPr>
        <w:pStyle w:val="Normal12Hanging"/>
        <w:rPr>
          <w:szCs w:val="24"/>
          <w:lang w:val="ro-RO"/>
        </w:rPr>
      </w:pPr>
      <w:r w:rsidRPr="0013189A">
        <w:rPr>
          <w:lang w:val="ro-RO"/>
        </w:rPr>
        <w:t>19.</w:t>
      </w:r>
      <w:r w:rsidRPr="0013189A">
        <w:rPr>
          <w:lang w:val="ro-RO"/>
        </w:rPr>
        <w:tab/>
        <w:t>reamintește că, potrivit Regulamentului (UE) 2019/128, toți membrii și membrii supleanți care participă la reuniunile consiliului de administrație sau își exercită dreptul de vot trebuie să depună o declarație de interese; salută faptul că declarațiile de interese ale tuturor membrilor Consiliului de administrație, precum și ale supleanților, ca și cele ale personalului Centrului în funcții de conducere de nivel superior sau mediu au fost publicate pe site-ul Centrului; constată, pe baza răspunsurilor Centrului la întrebările cu solicitare de răspuns scris ale Parlamentului, că, începând din 2022, membrii Consiliului de administrație (sau membrii supleanți) care nu furnizează o declarație de interese semnată nu mai sunt invitați la reuniunile Consiliului de administrație, nu mai primesc documente ale acestuia și nu participă la procedurile scrise pentru a lua decizii; ia act de publicarea, deși nu este obligatorie în mod oficial, a CV-urilor membrilor Consiliului de administrație; observă că CV-urile unor membri ai Consiliului de administrație încă lipsesc, inclusiv cel al președintelui acestuia; invită Centrul să publice CV-urile tuturor membrilor Consiliului de administrație (titulari și supleanți);</w:t>
      </w:r>
    </w:p>
    <w:p w:rsidR="006D5CDA" w:rsidRPr="0013189A" w:rsidRDefault="006D5CDA" w:rsidP="006D5CDA">
      <w:pPr>
        <w:pStyle w:val="Normal12Hanging"/>
        <w:rPr>
          <w:szCs w:val="24"/>
          <w:lang w:val="ro-RO"/>
        </w:rPr>
      </w:pPr>
      <w:r w:rsidRPr="0013189A">
        <w:rPr>
          <w:lang w:val="ro-RO"/>
        </w:rPr>
        <w:t>20.</w:t>
      </w:r>
      <w:r w:rsidRPr="0013189A">
        <w:rPr>
          <w:lang w:val="ro-RO"/>
        </w:rPr>
        <w:tab/>
        <w:t>ia act de faptul că Centrul recunoaște importanța situațiilor de tip „uși turnante” și sensibilizează periodic întregul său personal cu privire la normele de punere în aplicare privind activitățile externe, sarcinile și activitățile profesionale după încetarea raporturilor de muncă; salută faptul că tuturor angajaților care părăsesc Centrul li se cere să semneze o scrisoare privind obligațiile care le revin după încetarea raporturilor de muncă, inclusiv faptul că orice activitate viitoare nu ar trebui să vină în contradicție cu obligația lor de confidențialitate față de Centru;</w:t>
      </w:r>
    </w:p>
    <w:p w:rsidR="006D5CDA" w:rsidRPr="0013189A" w:rsidRDefault="006D5CDA" w:rsidP="006D5CDA">
      <w:pPr>
        <w:pStyle w:val="Normal12Hanging"/>
        <w:rPr>
          <w:b/>
          <w:i/>
          <w:szCs w:val="24"/>
          <w:lang w:val="ro-RO"/>
        </w:rPr>
      </w:pPr>
      <w:r w:rsidRPr="0013189A">
        <w:rPr>
          <w:b/>
          <w:i/>
          <w:lang w:val="ro-RO"/>
        </w:rPr>
        <w:t>Controalele interne</w:t>
      </w:r>
    </w:p>
    <w:p w:rsidR="006D5CDA" w:rsidRPr="0013189A" w:rsidRDefault="006D5CDA" w:rsidP="006D5CDA">
      <w:pPr>
        <w:pStyle w:val="Normal12Hanging"/>
        <w:rPr>
          <w:szCs w:val="24"/>
          <w:lang w:val="ro-RO"/>
        </w:rPr>
      </w:pPr>
      <w:r w:rsidRPr="0013189A">
        <w:rPr>
          <w:lang w:val="ro-RO"/>
        </w:rPr>
        <w:t>21.</w:t>
      </w:r>
      <w:r w:rsidRPr="0013189A">
        <w:rPr>
          <w:lang w:val="ro-RO"/>
        </w:rPr>
        <w:tab/>
        <w:t>constată că costul total al controlului intern s-a ridicat la 1 101 755 EUR pentru exercițiul 2022 (29 024 EUR costuri directe și 1 072 731 EUR costuri indirecte), ceea ce reprezintă 6 % din bugetul Centrului; ia act, de asemenea, de declarația Centrului potrivit căreia creșterea moderată a costurilor față de 2021 (5,3 %) se datorează creșterii costurilor salariale și combinației de personal implicat în sarcinile de control intern, ceea ce conduce la costuri indirecte mai mari;</w:t>
      </w:r>
    </w:p>
    <w:p w:rsidR="006D5CDA" w:rsidRPr="0013189A" w:rsidRDefault="006D5CDA" w:rsidP="006D5CDA">
      <w:pPr>
        <w:pStyle w:val="Normal12Hanging"/>
        <w:rPr>
          <w:szCs w:val="24"/>
          <w:lang w:val="ro-RO"/>
        </w:rPr>
      </w:pPr>
      <w:r w:rsidRPr="0013189A">
        <w:rPr>
          <w:lang w:val="ro-RO"/>
        </w:rPr>
        <w:t>22.</w:t>
      </w:r>
      <w:r w:rsidRPr="0013189A">
        <w:rPr>
          <w:lang w:val="ro-RO"/>
        </w:rPr>
        <w:tab/>
        <w:t>ia act de faptul că, potrivit politicii sale de evaluare, Centrul efectuează evaluări ex ante pentru proceduri de achiziții de peste 500 000 EUR și evaluări ex post pentru proiecte și activități care implică cheltuieli totale de peste 500 000 EUR; ia act de faptul că un raport din 2022 al șefului departamentului Finanțe și achiziții a concluzionat că procedurile de achiziții lansate în perioada examinată au fost conforme cu cerințele evaluării ex ante; ia act de faptul că, în 2022, Centrul a efectuat o evaluare ex post a unei activități axate pe un contract-cadru în domeniul informațiilor de pe piața muncii și al analizei nevoilor în materie de competențe (valoarea contractului fiind de 1 088 350 EUR); ia act de faptul că rezultatul evaluării a confirmat faptul că activitatea respectivă a fost eficace, eficientă, coerentă și a adus valoare adăugată pentru Uniune; observă, de asemenea, că, în 2022, un grup de lucru numit de directorul executiv a concluzionat că, în ceea ce privește un eșantion de trei proceduri de achiziții publice, criteriile legate de controlul intern eficace și eficient erau instituite și au fost respectate, nefiind necesare acțiuni corective;</w:t>
      </w:r>
    </w:p>
    <w:p w:rsidR="006D5CDA" w:rsidRPr="0013189A" w:rsidRDefault="006D5CDA" w:rsidP="006D5CDA">
      <w:pPr>
        <w:pStyle w:val="Normal12Hanging"/>
        <w:rPr>
          <w:szCs w:val="24"/>
          <w:lang w:val="ro-RO"/>
        </w:rPr>
      </w:pPr>
      <w:r w:rsidRPr="0013189A">
        <w:rPr>
          <w:lang w:val="ro-RO"/>
        </w:rPr>
        <w:t>23.</w:t>
      </w:r>
      <w:r w:rsidRPr="0013189A">
        <w:rPr>
          <w:lang w:val="ro-RO"/>
        </w:rPr>
        <w:tab/>
        <w:t xml:space="preserve">ia act de faptul că, în 2022, Centrul a înregistrat 57 de cazuri de neconformitate și cereri </w:t>
      </w:r>
      <w:r w:rsidRPr="0013189A">
        <w:rPr>
          <w:lang w:val="ro-RO"/>
        </w:rPr>
        <w:lastRenderedPageBreak/>
        <w:t>de excepții legate de aspecte legate de gestiunea contractuală și financiară; ia notă, de asemenea, de faptul că recomandările emise de coordonatorul pentru controlul intern au fost puse în aplicare și monitorizate pentru a se evita repetarea unor astfel de cazuri;</w:t>
      </w:r>
    </w:p>
    <w:p w:rsidR="006D5CDA" w:rsidRPr="0013189A" w:rsidRDefault="006D5CDA" w:rsidP="006D5CDA">
      <w:pPr>
        <w:pStyle w:val="Normal12Hanging"/>
        <w:rPr>
          <w:szCs w:val="24"/>
          <w:lang w:val="ro-RO"/>
        </w:rPr>
      </w:pPr>
      <w:r w:rsidRPr="0013189A">
        <w:rPr>
          <w:lang w:val="ro-RO"/>
        </w:rPr>
        <w:t>24.</w:t>
      </w:r>
      <w:r w:rsidRPr="0013189A">
        <w:rPr>
          <w:lang w:val="ro-RO"/>
        </w:rPr>
        <w:tab/>
        <w:t>observă că evaluarea cadrului general de control intern al Centrului, efectuată de coordonatorul pentru controlul intern utilizând instrumentul pus la dispoziție de DG BUDG, a concluzionat că cadrul de control intern este eficace, că toate componentele sale există și funcționează bine și în scopul preconizat, fiind necesare unele îmbunătățiri în ceea ce privește componenta de control intern „Activități de control”; constată cu satisfacție, pe baza raportului de monitorizare, că Centrul, ca parte a activităților sale de sensibilizare cu privire la aspectele legate de etică, integritate și control intern, oferă sesiuni obligatorii periodice privind buna administrare, inclusiv aspectele legate de fraudă, întregului personal, precum și membrilor Consiliului de administrație;</w:t>
      </w:r>
    </w:p>
    <w:p w:rsidR="006D5CDA" w:rsidRPr="0013189A" w:rsidRDefault="006D5CDA" w:rsidP="006D5CDA">
      <w:pPr>
        <w:pStyle w:val="Normal12Hanging"/>
        <w:rPr>
          <w:szCs w:val="24"/>
          <w:lang w:val="ro-RO"/>
        </w:rPr>
      </w:pPr>
      <w:r w:rsidRPr="0013189A">
        <w:rPr>
          <w:b/>
          <w:i/>
          <w:lang w:val="ro-RO"/>
        </w:rPr>
        <w:t>Alte observații</w:t>
      </w:r>
    </w:p>
    <w:p w:rsidR="006D5CDA" w:rsidRPr="0013189A" w:rsidRDefault="006D5CDA" w:rsidP="006D5CDA">
      <w:pPr>
        <w:pStyle w:val="Normal12Hanging"/>
        <w:rPr>
          <w:szCs w:val="24"/>
          <w:lang w:val="ro-RO"/>
        </w:rPr>
      </w:pPr>
      <w:r w:rsidRPr="0013189A">
        <w:rPr>
          <w:lang w:val="ro-RO"/>
        </w:rPr>
        <w:t>25.</w:t>
      </w:r>
      <w:r w:rsidRPr="0013189A">
        <w:rPr>
          <w:lang w:val="ro-RO"/>
        </w:rPr>
        <w:tab/>
        <w:t xml:space="preserve">salută eforturile Centrului de a comunica într-un mod care să contribuie la comunicarea cu un public mai larg, inclusiv prin implementarea unui motor de traducere automată pe site-ul Centrului pentru a face accesibile toate paginile sale web în toate limbile oficiale ale instituțiilor Uniunii; ia act de faptul că, în 2022, Centrul a investit în mai multe produse inovatoare, cum ar fi producții video corporative, grafice în mișcare, animații (în sistemele EFP din țările care dețin președinția Uniunii în 2022, și anume Franța și Cehia), </w:t>
      </w:r>
      <w:proofErr w:type="spellStart"/>
      <w:r w:rsidRPr="0013189A">
        <w:rPr>
          <w:lang w:val="ro-RO"/>
        </w:rPr>
        <w:t>podcasturi</w:t>
      </w:r>
      <w:proofErr w:type="spellEnd"/>
      <w:r w:rsidRPr="0013189A">
        <w:rPr>
          <w:lang w:val="ro-RO"/>
        </w:rPr>
        <w:t>, precum și noi vizualizări de date și baze de date online care au întărit portalul web al Centrului; constată cu satisfacție că publicațiile și notele de informare ale Centrului au ajuns la zeci de mii de persoane prin descărcări directe; felicită Centrul pentru creșterea indicatorilor săi privind rețelele de socializare în 2022;</w:t>
      </w:r>
    </w:p>
    <w:p w:rsidR="006D5CDA" w:rsidRPr="0013189A" w:rsidRDefault="006D5CDA" w:rsidP="006D5CDA">
      <w:pPr>
        <w:pStyle w:val="Normal12Hanging"/>
        <w:rPr>
          <w:szCs w:val="24"/>
          <w:lang w:val="ro-RO"/>
        </w:rPr>
      </w:pPr>
      <w:r w:rsidRPr="0013189A">
        <w:rPr>
          <w:lang w:val="ro-RO"/>
        </w:rPr>
        <w:t>26.</w:t>
      </w:r>
      <w:r w:rsidRPr="0013189A">
        <w:rPr>
          <w:lang w:val="ro-RO"/>
        </w:rPr>
        <w:tab/>
        <w:t>subliniază că EFP și educația pentru adulți sunt priorități-cheie pentru Fondul social european Plus (FSE +) pe calea către redresarea verde și digitală, în timp ce FSE + dispune de un buget de aproape 99,3 miliarde EUR pentru perioada 2021-2027;</w:t>
      </w:r>
    </w:p>
    <w:p w:rsidR="006D5CDA" w:rsidRPr="0013189A" w:rsidRDefault="006D5CDA" w:rsidP="006D5CDA">
      <w:pPr>
        <w:pStyle w:val="NormalHanging12a"/>
      </w:pPr>
      <w:r w:rsidRPr="0013189A">
        <w:t>27.</w:t>
      </w:r>
      <w:r w:rsidRPr="0013189A">
        <w:tab/>
        <w:t>ia act de faptul că, din cauza ratelor ridicate ale inflației și a ajustării salariale aferente, creșterile salariale peste proiecțiile inițiale, împreună cu o creștere a factorului de ponderare, flexibilitatea de a asigura resurse suplimentare pentru activitatea de bază a fost limitată;</w:t>
      </w:r>
    </w:p>
    <w:p w:rsidR="006D5CDA" w:rsidRPr="0013189A" w:rsidRDefault="006D5CDA" w:rsidP="006D5CDA">
      <w:pPr>
        <w:pStyle w:val="NormalCenter12a"/>
      </w:pPr>
      <w:r w:rsidRPr="0013189A">
        <w:t>°</w:t>
      </w:r>
    </w:p>
    <w:p w:rsidR="006D5CDA" w:rsidRPr="0013189A" w:rsidRDefault="006D5CDA" w:rsidP="006D5CDA">
      <w:pPr>
        <w:pStyle w:val="NormalCenter12a"/>
      </w:pPr>
      <w:r w:rsidRPr="0013189A">
        <w:t>°</w:t>
      </w:r>
      <w:r w:rsidRPr="0013189A">
        <w:tab/>
        <w:t>°</w:t>
      </w:r>
    </w:p>
    <w:p w:rsidR="006D5CDA" w:rsidRPr="0013189A" w:rsidRDefault="006D5CDA" w:rsidP="006D5CDA">
      <w:pPr>
        <w:pStyle w:val="NormalHanging12a"/>
      </w:pPr>
      <w:r w:rsidRPr="0013189A">
        <w:t>28.</w:t>
      </w:r>
      <w:r w:rsidRPr="0013189A">
        <w:tab/>
        <w:t xml:space="preserve">face trimitere, pentru alte observații cu caracter orizontal care însoțesc decizia privind descărcarea de gestiune, la rezoluția sa din </w:t>
      </w:r>
      <w:r w:rsidR="000D0495" w:rsidRPr="0013189A">
        <w:t xml:space="preserve">11 aprilie </w:t>
      </w:r>
      <w:r w:rsidRPr="0013189A">
        <w:t>2024</w:t>
      </w:r>
      <w:r w:rsidRPr="0013189A">
        <w:rPr>
          <w:rStyle w:val="FootnoteReference"/>
        </w:rPr>
        <w:footnoteReference w:id="12"/>
      </w:r>
      <w:r w:rsidRPr="0013189A">
        <w:t xml:space="preserve"> referitoare la performanțele, gestiunea financiară și controlul agențiilor.</w:t>
      </w:r>
    </w:p>
    <w:p w:rsidR="00E365E1" w:rsidRPr="0013189A" w:rsidRDefault="00E365E1" w:rsidP="00320765">
      <w:bookmarkStart w:id="9" w:name="TextBodyEnd"/>
      <w:bookmarkEnd w:id="9"/>
    </w:p>
    <w:sectPr w:rsidR="00E365E1" w:rsidRPr="0013189A" w:rsidSect="00E7652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765" w:rsidRPr="00E76528" w:rsidRDefault="00320765">
      <w:r w:rsidRPr="00E76528">
        <w:separator/>
      </w:r>
    </w:p>
  </w:endnote>
  <w:endnote w:type="continuationSeparator" w:id="0">
    <w:p w:rsidR="00320765" w:rsidRPr="00E76528" w:rsidRDefault="00320765">
      <w:r w:rsidRPr="00E765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CDA" w:rsidRPr="00E76528" w:rsidRDefault="006D5CDA" w:rsidP="009324DE">
    <w:pPr>
      <w:pStyle w:val="EPFooter"/>
    </w:pPr>
    <w:r w:rsidRPr="00E76528">
      <w:t>PE</w:t>
    </w:r>
    <w:r w:rsidRPr="00E76528">
      <w:rPr>
        <w:rStyle w:val="HideTWBExt"/>
      </w:rPr>
      <w:t>&lt;</w:t>
    </w:r>
    <w:proofErr w:type="spellStart"/>
    <w:r w:rsidRPr="00E76528">
      <w:rPr>
        <w:rStyle w:val="HideTWBExt"/>
      </w:rPr>
      <w:t>NoPE</w:t>
    </w:r>
    <w:proofErr w:type="spellEnd"/>
    <w:r w:rsidRPr="00E76528">
      <w:rPr>
        <w:rStyle w:val="HideTWBExt"/>
      </w:rPr>
      <w:t>&gt;</w:t>
    </w:r>
    <w:r w:rsidRPr="00E76528">
      <w:t>753.509</w:t>
    </w:r>
    <w:r w:rsidRPr="00E76528">
      <w:rPr>
        <w:rStyle w:val="HideTWBExt"/>
      </w:rPr>
      <w:t>&lt;/</w:t>
    </w:r>
    <w:proofErr w:type="spellStart"/>
    <w:r w:rsidRPr="00E76528">
      <w:rPr>
        <w:rStyle w:val="HideTWBExt"/>
      </w:rPr>
      <w:t>NoPE</w:t>
    </w:r>
    <w:proofErr w:type="spellEnd"/>
    <w:r w:rsidRPr="00E76528">
      <w:rPr>
        <w:rStyle w:val="HideTWBExt"/>
      </w:rPr>
      <w:t>&gt;&lt;Version&gt;</w:t>
    </w:r>
    <w:r w:rsidRPr="00E76528">
      <w:t>v02-00</w:t>
    </w:r>
    <w:r w:rsidRPr="00E76528">
      <w:rPr>
        <w:rStyle w:val="HideTWBExt"/>
      </w:rPr>
      <w:t>&lt;/</w:t>
    </w:r>
    <w:proofErr w:type="spellStart"/>
    <w:r w:rsidRPr="00E76528">
      <w:rPr>
        <w:rStyle w:val="HideTWBExt"/>
      </w:rPr>
      <w:t>Version</w:t>
    </w:r>
    <w:proofErr w:type="spellEnd"/>
    <w:r w:rsidRPr="00E76528">
      <w:rPr>
        <w:rStyle w:val="HideTWBExt"/>
      </w:rPr>
      <w:t>&gt;</w:t>
    </w:r>
    <w:r w:rsidRPr="00E76528">
      <w:tab/>
    </w:r>
    <w:r w:rsidRPr="00E76528">
      <w:fldChar w:fldCharType="begin"/>
    </w:r>
    <w:r w:rsidRPr="00E76528">
      <w:instrText xml:space="preserve"> PAGE  \* MERGEFORMAT </w:instrText>
    </w:r>
    <w:r w:rsidRPr="00E76528">
      <w:fldChar w:fldCharType="separate"/>
    </w:r>
    <w:r w:rsidR="00E76528" w:rsidRPr="00E76528">
      <w:rPr>
        <w:noProof/>
      </w:rPr>
      <w:t>4</w:t>
    </w:r>
    <w:r w:rsidRPr="00E76528">
      <w:fldChar w:fldCharType="end"/>
    </w:r>
    <w:r w:rsidRPr="00E76528">
      <w:t>/</w:t>
    </w:r>
    <w:r w:rsidR="00724023">
      <w:fldChar w:fldCharType="begin"/>
    </w:r>
    <w:r w:rsidR="00724023">
      <w:instrText xml:space="preserve"> NUMPAGES  \* MERGEFORMAT </w:instrText>
    </w:r>
    <w:r w:rsidR="00724023">
      <w:fldChar w:fldCharType="separate"/>
    </w:r>
    <w:r w:rsidR="00E76528" w:rsidRPr="00E76528">
      <w:rPr>
        <w:noProof/>
      </w:rPr>
      <w:t>6</w:t>
    </w:r>
    <w:r w:rsidR="00724023">
      <w:rPr>
        <w:noProof/>
      </w:rPr>
      <w:fldChar w:fldCharType="end"/>
    </w:r>
    <w:r w:rsidRPr="00E76528">
      <w:tab/>
    </w:r>
    <w:r w:rsidRPr="00E76528">
      <w:rPr>
        <w:rStyle w:val="HideTWBExt"/>
      </w:rPr>
      <w:t>&lt;PathFdR&gt;</w:t>
    </w:r>
    <w:r w:rsidRPr="00E76528">
      <w:t>RR\1298579RO.docx</w:t>
    </w:r>
    <w:r w:rsidRPr="00E76528">
      <w:rPr>
        <w:rStyle w:val="HideTWBExt"/>
      </w:rPr>
      <w:t>&lt;/</w:t>
    </w:r>
    <w:proofErr w:type="spellStart"/>
    <w:r w:rsidRPr="00E76528">
      <w:rPr>
        <w:rStyle w:val="HideTWBExt"/>
      </w:rPr>
      <w:t>PathFdR</w:t>
    </w:r>
    <w:proofErr w:type="spellEnd"/>
    <w:r w:rsidRPr="00E76528">
      <w:rPr>
        <w:rStyle w:val="HideTWBExt"/>
      </w:rPr>
      <w:t>&gt;</w:t>
    </w:r>
  </w:p>
  <w:p w:rsidR="006D5CDA" w:rsidRPr="00E76528" w:rsidRDefault="006D5CDA" w:rsidP="009324DE">
    <w:pPr>
      <w:pStyle w:val="EPFooter2"/>
    </w:pPr>
    <w:r w:rsidRPr="00E76528">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CDA" w:rsidRPr="00E76528" w:rsidRDefault="006D5CDA" w:rsidP="009324DE">
    <w:pPr>
      <w:pStyle w:val="EPFooter"/>
    </w:pPr>
    <w:r w:rsidRPr="00E76528">
      <w:rPr>
        <w:rStyle w:val="HideTWBExt"/>
      </w:rPr>
      <w:t>&lt;PathFdR&gt;</w:t>
    </w:r>
    <w:r w:rsidRPr="00E76528">
      <w:t>RR\1298579RO.docx</w:t>
    </w:r>
    <w:r w:rsidRPr="00E76528">
      <w:rPr>
        <w:rStyle w:val="HideTWBExt"/>
      </w:rPr>
      <w:t>&lt;/</w:t>
    </w:r>
    <w:proofErr w:type="spellStart"/>
    <w:r w:rsidRPr="00E76528">
      <w:rPr>
        <w:rStyle w:val="HideTWBExt"/>
      </w:rPr>
      <w:t>PathFdR</w:t>
    </w:r>
    <w:proofErr w:type="spellEnd"/>
    <w:r w:rsidRPr="00E76528">
      <w:rPr>
        <w:rStyle w:val="HideTWBExt"/>
      </w:rPr>
      <w:t>&gt;</w:t>
    </w:r>
    <w:r w:rsidRPr="00E76528">
      <w:tab/>
    </w:r>
    <w:r w:rsidRPr="00E76528">
      <w:tab/>
      <w:t>PE</w:t>
    </w:r>
    <w:r w:rsidRPr="00E76528">
      <w:rPr>
        <w:rStyle w:val="HideTWBExt"/>
      </w:rPr>
      <w:t>&lt;</w:t>
    </w:r>
    <w:proofErr w:type="spellStart"/>
    <w:r w:rsidRPr="00E76528">
      <w:rPr>
        <w:rStyle w:val="HideTWBExt"/>
      </w:rPr>
      <w:t>NoPE</w:t>
    </w:r>
    <w:proofErr w:type="spellEnd"/>
    <w:r w:rsidRPr="00E76528">
      <w:rPr>
        <w:rStyle w:val="HideTWBExt"/>
      </w:rPr>
      <w:t>&gt;</w:t>
    </w:r>
    <w:r w:rsidRPr="00E76528">
      <w:t>753.509</w:t>
    </w:r>
    <w:r w:rsidRPr="00E76528">
      <w:rPr>
        <w:rStyle w:val="HideTWBExt"/>
      </w:rPr>
      <w:t>&lt;/</w:t>
    </w:r>
    <w:proofErr w:type="spellStart"/>
    <w:r w:rsidRPr="00E76528">
      <w:rPr>
        <w:rStyle w:val="HideTWBExt"/>
      </w:rPr>
      <w:t>NoPE</w:t>
    </w:r>
    <w:proofErr w:type="spellEnd"/>
    <w:r w:rsidRPr="00E76528">
      <w:rPr>
        <w:rStyle w:val="HideTWBExt"/>
      </w:rPr>
      <w:t>&gt;&lt;Version&gt;</w:t>
    </w:r>
    <w:r w:rsidRPr="00E76528">
      <w:t>v02-00</w:t>
    </w:r>
    <w:r w:rsidRPr="00E76528">
      <w:rPr>
        <w:rStyle w:val="HideTWBExt"/>
      </w:rPr>
      <w:t>&lt;/</w:t>
    </w:r>
    <w:proofErr w:type="spellStart"/>
    <w:r w:rsidRPr="00E76528">
      <w:rPr>
        <w:rStyle w:val="HideTWBExt"/>
      </w:rPr>
      <w:t>Version</w:t>
    </w:r>
    <w:proofErr w:type="spellEnd"/>
    <w:r w:rsidRPr="00E76528">
      <w:rPr>
        <w:rStyle w:val="HideTWBExt"/>
      </w:rPr>
      <w:t>&gt;</w:t>
    </w:r>
  </w:p>
  <w:p w:rsidR="006D5CDA" w:rsidRPr="00E76528" w:rsidRDefault="006D5CDA" w:rsidP="009324DE">
    <w:pPr>
      <w:pStyle w:val="EPFooter2"/>
    </w:pPr>
    <w:r w:rsidRPr="00E76528">
      <w:t>RO</w:t>
    </w:r>
    <w:r w:rsidRPr="00E76528">
      <w:tab/>
    </w:r>
    <w:r w:rsidRPr="00E76528">
      <w:rPr>
        <w:b w:val="0"/>
        <w:i/>
        <w:color w:val="C0C0C0"/>
        <w:sz w:val="22"/>
      </w:rPr>
      <w:t>Unită în diversitate</w:t>
    </w:r>
    <w:r w:rsidRPr="00E76528">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652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652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65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765" w:rsidRPr="00E76528" w:rsidRDefault="00320765">
      <w:r w:rsidRPr="00E76528">
        <w:separator/>
      </w:r>
    </w:p>
  </w:footnote>
  <w:footnote w:type="continuationSeparator" w:id="0">
    <w:p w:rsidR="00320765" w:rsidRPr="00E76528" w:rsidRDefault="00320765">
      <w:r w:rsidRPr="00E76528">
        <w:continuationSeparator/>
      </w:r>
    </w:p>
  </w:footnote>
  <w:footnote w:id="1">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C, C/2023/594, 27.10.2023.</w:t>
      </w:r>
    </w:p>
  </w:footnote>
  <w:footnote w:id="2">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C</w:t>
      </w:r>
      <w:r w:rsidRPr="0013189A">
        <w:rPr>
          <w:color w:val="1F497D"/>
          <w:sz w:val="24"/>
          <w:lang w:val="ro-RO"/>
        </w:rPr>
        <w:t xml:space="preserve">, </w:t>
      </w:r>
      <w:r w:rsidRPr="0013189A">
        <w:rPr>
          <w:sz w:val="24"/>
          <w:lang w:val="ro-RO"/>
        </w:rPr>
        <w:t>C/2023/112, 12.10.2023.</w:t>
      </w:r>
    </w:p>
  </w:footnote>
  <w:footnote w:id="3">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L 193, 30.7.2018, p. 1.</w:t>
      </w:r>
    </w:p>
  </w:footnote>
  <w:footnote w:id="4">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L 30, 31.1.2019, p. 90.</w:t>
      </w:r>
    </w:p>
  </w:footnote>
  <w:footnote w:id="5">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L 122, 10.5.2019, p. 1.</w:t>
      </w:r>
    </w:p>
  </w:footnote>
  <w:footnote w:id="6">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C, C/2023/594, 27.10.2023.</w:t>
      </w:r>
    </w:p>
  </w:footnote>
  <w:footnote w:id="7">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C</w:t>
      </w:r>
      <w:r w:rsidRPr="0013189A">
        <w:rPr>
          <w:color w:val="1F497D"/>
          <w:sz w:val="24"/>
          <w:lang w:val="ro-RO"/>
        </w:rPr>
        <w:t xml:space="preserve">, </w:t>
      </w:r>
      <w:r w:rsidRPr="0013189A">
        <w:rPr>
          <w:sz w:val="24"/>
          <w:lang w:val="ro-RO"/>
        </w:rPr>
        <w:t>C/2023/112, 12.10.2023.</w:t>
      </w:r>
    </w:p>
  </w:footnote>
  <w:footnote w:id="8">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L 193, 30.7.2018, p. 1.</w:t>
      </w:r>
    </w:p>
  </w:footnote>
  <w:footnote w:id="9">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L 30, 31.1.2019, p. 90.</w:t>
      </w:r>
    </w:p>
  </w:footnote>
  <w:footnote w:id="10">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L 122, 10.5.2019, p. 1.</w:t>
      </w:r>
    </w:p>
  </w:footnote>
  <w:footnote w:id="11">
    <w:p w:rsidR="006D5CDA" w:rsidRPr="0013189A"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JO C 73, 28.2.2023, p. 4.</w:t>
      </w:r>
    </w:p>
  </w:footnote>
  <w:footnote w:id="12">
    <w:p w:rsidR="006D5CDA" w:rsidRPr="00E76528" w:rsidRDefault="006D5CDA" w:rsidP="00E76528">
      <w:pPr>
        <w:pStyle w:val="FootnoteText"/>
        <w:ind w:left="567" w:hanging="567"/>
        <w:rPr>
          <w:sz w:val="24"/>
          <w:lang w:val="ro-RO"/>
        </w:rPr>
      </w:pPr>
      <w:r w:rsidRPr="0013189A">
        <w:rPr>
          <w:rStyle w:val="FootnoteReference"/>
          <w:sz w:val="24"/>
          <w:lang w:val="ro-RO"/>
        </w:rPr>
        <w:footnoteRef/>
      </w:r>
      <w:r w:rsidR="00E76528" w:rsidRPr="0013189A">
        <w:rPr>
          <w:sz w:val="24"/>
          <w:lang w:val="ro-RO"/>
        </w:rPr>
        <w:t xml:space="preserve"> </w:t>
      </w:r>
      <w:r w:rsidR="00E76528" w:rsidRPr="0013189A">
        <w:rPr>
          <w:sz w:val="24"/>
          <w:lang w:val="ro-RO"/>
        </w:rPr>
        <w:tab/>
      </w:r>
      <w:r w:rsidRPr="0013189A">
        <w:rPr>
          <w:sz w:val="24"/>
          <w:lang w:val="ro-RO"/>
        </w:rPr>
        <w:t>Texte adoptate, P9_TA(2024)</w:t>
      </w:r>
      <w:r w:rsidR="00A43CE7" w:rsidRPr="0013189A">
        <w:rPr>
          <w:sz w:val="24"/>
          <w:lang w:val="ro-RO"/>
        </w:rPr>
        <w:t>028</w:t>
      </w:r>
      <w:r w:rsidR="0013189A" w:rsidRPr="0013189A">
        <w:rPr>
          <w:sz w:val="24"/>
          <w:lang w:val="ro-RO"/>
        </w:rPr>
        <w:t>0</w:t>
      </w:r>
      <w:r w:rsidRPr="0013189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65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65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65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RO"/>
    <w:docVar w:name="dvnumam" w:val="0"/>
    <w:docVar w:name="dvpe" w:val="753.509"/>
    <w:docVar w:name="dvrapporteur" w:val="Raportor: "/>
    <w:docVar w:name="dvtitre" w:val="1. Decizia Parlamentului European din 11 aprilie 2024 privind descărcarea de gestiune pentru execuția bugetului Centrului European pentru Dezvoltarea Formării Profesionale (Cedefop) aferent exercițiului financiar 2022(2023/2143(DEC))"/>
  </w:docVars>
  <w:rsids>
    <w:rsidRoot w:val="00320765"/>
    <w:rsid w:val="00002272"/>
    <w:rsid w:val="00064002"/>
    <w:rsid w:val="000677B9"/>
    <w:rsid w:val="000831BA"/>
    <w:rsid w:val="000A42CC"/>
    <w:rsid w:val="000D0495"/>
    <w:rsid w:val="000E7DD9"/>
    <w:rsid w:val="0010095E"/>
    <w:rsid w:val="00125B37"/>
    <w:rsid w:val="0013189A"/>
    <w:rsid w:val="00187494"/>
    <w:rsid w:val="001F32AE"/>
    <w:rsid w:val="002767FF"/>
    <w:rsid w:val="002B18FE"/>
    <w:rsid w:val="002B5493"/>
    <w:rsid w:val="0032076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5CDA"/>
    <w:rsid w:val="006F74FA"/>
    <w:rsid w:val="0072402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CE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528"/>
    <w:rsid w:val="00E7771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E040F"/>
  <w15:chartTrackingRefBased/>
  <w15:docId w15:val="{56110402-9444-40A0-B0BC-62C9D241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5CD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5CDA"/>
    <w:pPr>
      <w:spacing w:before="480" w:after="240"/>
    </w:pPr>
  </w:style>
  <w:style w:type="paragraph" w:customStyle="1" w:styleId="PageHeading">
    <w:name w:val="PageHeading"/>
    <w:basedOn w:val="Normal"/>
    <w:rsid w:val="006D5CDA"/>
    <w:pPr>
      <w:keepNext/>
      <w:spacing w:after="480"/>
      <w:jc w:val="center"/>
    </w:pPr>
    <w:rPr>
      <w:rFonts w:ascii="Arial" w:hAnsi="Arial" w:cs="Arial"/>
      <w:b/>
    </w:rPr>
  </w:style>
  <w:style w:type="paragraph" w:customStyle="1" w:styleId="NormalBold">
    <w:name w:val="NormalBold"/>
    <w:basedOn w:val="Normal"/>
    <w:rsid w:val="006D5CDA"/>
    <w:rPr>
      <w:b/>
    </w:rPr>
  </w:style>
  <w:style w:type="paragraph" w:customStyle="1" w:styleId="NormalHanging12a">
    <w:name w:val="NormalHanging12a"/>
    <w:basedOn w:val="Normal"/>
    <w:link w:val="NormalHanging12aChar"/>
    <w:rsid w:val="006D5CDA"/>
    <w:pPr>
      <w:spacing w:after="240"/>
      <w:ind w:left="567" w:hanging="567"/>
    </w:pPr>
  </w:style>
  <w:style w:type="paragraph" w:customStyle="1" w:styleId="NormalCenter12a">
    <w:name w:val="NormalCenter12a"/>
    <w:basedOn w:val="Normal"/>
    <w:rsid w:val="006D5CDA"/>
    <w:pPr>
      <w:spacing w:after="240"/>
      <w:jc w:val="center"/>
    </w:pPr>
  </w:style>
  <w:style w:type="paragraph" w:styleId="Header">
    <w:name w:val="header"/>
    <w:basedOn w:val="Normal"/>
    <w:link w:val="HeaderChar"/>
    <w:rsid w:val="006D5CDA"/>
    <w:pPr>
      <w:tabs>
        <w:tab w:val="center" w:pos="4513"/>
        <w:tab w:val="right" w:pos="9026"/>
      </w:tabs>
    </w:pPr>
  </w:style>
  <w:style w:type="character" w:customStyle="1" w:styleId="HeaderChar">
    <w:name w:val="Header Char"/>
    <w:basedOn w:val="DefaultParagraphFont"/>
    <w:link w:val="Header"/>
    <w:rsid w:val="006D5CDA"/>
    <w:rPr>
      <w:sz w:val="24"/>
      <w:lang w:val="ro-RO"/>
    </w:rPr>
  </w:style>
  <w:style w:type="paragraph" w:customStyle="1" w:styleId="EPFooter">
    <w:name w:val="EPFooter"/>
    <w:basedOn w:val="Normal"/>
    <w:rsid w:val="006D5CDA"/>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6D5CDA"/>
    <w:rPr>
      <w:sz w:val="24"/>
    </w:rPr>
  </w:style>
  <w:style w:type="paragraph" w:customStyle="1" w:styleId="Normal12Hanging">
    <w:name w:val="Normal12Hanging"/>
    <w:basedOn w:val="Normal"/>
    <w:link w:val="Normal12HangingChar"/>
    <w:rsid w:val="006D5CDA"/>
    <w:pPr>
      <w:spacing w:after="240"/>
      <w:ind w:left="567" w:hanging="567"/>
    </w:pPr>
    <w:rPr>
      <w:lang w:val="en-GB"/>
    </w:rPr>
  </w:style>
  <w:style w:type="paragraph" w:customStyle="1" w:styleId="Normal12a">
    <w:name w:val="Normal12a"/>
    <w:basedOn w:val="Normal"/>
    <w:rsid w:val="006D5CDA"/>
    <w:pPr>
      <w:spacing w:after="240"/>
    </w:pPr>
  </w:style>
  <w:style w:type="paragraph" w:customStyle="1" w:styleId="PageHeadingNotTOC">
    <w:name w:val="PageHeadingNotTOC"/>
    <w:basedOn w:val="Normal"/>
    <w:rsid w:val="006D5CDA"/>
    <w:pPr>
      <w:keepNext/>
      <w:spacing w:after="480"/>
      <w:jc w:val="center"/>
    </w:pPr>
    <w:rPr>
      <w:rFonts w:ascii="Arial" w:hAnsi="Arial" w:cs="Arial"/>
      <w:b/>
    </w:rPr>
  </w:style>
  <w:style w:type="character" w:customStyle="1" w:styleId="NormalHanging12aChar">
    <w:name w:val="NormalHanging12a Char"/>
    <w:basedOn w:val="DefaultParagraphFont"/>
    <w:link w:val="NormalHanging12a"/>
    <w:locked/>
    <w:rsid w:val="006D5CDA"/>
    <w:rPr>
      <w:sz w:val="24"/>
      <w:lang w:val="ro-RO"/>
    </w:rPr>
  </w:style>
  <w:style w:type="paragraph" w:customStyle="1" w:styleId="RollCallSymbols14pt">
    <w:name w:val="RollCallSymbols14pt"/>
    <w:basedOn w:val="Normal"/>
    <w:rsid w:val="006D5CD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5CDA"/>
    <w:pPr>
      <w:tabs>
        <w:tab w:val="center" w:pos="284"/>
        <w:tab w:val="left" w:pos="426"/>
      </w:tabs>
    </w:pPr>
    <w:rPr>
      <w:snapToGrid w:val="0"/>
      <w:lang w:eastAsia="en-US"/>
    </w:rPr>
  </w:style>
  <w:style w:type="paragraph" w:customStyle="1" w:styleId="RollCallVotes">
    <w:name w:val="RollCallVotes"/>
    <w:basedOn w:val="Normal"/>
    <w:rsid w:val="006D5CDA"/>
    <w:pPr>
      <w:spacing w:before="120" w:after="120"/>
      <w:jc w:val="center"/>
    </w:pPr>
    <w:rPr>
      <w:b/>
      <w:bCs/>
      <w:snapToGrid w:val="0"/>
      <w:sz w:val="16"/>
      <w:lang w:eastAsia="en-US"/>
    </w:rPr>
  </w:style>
  <w:style w:type="paragraph" w:customStyle="1" w:styleId="RollCallTable">
    <w:name w:val="RollCallTable"/>
    <w:basedOn w:val="Normal"/>
    <w:rsid w:val="006D5CDA"/>
    <w:pPr>
      <w:spacing w:before="120" w:after="120"/>
    </w:pPr>
    <w:rPr>
      <w:snapToGrid w:val="0"/>
      <w:sz w:val="16"/>
      <w:lang w:eastAsia="en-US"/>
    </w:rPr>
  </w:style>
  <w:style w:type="paragraph" w:customStyle="1" w:styleId="Normal24a">
    <w:name w:val="Normal24a"/>
    <w:basedOn w:val="Normal"/>
    <w:rsid w:val="006D5CDA"/>
    <w:pPr>
      <w:spacing w:after="480"/>
    </w:pPr>
  </w:style>
  <w:style w:type="paragraph" w:styleId="Footer">
    <w:name w:val="footer"/>
    <w:basedOn w:val="Normal"/>
    <w:link w:val="FooterChar"/>
    <w:rsid w:val="00E7771B"/>
    <w:pPr>
      <w:tabs>
        <w:tab w:val="center" w:pos="4513"/>
        <w:tab w:val="right" w:pos="9026"/>
      </w:tabs>
    </w:pPr>
  </w:style>
  <w:style w:type="character" w:customStyle="1" w:styleId="FooterChar">
    <w:name w:val="Footer Char"/>
    <w:basedOn w:val="DefaultParagraphFont"/>
    <w:link w:val="Footer"/>
    <w:rsid w:val="00E7771B"/>
    <w:rPr>
      <w:sz w:val="24"/>
      <w:lang w:val="ro-RO"/>
    </w:rPr>
  </w:style>
  <w:style w:type="paragraph" w:styleId="BalloonText">
    <w:name w:val="Balloon Text"/>
    <w:basedOn w:val="Normal"/>
    <w:link w:val="BalloonTextChar"/>
    <w:rsid w:val="000D0495"/>
    <w:rPr>
      <w:rFonts w:ascii="Segoe UI" w:hAnsi="Segoe UI" w:cs="Segoe UI"/>
      <w:sz w:val="18"/>
      <w:szCs w:val="18"/>
    </w:rPr>
  </w:style>
  <w:style w:type="character" w:customStyle="1" w:styleId="BalloonTextChar">
    <w:name w:val="Balloon Text Char"/>
    <w:basedOn w:val="DefaultParagraphFont"/>
    <w:link w:val="BalloonText"/>
    <w:rsid w:val="000D049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FC8C2-A236-43C9-8ED9-23DE125D4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4471</Words>
  <Characters>26186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2024-04-11T12:44:00Z</dcterms:created>
  <dcterms:modified xsi:type="dcterms:W3CDTF">2024-04-11T12:44:00Z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A9-0080/2024</vt:lpwstr>
  </property>
  <property fmtid="{D5CDD505-2E9C-101B-9397-08002B2CF9AE}" pid="4" name="&lt;Type&gt;">
    <vt:lpwstr>RR</vt:lpwstr>
  </property>
</Properties>
</file>