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749D" w:rsidTr="0010095E">
        <w:trPr>
          <w:trHeight w:hRule="exact" w:val="1418"/>
        </w:trPr>
        <w:tc>
          <w:tcPr>
            <w:tcW w:w="6804" w:type="dxa"/>
            <w:shd w:val="clear" w:color="auto" w:fill="auto"/>
            <w:vAlign w:val="center"/>
          </w:tcPr>
          <w:p w:rsidR="00751A4A" w:rsidRPr="0056749D" w:rsidRDefault="00566E52" w:rsidP="0010095E">
            <w:pPr>
              <w:pStyle w:val="EPName"/>
            </w:pPr>
            <w:r w:rsidRPr="0056749D">
              <w:t>Európsky parlament</w:t>
            </w:r>
          </w:p>
          <w:p w:rsidR="00751A4A" w:rsidRPr="0056749D" w:rsidRDefault="00817416" w:rsidP="00756632">
            <w:pPr>
              <w:pStyle w:val="EPTerm"/>
              <w:rPr>
                <w:rStyle w:val="HideTWBExt"/>
                <w:noProof w:val="0"/>
                <w:vanish w:val="0"/>
                <w:color w:val="auto"/>
              </w:rPr>
            </w:pPr>
            <w:r w:rsidRPr="0056749D">
              <w:t>2019-2024</w:t>
            </w:r>
          </w:p>
        </w:tc>
        <w:tc>
          <w:tcPr>
            <w:tcW w:w="2268" w:type="dxa"/>
            <w:shd w:val="clear" w:color="auto" w:fill="auto"/>
          </w:tcPr>
          <w:p w:rsidR="00751A4A" w:rsidRPr="0056749D" w:rsidRDefault="00187494" w:rsidP="0010095E">
            <w:pPr>
              <w:pStyle w:val="EPLogo"/>
            </w:pPr>
            <w:r w:rsidRPr="005674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749D" w:rsidRDefault="00D058B8" w:rsidP="004C5D52">
      <w:pPr>
        <w:pStyle w:val="LineTop"/>
      </w:pPr>
    </w:p>
    <w:p w:rsidR="00680577" w:rsidRPr="0056749D" w:rsidRDefault="00566E52" w:rsidP="00680577">
      <w:pPr>
        <w:pStyle w:val="EPBodyTA1"/>
      </w:pPr>
      <w:r w:rsidRPr="0056749D">
        <w:t>PRIJATÉ TEXTY</w:t>
      </w:r>
    </w:p>
    <w:p w:rsidR="00D058B8" w:rsidRPr="0056749D" w:rsidRDefault="00D058B8" w:rsidP="00D058B8">
      <w:pPr>
        <w:pStyle w:val="LineBottom"/>
      </w:pPr>
    </w:p>
    <w:p w:rsidR="00566E52" w:rsidRPr="0056749D" w:rsidRDefault="00566E52" w:rsidP="00566E52">
      <w:pPr>
        <w:pStyle w:val="ATHeading1"/>
      </w:pPr>
      <w:bookmarkStart w:id="0" w:name="TANumber"/>
      <w:r w:rsidRPr="0056749D">
        <w:t>P9_TA(2024)0</w:t>
      </w:r>
      <w:r w:rsidR="0056749D" w:rsidRPr="0056749D">
        <w:t>23</w:t>
      </w:r>
      <w:r w:rsidR="00693DF5">
        <w:t>8</w:t>
      </w:r>
      <w:bookmarkEnd w:id="0"/>
    </w:p>
    <w:p w:rsidR="00566E52" w:rsidRPr="0056749D" w:rsidRDefault="00566E52" w:rsidP="00566E52">
      <w:pPr>
        <w:pStyle w:val="ATHeading2"/>
      </w:pPr>
      <w:bookmarkStart w:id="1" w:name="title"/>
      <w:r w:rsidRPr="0056749D">
        <w:t>Absolutórium za rok 2022: Európske stredisko pre rozvoj odborného vzdelávania (</w:t>
      </w:r>
      <w:proofErr w:type="spellStart"/>
      <w:r w:rsidRPr="0056749D">
        <w:t>Cedefop</w:t>
      </w:r>
      <w:proofErr w:type="spellEnd"/>
      <w:r w:rsidRPr="0056749D">
        <w:t>)</w:t>
      </w:r>
      <w:bookmarkEnd w:id="1"/>
    </w:p>
    <w:p w:rsidR="00566E52" w:rsidRPr="0056749D" w:rsidRDefault="00566E52" w:rsidP="00566E52">
      <w:pPr>
        <w:rPr>
          <w:i/>
          <w:vanish/>
        </w:rPr>
      </w:pPr>
      <w:r w:rsidRPr="0056749D">
        <w:rPr>
          <w:i/>
        </w:rPr>
        <w:fldChar w:fldCharType="begin"/>
      </w:r>
      <w:r w:rsidRPr="0056749D">
        <w:rPr>
          <w:i/>
        </w:rPr>
        <w:instrText xml:space="preserve"> TC"(</w:instrText>
      </w:r>
      <w:bookmarkStart w:id="2" w:name="DocNumber"/>
      <w:r w:rsidRPr="0056749D">
        <w:rPr>
          <w:i/>
        </w:rPr>
        <w:instrText>A9-0080/2024</w:instrText>
      </w:r>
      <w:bookmarkEnd w:id="2"/>
      <w:r w:rsidRPr="0056749D">
        <w:rPr>
          <w:i/>
        </w:rPr>
        <w:instrText xml:space="preserve"> - Spravodajca: Petri Sarvamaa)"\l3 \n&gt; \* MERGEFORMAT </w:instrText>
      </w:r>
      <w:r w:rsidRPr="0056749D">
        <w:rPr>
          <w:i/>
        </w:rPr>
        <w:fldChar w:fldCharType="end"/>
      </w:r>
    </w:p>
    <w:p w:rsidR="00566E52" w:rsidRPr="0056749D" w:rsidRDefault="00566E52" w:rsidP="00566E52">
      <w:pPr>
        <w:rPr>
          <w:vanish/>
        </w:rPr>
      </w:pPr>
      <w:bookmarkStart w:id="3" w:name="Commission"/>
      <w:r w:rsidRPr="0056749D">
        <w:rPr>
          <w:vanish/>
        </w:rPr>
        <w:t>Výbor pre kontrolu rozpočtu</w:t>
      </w:r>
      <w:bookmarkEnd w:id="3"/>
    </w:p>
    <w:p w:rsidR="00566E52" w:rsidRPr="0056749D" w:rsidRDefault="00566E52" w:rsidP="00566E52">
      <w:pPr>
        <w:rPr>
          <w:vanish/>
        </w:rPr>
      </w:pPr>
      <w:bookmarkStart w:id="4" w:name="PE"/>
      <w:r w:rsidRPr="0056749D">
        <w:rPr>
          <w:vanish/>
        </w:rPr>
        <w:t>PE753.509</w:t>
      </w:r>
      <w:bookmarkEnd w:id="4"/>
    </w:p>
    <w:p w:rsidR="00566E52" w:rsidRPr="0056749D" w:rsidRDefault="008D2288" w:rsidP="00566E52">
      <w:pPr>
        <w:pStyle w:val="ATHeading3"/>
      </w:pPr>
      <w:bookmarkStart w:id="5" w:name="Sujet"/>
      <w:r w:rsidRPr="0056749D">
        <w:t>1. R</w:t>
      </w:r>
      <w:r w:rsidR="00566E52" w:rsidRPr="0056749D">
        <w:t>ozhodnutie Európskeho parlamentu z</w:t>
      </w:r>
      <w:r w:rsidR="004222C3" w:rsidRPr="0056749D">
        <w:t> 11</w:t>
      </w:r>
      <w:r w:rsidR="00566E52" w:rsidRPr="0056749D">
        <w:t>. apríla 2024 o absolutóriu za plnenie rozpočtu Európskeho strediska pre rozvoj odborného vzdelávania (</w:t>
      </w:r>
      <w:proofErr w:type="spellStart"/>
      <w:r w:rsidR="00566E52" w:rsidRPr="0056749D">
        <w:t>Cedefop</w:t>
      </w:r>
      <w:proofErr w:type="spellEnd"/>
      <w:r w:rsidR="00566E52" w:rsidRPr="0056749D">
        <w:t>) za rozpočtový rok 2022</w:t>
      </w:r>
      <w:bookmarkEnd w:id="5"/>
      <w:r w:rsidR="00566E52" w:rsidRPr="0056749D">
        <w:t xml:space="preserve"> </w:t>
      </w:r>
      <w:bookmarkStart w:id="6" w:name="References"/>
      <w:r w:rsidR="00566E52" w:rsidRPr="0056749D">
        <w:t>(2023/2143(DEC))</w:t>
      </w:r>
      <w:bookmarkEnd w:id="6"/>
    </w:p>
    <w:p w:rsidR="00697A62" w:rsidRPr="0056749D" w:rsidRDefault="00697A62" w:rsidP="00697A62">
      <w:pPr>
        <w:pStyle w:val="EPComma"/>
      </w:pPr>
      <w:bookmarkStart w:id="7" w:name="TextBodyBegin"/>
      <w:bookmarkEnd w:id="7"/>
      <w:r w:rsidRPr="0056749D">
        <w:rPr>
          <w:i/>
        </w:rPr>
        <w:t>Európsky parlament</w:t>
      </w:r>
      <w:r w:rsidRPr="0056749D">
        <w:t>,</w:t>
      </w:r>
    </w:p>
    <w:p w:rsidR="00697A62" w:rsidRPr="0056749D" w:rsidRDefault="00697A62" w:rsidP="00697A62">
      <w:pPr>
        <w:pStyle w:val="NormalHanging12a"/>
      </w:pPr>
      <w:r w:rsidRPr="0056749D">
        <w:t>–</w:t>
      </w:r>
      <w:r w:rsidRPr="0056749D">
        <w:tab/>
        <w:t>so zreteľom na konečnú ročnú účtovnú závierku Európskeho strediska pre rozvoj odborného vzdelávania (</w:t>
      </w:r>
      <w:proofErr w:type="spellStart"/>
      <w:r w:rsidRPr="0056749D">
        <w:t>Cedefop</w:t>
      </w:r>
      <w:proofErr w:type="spellEnd"/>
      <w:r w:rsidRPr="0056749D">
        <w:t>) za rozpočtový rok 2022,</w:t>
      </w:r>
    </w:p>
    <w:p w:rsidR="00697A62" w:rsidRPr="0056749D" w:rsidRDefault="00697A62" w:rsidP="00697A62">
      <w:pPr>
        <w:pStyle w:val="NormalHanging12a"/>
      </w:pPr>
      <w:r w:rsidRPr="0056749D">
        <w:t>–</w:t>
      </w:r>
      <w:r w:rsidRPr="0056749D">
        <w:tab/>
        <w:t>so zreteľom na výročnú správu Dvora audítorov o agentúrach EÚ za rozpočtový rok 2022 spolu s odpoveďami agentúr</w:t>
      </w:r>
      <w:r w:rsidRPr="0056749D">
        <w:rPr>
          <w:rStyle w:val="FootnoteReference"/>
        </w:rPr>
        <w:footnoteReference w:id="1"/>
      </w:r>
      <w:r w:rsidRPr="0056749D">
        <w:t>,</w:t>
      </w:r>
    </w:p>
    <w:p w:rsidR="00697A62" w:rsidRPr="0056749D" w:rsidRDefault="00697A62" w:rsidP="00697A62">
      <w:pPr>
        <w:pStyle w:val="NormalHanging12a"/>
      </w:pPr>
      <w:r w:rsidRPr="0056749D">
        <w:t>–</w:t>
      </w:r>
      <w:r w:rsidRPr="0056749D">
        <w:tab/>
        <w:t>so zreteľom na vyhlásenie o vierohodnosti</w:t>
      </w:r>
      <w:r w:rsidRPr="0056749D">
        <w:rPr>
          <w:rStyle w:val="FootnoteReference"/>
        </w:rPr>
        <w:footnoteReference w:id="2"/>
      </w:r>
      <w:r w:rsidRPr="0056749D">
        <w:t xml:space="preserve"> týkajúce sa spoľahlivosti účtov a zákonnosti a správnosti príslušných operácií, ktoré poskytol Dvor audítorov za rozpočtový rok 2022 v súlade s článkom 287 Zmluvy o fungovaní Európskej únie,</w:t>
      </w:r>
    </w:p>
    <w:p w:rsidR="00697A62" w:rsidRPr="0056749D" w:rsidRDefault="00697A62" w:rsidP="00697A62">
      <w:pPr>
        <w:pStyle w:val="NormalHanging12a"/>
      </w:pPr>
      <w:r w:rsidRPr="0056749D">
        <w:t>–</w:t>
      </w:r>
      <w:r w:rsidRPr="0056749D">
        <w:tab/>
        <w:t>so zreteľom na odporúčanie Rady z 22. februára 2024 o udelení absolutória stredisku za plnenie rozpočtu za rozpočtový rok 2022 (</w:t>
      </w:r>
      <w:r w:rsidR="004222C3" w:rsidRPr="0056749D">
        <w:t>06180</w:t>
      </w:r>
      <w:r w:rsidRPr="0056749D">
        <w:t>/2024 – C9</w:t>
      </w:r>
      <w:r w:rsidRPr="0056749D">
        <w:noBreakHyphen/>
      </w:r>
      <w:r w:rsidR="004222C3" w:rsidRPr="0056749D">
        <w:t>0081</w:t>
      </w:r>
      <w:r w:rsidRPr="0056749D">
        <w:t>/2024),</w:t>
      </w:r>
    </w:p>
    <w:p w:rsidR="00697A62" w:rsidRPr="0056749D" w:rsidRDefault="00697A62" w:rsidP="00697A62">
      <w:pPr>
        <w:pStyle w:val="NormalHanging12a"/>
      </w:pPr>
      <w:r w:rsidRPr="0056749D">
        <w:t>–</w:t>
      </w:r>
      <w:r w:rsidRPr="0056749D">
        <w:tab/>
        <w:t>so zreteľom na článok 319 Zmluvy o fungovaní Európskej únie,</w:t>
      </w:r>
    </w:p>
    <w:p w:rsidR="00697A62" w:rsidRPr="0056749D" w:rsidRDefault="00697A62" w:rsidP="00697A62">
      <w:pPr>
        <w:pStyle w:val="NormalHanging12a"/>
      </w:pPr>
      <w:r w:rsidRPr="0056749D">
        <w:t>–</w:t>
      </w:r>
      <w:r w:rsidRPr="0056749D">
        <w:tab/>
        <w:t xml:space="preserve">so zreteľom na nariadenie Európskeho parlamentu a Rady (EÚ, </w:t>
      </w:r>
      <w:proofErr w:type="spellStart"/>
      <w:r w:rsidRPr="0056749D">
        <w:t>Euratom</w:t>
      </w:r>
      <w:proofErr w:type="spellEnd"/>
      <w:r w:rsidRPr="0056749D">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6749D">
        <w:t>Euratom</w:t>
      </w:r>
      <w:proofErr w:type="spellEnd"/>
      <w:r w:rsidRPr="0056749D">
        <w:t>) č. 966/2012</w:t>
      </w:r>
      <w:r w:rsidRPr="0056749D">
        <w:rPr>
          <w:rStyle w:val="FootnoteReference"/>
        </w:rPr>
        <w:footnoteReference w:id="3"/>
      </w:r>
      <w:r w:rsidRPr="0056749D">
        <w:t>, a najmä na jeho článok 70,</w:t>
      </w:r>
    </w:p>
    <w:p w:rsidR="00697A62" w:rsidRPr="0056749D" w:rsidRDefault="00697A62" w:rsidP="00697A62">
      <w:pPr>
        <w:pStyle w:val="NormalHanging12a"/>
      </w:pPr>
      <w:r w:rsidRPr="0056749D">
        <w:t>–</w:t>
      </w:r>
      <w:r w:rsidRPr="0056749D">
        <w:tab/>
        <w:t xml:space="preserve">so zreteľom na nariadenie Európskeho parlamentu a Rady (EÚ) 2019/128 zo 16. januára 2019, ktorým sa zriaďuje Európske stredisko pre rozvoj odborného vzdelávania </w:t>
      </w:r>
      <w:r w:rsidRPr="0056749D">
        <w:lastRenderedPageBreak/>
        <w:t>(</w:t>
      </w:r>
      <w:proofErr w:type="spellStart"/>
      <w:r w:rsidRPr="0056749D">
        <w:t>Cedefop</w:t>
      </w:r>
      <w:proofErr w:type="spellEnd"/>
      <w:r w:rsidRPr="0056749D">
        <w:t>) a ktorým sa zrušuje nariadenie Rady (EHS) č. 337/75</w:t>
      </w:r>
      <w:r w:rsidRPr="0056749D">
        <w:rPr>
          <w:rStyle w:val="FootnoteReference"/>
        </w:rPr>
        <w:footnoteReference w:id="4"/>
      </w:r>
      <w:r w:rsidRPr="0056749D">
        <w:t>, a najmä na jeho článok 15,</w:t>
      </w:r>
    </w:p>
    <w:p w:rsidR="00697A62" w:rsidRPr="0056749D" w:rsidRDefault="00697A62" w:rsidP="00697A62">
      <w:pPr>
        <w:pStyle w:val="NormalHanging12a"/>
      </w:pPr>
      <w:r w:rsidRPr="0056749D">
        <w:t>–</w:t>
      </w:r>
      <w:r w:rsidRPr="0056749D">
        <w:tab/>
        <w:t>so zreteľom na delegované nariadenie Komisie (EÚ) 2019/715 z 18. decembra 2018 o rámcovom nariadení o rozpočtových pravidlách pre subjekty zriadené podľa ZFEÚ a Zmluvy o </w:t>
      </w:r>
      <w:proofErr w:type="spellStart"/>
      <w:r w:rsidRPr="0056749D">
        <w:t>Euratome</w:t>
      </w:r>
      <w:proofErr w:type="spellEnd"/>
      <w:r w:rsidRPr="0056749D">
        <w:t xml:space="preserve"> a uvedené v článku 70 nariadenia Európskeho parlamentu a Rady (EÚ, </w:t>
      </w:r>
      <w:proofErr w:type="spellStart"/>
      <w:r w:rsidRPr="0056749D">
        <w:t>Euratom</w:t>
      </w:r>
      <w:proofErr w:type="spellEnd"/>
      <w:r w:rsidRPr="0056749D">
        <w:t>) 2018/1046</w:t>
      </w:r>
      <w:r w:rsidRPr="0056749D">
        <w:rPr>
          <w:rStyle w:val="FootnoteReference"/>
        </w:rPr>
        <w:footnoteReference w:id="5"/>
      </w:r>
      <w:r w:rsidRPr="0056749D">
        <w:t>, a najmä na jeho článok 105,</w:t>
      </w:r>
    </w:p>
    <w:p w:rsidR="00697A62" w:rsidRPr="0056749D" w:rsidRDefault="00697A62" w:rsidP="00697A62">
      <w:pPr>
        <w:pStyle w:val="NormalHanging12a"/>
      </w:pPr>
      <w:r w:rsidRPr="0056749D">
        <w:t>–</w:t>
      </w:r>
      <w:r w:rsidRPr="0056749D">
        <w:tab/>
        <w:t>so zreteľom na článok 100 a prílohu V k rokovaciemu poriadku,</w:t>
      </w:r>
    </w:p>
    <w:p w:rsidR="00697A62" w:rsidRPr="0056749D" w:rsidRDefault="00697A62" w:rsidP="00697A62">
      <w:pPr>
        <w:pStyle w:val="NormalHanging12a"/>
      </w:pPr>
      <w:r w:rsidRPr="0056749D">
        <w:t>–</w:t>
      </w:r>
      <w:r w:rsidRPr="0056749D">
        <w:tab/>
        <w:t>so zreteľom na stanovisko Výboru pre zamestnanosť a sociálne veci,</w:t>
      </w:r>
    </w:p>
    <w:p w:rsidR="00697A62" w:rsidRPr="0056749D" w:rsidRDefault="00697A62" w:rsidP="00697A62">
      <w:pPr>
        <w:pStyle w:val="NormalHanging12a"/>
      </w:pPr>
      <w:r w:rsidRPr="0056749D">
        <w:t>–</w:t>
      </w:r>
      <w:r w:rsidRPr="0056749D">
        <w:tab/>
        <w:t>so zreteľom na správu Výboru pre kontrolu rozpočtu (A9-0080/2024),</w:t>
      </w:r>
    </w:p>
    <w:p w:rsidR="00697A62" w:rsidRPr="0056749D" w:rsidRDefault="00697A62" w:rsidP="00697A62">
      <w:pPr>
        <w:pStyle w:val="NormalHanging12a"/>
      </w:pPr>
      <w:r w:rsidRPr="0056749D">
        <w:t>1.</w:t>
      </w:r>
      <w:r w:rsidRPr="0056749D">
        <w:tab/>
        <w:t>udeľuje výkonnému riaditeľovi Európskeho strediska pre rozvoj odborného vzdelávania (</w:t>
      </w:r>
      <w:proofErr w:type="spellStart"/>
      <w:r w:rsidRPr="0056749D">
        <w:t>Cedefop</w:t>
      </w:r>
      <w:proofErr w:type="spellEnd"/>
      <w:r w:rsidRPr="0056749D">
        <w:t>) absolutórium za plnenie rozpočtu strediska za rozpočtový rok 2022;</w:t>
      </w:r>
    </w:p>
    <w:p w:rsidR="00697A62" w:rsidRPr="0056749D" w:rsidRDefault="00697A62" w:rsidP="00697A62">
      <w:pPr>
        <w:pStyle w:val="NormalHanging12a"/>
      </w:pPr>
      <w:r w:rsidRPr="0056749D">
        <w:t>2.</w:t>
      </w:r>
      <w:r w:rsidRPr="0056749D">
        <w:tab/>
        <w:t>uvádza svoje poznámky v priloženom uznesení;</w:t>
      </w:r>
    </w:p>
    <w:p w:rsidR="00697A62" w:rsidRPr="0056749D" w:rsidRDefault="00697A62" w:rsidP="00697A62">
      <w:pPr>
        <w:pStyle w:val="NormalHanging12a"/>
      </w:pPr>
      <w:r w:rsidRPr="0056749D">
        <w:t>3.</w:t>
      </w:r>
      <w:r w:rsidRPr="0056749D">
        <w:tab/>
        <w:t>poveruje svoju predsedníčku, aby postúpila toto rozhodnutie a uznesenie, ktoré je jeho neoddeliteľnou súčasťou, výkonnému riaditeľovi Európskeho strediska pre rozvoj odborného vzdelávania (</w:t>
      </w:r>
      <w:proofErr w:type="spellStart"/>
      <w:r w:rsidRPr="0056749D">
        <w:t>Cedefop</w:t>
      </w:r>
      <w:proofErr w:type="spellEnd"/>
      <w:r w:rsidRPr="0056749D">
        <w:t>), Rade, Komisii a Dvoru audítorov a aby zabezpečila ich uverejnenie v </w:t>
      </w:r>
      <w:r w:rsidRPr="0056749D">
        <w:rPr>
          <w:i/>
        </w:rPr>
        <w:t>Úradnom vestníku Európskej únie</w:t>
      </w:r>
      <w:r w:rsidRPr="0056749D">
        <w:t xml:space="preserve"> (v sérii L).</w:t>
      </w:r>
    </w:p>
    <w:p w:rsidR="00697A62" w:rsidRPr="0056749D" w:rsidRDefault="00697A62" w:rsidP="00697A62"/>
    <w:p w:rsidR="00697A62" w:rsidRPr="0056749D" w:rsidRDefault="00697A62" w:rsidP="00697A62">
      <w:pPr>
        <w:pStyle w:val="PageHeading"/>
        <w:sectPr w:rsidR="00697A62" w:rsidRPr="0056749D" w:rsidSect="0020731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97A62" w:rsidRPr="0056749D" w:rsidRDefault="00697A62" w:rsidP="008D2288">
      <w:pPr>
        <w:pStyle w:val="ATHeading3"/>
      </w:pPr>
      <w:bookmarkStart w:id="8" w:name="_Toc161845029"/>
      <w:r w:rsidRPr="0056749D">
        <w:lastRenderedPageBreak/>
        <w:t xml:space="preserve">2. </w:t>
      </w:r>
      <w:bookmarkEnd w:id="8"/>
      <w:r w:rsidR="008D2288" w:rsidRPr="0056749D">
        <w:t>Rozhodnutie Európskeho parlamentu z</w:t>
      </w:r>
      <w:r w:rsidR="004222C3" w:rsidRPr="0056749D">
        <w:t> 11</w:t>
      </w:r>
      <w:r w:rsidR="008D2288" w:rsidRPr="0056749D">
        <w:t xml:space="preserve">. apríla 2024 </w:t>
      </w:r>
      <w:r w:rsidRPr="0056749D">
        <w:t>o účtovnej závierke Európskeho strediska pre rozvoj odborného vzdelávania (</w:t>
      </w:r>
      <w:proofErr w:type="spellStart"/>
      <w:r w:rsidRPr="0056749D">
        <w:t>Cedefop</w:t>
      </w:r>
      <w:proofErr w:type="spellEnd"/>
      <w:r w:rsidRPr="0056749D">
        <w:t>) za rozpočtový rok 2022</w:t>
      </w:r>
      <w:r w:rsidR="008D2288" w:rsidRPr="0056749D">
        <w:t xml:space="preserve"> </w:t>
      </w:r>
      <w:r w:rsidRPr="0056749D">
        <w:t>(2023/2143(DEC))</w:t>
      </w:r>
    </w:p>
    <w:p w:rsidR="00697A62" w:rsidRPr="0056749D" w:rsidRDefault="00697A62" w:rsidP="00697A62">
      <w:pPr>
        <w:pStyle w:val="EPComma"/>
      </w:pPr>
      <w:r w:rsidRPr="0056749D">
        <w:rPr>
          <w:i/>
        </w:rPr>
        <w:t>Európsky parlament</w:t>
      </w:r>
      <w:r w:rsidRPr="0056749D">
        <w:t>,</w:t>
      </w:r>
    </w:p>
    <w:p w:rsidR="00697A62" w:rsidRPr="0056749D" w:rsidRDefault="00697A62" w:rsidP="00697A62">
      <w:pPr>
        <w:pStyle w:val="NormalHanging12a"/>
      </w:pPr>
      <w:r w:rsidRPr="0056749D">
        <w:t>–</w:t>
      </w:r>
      <w:r w:rsidRPr="0056749D">
        <w:tab/>
        <w:t>so zreteľom na konečnú ročnú účtovnú závierku Európskeho strediska pre rozvoj odborného vzdelávania (</w:t>
      </w:r>
      <w:proofErr w:type="spellStart"/>
      <w:r w:rsidRPr="0056749D">
        <w:t>Cedefop</w:t>
      </w:r>
      <w:proofErr w:type="spellEnd"/>
      <w:r w:rsidRPr="0056749D">
        <w:t>) za rozpočtový rok 2022,</w:t>
      </w:r>
    </w:p>
    <w:p w:rsidR="00697A62" w:rsidRPr="0056749D" w:rsidRDefault="00697A62" w:rsidP="00697A62">
      <w:pPr>
        <w:pStyle w:val="NormalHanging12a"/>
      </w:pPr>
      <w:r w:rsidRPr="0056749D">
        <w:t>–</w:t>
      </w:r>
      <w:r w:rsidRPr="0056749D">
        <w:tab/>
        <w:t>so zreteľom na výročnú správu Dvora audítorov o agentúrach EÚ za rozpočtový rok 2022 spolu s odpoveďami agentúr</w:t>
      </w:r>
      <w:r w:rsidRPr="0056749D">
        <w:rPr>
          <w:rStyle w:val="FootnoteReference"/>
        </w:rPr>
        <w:footnoteReference w:id="6"/>
      </w:r>
      <w:r w:rsidRPr="0056749D">
        <w:t>,</w:t>
      </w:r>
    </w:p>
    <w:p w:rsidR="00697A62" w:rsidRPr="0056749D" w:rsidRDefault="00697A62" w:rsidP="00697A62">
      <w:pPr>
        <w:pStyle w:val="NormalHanging12a"/>
      </w:pPr>
      <w:r w:rsidRPr="0056749D">
        <w:t>–</w:t>
      </w:r>
      <w:r w:rsidRPr="0056749D">
        <w:tab/>
        <w:t>so zreteľom na vyhlásenie o vierohodnosti</w:t>
      </w:r>
      <w:r w:rsidRPr="0056749D">
        <w:rPr>
          <w:rStyle w:val="FootnoteReference"/>
        </w:rPr>
        <w:footnoteReference w:id="7"/>
      </w:r>
      <w:r w:rsidRPr="0056749D">
        <w:t xml:space="preserve"> týkajúce sa spoľahlivosti účtov a zákonnosti a správnosti príslušných operácií, ktoré poskytol Dvor audítorov za rozpočtový rok 2022 v súlade s článkom 287 Zmluvy o fungovaní Európskej únie,</w:t>
      </w:r>
    </w:p>
    <w:p w:rsidR="00697A62" w:rsidRPr="0056749D" w:rsidRDefault="00697A62" w:rsidP="00697A62">
      <w:pPr>
        <w:pStyle w:val="NormalHanging12a"/>
      </w:pPr>
      <w:r w:rsidRPr="0056749D">
        <w:t>–</w:t>
      </w:r>
      <w:r w:rsidRPr="0056749D">
        <w:tab/>
        <w:t>so zreteľom na odporúčanie Rady z 22. februára 2024 o udelení absolutória stredisku za plnenie rozpočtu za rozpočtový rok 2022 (</w:t>
      </w:r>
      <w:r w:rsidR="004222C3" w:rsidRPr="0056749D">
        <w:t>06180</w:t>
      </w:r>
      <w:r w:rsidRPr="0056749D">
        <w:t>/2024 – C9</w:t>
      </w:r>
      <w:r w:rsidRPr="0056749D">
        <w:noBreakHyphen/>
      </w:r>
      <w:r w:rsidR="004222C3" w:rsidRPr="0056749D">
        <w:t>0081</w:t>
      </w:r>
      <w:r w:rsidRPr="0056749D">
        <w:t>/2024),</w:t>
      </w:r>
    </w:p>
    <w:p w:rsidR="00697A62" w:rsidRPr="0056749D" w:rsidRDefault="00697A62" w:rsidP="00697A62">
      <w:pPr>
        <w:pStyle w:val="NormalHanging12a"/>
      </w:pPr>
      <w:r w:rsidRPr="0056749D">
        <w:t>–</w:t>
      </w:r>
      <w:r w:rsidRPr="0056749D">
        <w:tab/>
        <w:t>so zreteľom na článok 319 Zmluvy o fungovaní Európskej únie,</w:t>
      </w:r>
    </w:p>
    <w:p w:rsidR="00697A62" w:rsidRPr="0056749D" w:rsidRDefault="00697A62" w:rsidP="00697A62">
      <w:pPr>
        <w:pStyle w:val="NormalHanging12a"/>
      </w:pPr>
      <w:r w:rsidRPr="0056749D">
        <w:t>–</w:t>
      </w:r>
      <w:r w:rsidRPr="0056749D">
        <w:tab/>
        <w:t xml:space="preserve">so zreteľom na nariadenie Európskeho parlamentu a Rady (EÚ, </w:t>
      </w:r>
      <w:proofErr w:type="spellStart"/>
      <w:r w:rsidRPr="0056749D">
        <w:t>Euratom</w:t>
      </w:r>
      <w:proofErr w:type="spellEnd"/>
      <w:r w:rsidRPr="0056749D">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6749D">
        <w:t>Euratom</w:t>
      </w:r>
      <w:proofErr w:type="spellEnd"/>
      <w:r w:rsidRPr="0056749D">
        <w:t>) č. 966/2012</w:t>
      </w:r>
      <w:r w:rsidRPr="0056749D">
        <w:rPr>
          <w:rStyle w:val="FootnoteReference"/>
        </w:rPr>
        <w:footnoteReference w:id="8"/>
      </w:r>
      <w:r w:rsidRPr="0056749D">
        <w:t>, a najmä na jeho článok 70,</w:t>
      </w:r>
    </w:p>
    <w:p w:rsidR="00697A62" w:rsidRPr="0056749D" w:rsidRDefault="00697A62" w:rsidP="00697A62">
      <w:pPr>
        <w:pStyle w:val="NormalHanging12a"/>
      </w:pPr>
      <w:r w:rsidRPr="0056749D">
        <w:t>–</w:t>
      </w:r>
      <w:r w:rsidRPr="0056749D">
        <w:tab/>
        <w:t>so zreteľom na nariadenie Európskeho parlamentu a Rady (EÚ) 2019/128 zo 16. januára 2019, ktorým sa zriaďuje Európske stredisko pre rozvoj odborného vzdelávania (</w:t>
      </w:r>
      <w:proofErr w:type="spellStart"/>
      <w:r w:rsidRPr="0056749D">
        <w:t>Cedefop</w:t>
      </w:r>
      <w:proofErr w:type="spellEnd"/>
      <w:r w:rsidRPr="0056749D">
        <w:t>) a ktorým sa zrušuje nariadenie Rady (EHS) č. 337/75</w:t>
      </w:r>
      <w:r w:rsidRPr="0056749D">
        <w:rPr>
          <w:rStyle w:val="FootnoteReference"/>
        </w:rPr>
        <w:footnoteReference w:id="9"/>
      </w:r>
      <w:r w:rsidRPr="0056749D">
        <w:t>, a najmä na jeho článok 15,</w:t>
      </w:r>
    </w:p>
    <w:p w:rsidR="00697A62" w:rsidRPr="0056749D" w:rsidRDefault="00697A62" w:rsidP="00697A62">
      <w:pPr>
        <w:pStyle w:val="NormalHanging12a"/>
      </w:pPr>
      <w:r w:rsidRPr="0056749D">
        <w:t>–</w:t>
      </w:r>
      <w:r w:rsidRPr="0056749D">
        <w:tab/>
        <w:t>so zreteľom na delegované nariadenie Komisie (EÚ) 2019/715 z 18. decembra 2018 o rámcovom nariadení o rozpočtových pravidlách pre subjekty zriadené podľa ZFEÚ a Zmluvy o </w:t>
      </w:r>
      <w:proofErr w:type="spellStart"/>
      <w:r w:rsidRPr="0056749D">
        <w:t>Euratome</w:t>
      </w:r>
      <w:proofErr w:type="spellEnd"/>
      <w:r w:rsidRPr="0056749D">
        <w:t xml:space="preserve"> a uvedené v článku 70 nariadenia Európskeho parlamentu a Rady (EÚ, </w:t>
      </w:r>
      <w:proofErr w:type="spellStart"/>
      <w:r w:rsidRPr="0056749D">
        <w:t>Euratom</w:t>
      </w:r>
      <w:proofErr w:type="spellEnd"/>
      <w:r w:rsidRPr="0056749D">
        <w:t xml:space="preserve">) </w:t>
      </w:r>
      <w:bookmarkStart w:id="9" w:name="_GoBack"/>
      <w:bookmarkEnd w:id="9"/>
      <w:r w:rsidRPr="0056749D">
        <w:t>2018/1046</w:t>
      </w:r>
      <w:r w:rsidRPr="0056749D">
        <w:rPr>
          <w:rStyle w:val="FootnoteReference"/>
        </w:rPr>
        <w:footnoteReference w:id="10"/>
      </w:r>
      <w:r w:rsidRPr="0056749D">
        <w:t>, a najmä na jeho článok 105,</w:t>
      </w:r>
    </w:p>
    <w:p w:rsidR="00697A62" w:rsidRPr="0056749D" w:rsidRDefault="00697A62" w:rsidP="00697A62">
      <w:pPr>
        <w:pStyle w:val="NormalHanging12a"/>
      </w:pPr>
      <w:r w:rsidRPr="0056749D">
        <w:t>–</w:t>
      </w:r>
      <w:r w:rsidRPr="0056749D">
        <w:tab/>
        <w:t>so zreteľom na článok 100 a prílohu V k rokovaciemu poriadku,</w:t>
      </w:r>
    </w:p>
    <w:p w:rsidR="00697A62" w:rsidRPr="0056749D" w:rsidRDefault="00697A62" w:rsidP="00697A62">
      <w:pPr>
        <w:pStyle w:val="NormalHanging12a"/>
      </w:pPr>
      <w:r w:rsidRPr="0056749D">
        <w:t>–</w:t>
      </w:r>
      <w:r w:rsidRPr="0056749D">
        <w:tab/>
        <w:t>so zreteľom na stanovisko Výboru pre zamestnanosť a sociálne veci,</w:t>
      </w:r>
    </w:p>
    <w:p w:rsidR="00697A62" w:rsidRPr="0056749D" w:rsidRDefault="00697A62" w:rsidP="00697A62">
      <w:pPr>
        <w:pStyle w:val="NormalHanging12a"/>
      </w:pPr>
      <w:r w:rsidRPr="0056749D">
        <w:t>–</w:t>
      </w:r>
      <w:r w:rsidRPr="0056749D">
        <w:tab/>
        <w:t>so zreteľom na správu Výboru pre kontrolu rozpočtu (A9-0080/2024),</w:t>
      </w:r>
    </w:p>
    <w:p w:rsidR="00697A62" w:rsidRPr="0056749D" w:rsidRDefault="00697A62" w:rsidP="00697A62">
      <w:pPr>
        <w:pStyle w:val="NormalHanging12a"/>
      </w:pPr>
      <w:r w:rsidRPr="0056749D">
        <w:t>1.</w:t>
      </w:r>
      <w:r w:rsidRPr="0056749D">
        <w:tab/>
        <w:t>schvaľuje účtovnú závierku Európskeho strediska pre rozvoj odborného vzdelávania (</w:t>
      </w:r>
      <w:proofErr w:type="spellStart"/>
      <w:r w:rsidRPr="0056749D">
        <w:t>Cedefop</w:t>
      </w:r>
      <w:proofErr w:type="spellEnd"/>
      <w:r w:rsidRPr="0056749D">
        <w:t>) za rozpočtový rok 2022;</w:t>
      </w:r>
    </w:p>
    <w:p w:rsidR="00697A62" w:rsidRPr="0056749D" w:rsidRDefault="00697A62" w:rsidP="00697A62">
      <w:pPr>
        <w:pStyle w:val="NormalHanging12a"/>
      </w:pPr>
      <w:r w:rsidRPr="0056749D">
        <w:t>2.</w:t>
      </w:r>
      <w:r w:rsidRPr="0056749D">
        <w:tab/>
        <w:t>poveruje svoju predsedníčku, aby postúpila toto rozhodnutie výkonnému riaditeľovi Európskeho strediska pre rozvoj odborného vzdelávania (</w:t>
      </w:r>
      <w:proofErr w:type="spellStart"/>
      <w:r w:rsidRPr="0056749D">
        <w:t>Cedefop</w:t>
      </w:r>
      <w:proofErr w:type="spellEnd"/>
      <w:r w:rsidRPr="0056749D">
        <w:t>), Rade, Komisii a Dvoru audítorov a aby zabezpečila jeho uverejnenie v </w:t>
      </w:r>
      <w:r w:rsidRPr="0056749D">
        <w:rPr>
          <w:i/>
        </w:rPr>
        <w:t>Úradnom vestníku Európskej únie</w:t>
      </w:r>
      <w:r w:rsidRPr="0056749D">
        <w:t xml:space="preserve"> (v sérii L).</w:t>
      </w:r>
    </w:p>
    <w:p w:rsidR="00697A62" w:rsidRPr="0056749D" w:rsidRDefault="00697A62" w:rsidP="00697A62"/>
    <w:p w:rsidR="00697A62" w:rsidRPr="0056749D" w:rsidRDefault="00697A62" w:rsidP="00697A62">
      <w:pPr>
        <w:pStyle w:val="PageHeading"/>
        <w:sectPr w:rsidR="00697A62" w:rsidRPr="0056749D" w:rsidSect="0020731C">
          <w:footnotePr>
            <w:numRestart w:val="eachPage"/>
          </w:footnotePr>
          <w:endnotePr>
            <w:numFmt w:val="decimal"/>
          </w:endnotePr>
          <w:pgSz w:w="11906" w:h="16838" w:code="9"/>
          <w:pgMar w:top="1134" w:right="1418" w:bottom="1418" w:left="1418" w:header="567" w:footer="567" w:gutter="0"/>
          <w:cols w:space="720"/>
          <w:noEndnote/>
          <w:docGrid w:linePitch="326"/>
        </w:sectPr>
      </w:pPr>
    </w:p>
    <w:p w:rsidR="00697A62" w:rsidRPr="0056749D" w:rsidRDefault="00697A62" w:rsidP="008D2288">
      <w:pPr>
        <w:pStyle w:val="ATHeading3"/>
      </w:pPr>
      <w:bookmarkStart w:id="10" w:name="_Toc161845030"/>
      <w:r w:rsidRPr="0056749D">
        <w:t xml:space="preserve">3. </w:t>
      </w:r>
      <w:bookmarkEnd w:id="10"/>
      <w:r w:rsidR="008D2288" w:rsidRPr="0056749D">
        <w:t>Uznesenie Európskeho parlamentu z</w:t>
      </w:r>
      <w:r w:rsidR="004222C3" w:rsidRPr="0056749D">
        <w:t> 11</w:t>
      </w:r>
      <w:r w:rsidR="008D2288" w:rsidRPr="0056749D">
        <w:t xml:space="preserve">. apríla 2024 </w:t>
      </w:r>
      <w:r w:rsidRPr="0056749D">
        <w:t xml:space="preserve">s poznámkami, ktoré </w:t>
      </w:r>
      <w:r w:rsidR="008D2288" w:rsidRPr="0056749D">
        <w:t xml:space="preserve">je </w:t>
      </w:r>
      <w:r w:rsidRPr="0056749D">
        <w:t>neoddeliteľnou súčasťou rozhodnutia o absolutóriu za plnenie rozpočtu Európskeho strediska pre rozvoj odborného vzdelávania (</w:t>
      </w:r>
      <w:proofErr w:type="spellStart"/>
      <w:r w:rsidRPr="0056749D">
        <w:t>Cedefop</w:t>
      </w:r>
      <w:proofErr w:type="spellEnd"/>
      <w:r w:rsidRPr="0056749D">
        <w:t>) za rozpočtový rok 2022</w:t>
      </w:r>
      <w:r w:rsidR="008D2288" w:rsidRPr="0056749D">
        <w:t xml:space="preserve"> </w:t>
      </w:r>
      <w:r w:rsidRPr="0056749D">
        <w:t>(2023/2143(DEC))</w:t>
      </w:r>
    </w:p>
    <w:p w:rsidR="00697A62" w:rsidRPr="0056749D" w:rsidRDefault="00697A62" w:rsidP="00697A62">
      <w:pPr>
        <w:pStyle w:val="EPComma"/>
      </w:pPr>
      <w:r w:rsidRPr="0056749D">
        <w:rPr>
          <w:i/>
        </w:rPr>
        <w:t>Európsky parlament</w:t>
      </w:r>
      <w:r w:rsidRPr="0056749D">
        <w:t>,</w:t>
      </w:r>
    </w:p>
    <w:p w:rsidR="00697A62" w:rsidRPr="0056749D" w:rsidRDefault="00697A62" w:rsidP="00697A62">
      <w:pPr>
        <w:pStyle w:val="NormalHanging12a"/>
      </w:pPr>
      <w:r w:rsidRPr="0056749D">
        <w:t>–</w:t>
      </w:r>
      <w:r w:rsidRPr="0056749D">
        <w:tab/>
        <w:t>so zreteľom na svoje rozhodnutie o absolutóriu za plnenie rozpočtu Európskeho strediska pre rozvoj odborného vzdelávania (</w:t>
      </w:r>
      <w:proofErr w:type="spellStart"/>
      <w:r w:rsidRPr="0056749D">
        <w:t>Cedefop</w:t>
      </w:r>
      <w:proofErr w:type="spellEnd"/>
      <w:r w:rsidRPr="0056749D">
        <w:t>) za rozpočtový rok 2022,</w:t>
      </w:r>
    </w:p>
    <w:p w:rsidR="00697A62" w:rsidRPr="0056749D" w:rsidRDefault="00697A62" w:rsidP="00697A62">
      <w:pPr>
        <w:pStyle w:val="NormalHanging12a"/>
      </w:pPr>
      <w:r w:rsidRPr="0056749D">
        <w:t>–</w:t>
      </w:r>
      <w:r w:rsidRPr="0056749D">
        <w:tab/>
        <w:t>so zreteľom na článok 100 a prílohu V k rokovaciemu poriadku,</w:t>
      </w:r>
    </w:p>
    <w:p w:rsidR="00697A62" w:rsidRPr="0056749D" w:rsidRDefault="00697A62" w:rsidP="00697A62">
      <w:pPr>
        <w:pStyle w:val="NormalHanging12a"/>
      </w:pPr>
      <w:r w:rsidRPr="0056749D">
        <w:t>–</w:t>
      </w:r>
      <w:r w:rsidRPr="0056749D">
        <w:tab/>
        <w:t>so zreteľom na stanovisko Výboru pre zamestnanosť a sociálne veci,</w:t>
      </w:r>
    </w:p>
    <w:p w:rsidR="00697A62" w:rsidRPr="0056749D" w:rsidRDefault="00697A62" w:rsidP="00697A62">
      <w:pPr>
        <w:pStyle w:val="NormalHanging12a"/>
      </w:pPr>
      <w:r w:rsidRPr="0056749D">
        <w:t>–</w:t>
      </w:r>
      <w:r w:rsidRPr="0056749D">
        <w:tab/>
        <w:t>so zreteľom na správu Výboru pre kontrolu rozpočtu (A9-0080/2024),</w:t>
      </w:r>
    </w:p>
    <w:p w:rsidR="00697A62" w:rsidRPr="0056749D" w:rsidRDefault="00697A62" w:rsidP="00697A62">
      <w:pPr>
        <w:pStyle w:val="Normal12Hanging"/>
        <w:rPr>
          <w:szCs w:val="24"/>
          <w:lang w:val="sk-SK"/>
        </w:rPr>
      </w:pPr>
      <w:r w:rsidRPr="0056749D">
        <w:rPr>
          <w:lang w:val="sk-SK"/>
        </w:rPr>
        <w:t>A.</w:t>
      </w:r>
      <w:r w:rsidRPr="0056749D">
        <w:rPr>
          <w:lang w:val="sk-SK"/>
        </w:rPr>
        <w:tab/>
        <w:t>keďže podľa výkazu príjmov a výdavkov</w:t>
      </w:r>
      <w:r w:rsidRPr="0056749D">
        <w:rPr>
          <w:rStyle w:val="FootnoteReference"/>
          <w:szCs w:val="24"/>
          <w:lang w:val="sk-SK"/>
        </w:rPr>
        <w:footnoteReference w:id="11"/>
      </w:r>
      <w:r w:rsidRPr="0056749D">
        <w:rPr>
          <w:lang w:val="sk-SK"/>
        </w:rPr>
        <w:t xml:space="preserve"> Európskeho strediska pre rozvoj odborného vzdelávania (</w:t>
      </w:r>
      <w:proofErr w:type="spellStart"/>
      <w:r w:rsidRPr="0056749D">
        <w:rPr>
          <w:lang w:val="sk-SK"/>
        </w:rPr>
        <w:t>Cedefop</w:t>
      </w:r>
      <w:proofErr w:type="spellEnd"/>
      <w:r w:rsidRPr="0056749D">
        <w:rPr>
          <w:lang w:val="sk-SK"/>
        </w:rPr>
        <w:t>) (ďalej len „stredisko“) predstavoval jeho konečný rozpočet na rozpočtový rok 2022 sumu 18 434 420 EUR, čo v porovnaní s rokom 2021 predstavuje zníženie o 0,29 %; keďže rozpočet strediska pochádza najmä z rozpočtu Únie;</w:t>
      </w:r>
    </w:p>
    <w:p w:rsidR="00697A62" w:rsidRPr="0056749D" w:rsidRDefault="00697A62" w:rsidP="00697A62">
      <w:pPr>
        <w:pStyle w:val="Normal12Hanging"/>
        <w:rPr>
          <w:szCs w:val="24"/>
          <w:lang w:val="sk-SK"/>
        </w:rPr>
      </w:pPr>
      <w:r w:rsidRPr="0056749D">
        <w:rPr>
          <w:lang w:val="sk-SK"/>
        </w:rPr>
        <w:t>B.</w:t>
      </w:r>
      <w:r w:rsidRPr="0056749D">
        <w:rPr>
          <w:lang w:val="sk-SK"/>
        </w:rPr>
        <w:tab/>
        <w:t>keďže okrem príspevku Únie vo výške 17 960 000 EUR zahŕňal rozpočet strediska dostupný v roku 2022 sumu 464 420 EUR z príspevkov pridružených krajín (Nórsko a Island) a sumu 43 960 EUR z rôznych vlastných príjmov a refundovaných súm;</w:t>
      </w:r>
    </w:p>
    <w:p w:rsidR="00697A62" w:rsidRPr="0056749D" w:rsidRDefault="00697A62" w:rsidP="00697A62">
      <w:pPr>
        <w:pStyle w:val="Normal12Hanging"/>
        <w:rPr>
          <w:szCs w:val="24"/>
          <w:lang w:val="sk-SK"/>
        </w:rPr>
      </w:pPr>
      <w:r w:rsidRPr="0056749D">
        <w:rPr>
          <w:lang w:val="sk-SK"/>
        </w:rPr>
        <w:t>C.</w:t>
      </w:r>
      <w:r w:rsidRPr="0056749D">
        <w:rPr>
          <w:lang w:val="sk-SK"/>
        </w:rPr>
        <w:tab/>
        <w:t>keďže stredisko sa pripojilo k Protokolu 31 k Dohode o Európskom hospodárskom priestore (EHP) s účinnosťou od 1. januára 2023, podľa ktorého bude stredisko dostávať príspevky od pridružených krajín prostredníctvom rozpočtu EHP/EZVO;</w:t>
      </w:r>
    </w:p>
    <w:p w:rsidR="00697A62" w:rsidRPr="0056749D" w:rsidRDefault="00697A62" w:rsidP="00697A62">
      <w:pPr>
        <w:pStyle w:val="Normal12Hanging"/>
        <w:rPr>
          <w:szCs w:val="24"/>
          <w:lang w:val="sk-SK"/>
        </w:rPr>
      </w:pPr>
      <w:r w:rsidRPr="0056749D">
        <w:rPr>
          <w:lang w:val="sk-SK"/>
        </w:rPr>
        <w:t>D.</w:t>
      </w:r>
      <w:r w:rsidRPr="0056749D">
        <w:rPr>
          <w:lang w:val="sk-SK"/>
        </w:rPr>
        <w:tab/>
        <w:t>keďže pokiaľ ide o oblasť obstarávania strediska, v roku 2022 neboli hlásené žiadne problémy, ktoré by si vyžadovali nápravné opatrenia, neprebiehajú žiadne nápravné opatrenia z auditov a posúdení z predchádzajúcich rokov a nie sú žiadne nápravné opatrenia, ktoré by boli nevyriešené;</w:t>
      </w:r>
    </w:p>
    <w:p w:rsidR="00697A62" w:rsidRPr="0056749D" w:rsidRDefault="00697A62" w:rsidP="00697A62">
      <w:pPr>
        <w:pStyle w:val="Normal12Hanging"/>
        <w:rPr>
          <w:szCs w:val="24"/>
          <w:lang w:val="sk-SK"/>
        </w:rPr>
      </w:pPr>
      <w:r w:rsidRPr="0056749D">
        <w:rPr>
          <w:lang w:val="sk-SK"/>
        </w:rPr>
        <w:t>E.</w:t>
      </w:r>
      <w:r w:rsidRPr="0056749D">
        <w:rPr>
          <w:lang w:val="sk-SK"/>
        </w:rPr>
        <w:tab/>
        <w:t>keďže Dvor audítorov vo svojej správe o overení ročnej účtovnej závierky strediska za rozpočtový rok 2022 (ďalej len „správa Dvora audítorov“) vyhlásil, že získal primeranú istotu o tom, že ročná účtovná závierka strediska je spoľahlivá a že príslušné operácie sú zákonné a správne;</w:t>
      </w:r>
    </w:p>
    <w:p w:rsidR="00697A62" w:rsidRPr="0056749D" w:rsidRDefault="00697A62" w:rsidP="00697A62">
      <w:pPr>
        <w:pStyle w:val="Normal12Hanging"/>
        <w:rPr>
          <w:b/>
          <w:i/>
          <w:szCs w:val="24"/>
          <w:lang w:val="sk-SK"/>
        </w:rPr>
      </w:pPr>
      <w:r w:rsidRPr="0056749D">
        <w:rPr>
          <w:b/>
          <w:i/>
          <w:lang w:val="sk-SK"/>
        </w:rPr>
        <w:t>Rozpočtové a finančné riadenie</w:t>
      </w:r>
    </w:p>
    <w:p w:rsidR="00697A62" w:rsidRPr="0056749D" w:rsidRDefault="00697A62" w:rsidP="00697A62">
      <w:pPr>
        <w:pStyle w:val="Normal12Hanging"/>
        <w:rPr>
          <w:szCs w:val="24"/>
          <w:lang w:val="sk-SK"/>
        </w:rPr>
      </w:pPr>
      <w:r w:rsidRPr="0056749D">
        <w:rPr>
          <w:lang w:val="sk-SK"/>
        </w:rPr>
        <w:t>1.</w:t>
      </w:r>
      <w:r w:rsidRPr="0056749D">
        <w:rPr>
          <w:lang w:val="sk-SK"/>
        </w:rPr>
        <w:tab/>
        <w:t>s uspokojením konštatuje, že výsledkom úsilia o monitorovanie rozpočtu bola miera plnenia rozpočtu v roku 2022 na úrovni 99,98 %, čo v porovnaní s rokom 2021 predstavuje mierny pokles o 0,02 %; vyjadruje poľutovanie nad nízkou úrovňou plnenia platobných rozpočtových prostriedkov v bežnom roku (77,64 %), čo v porovnaní s rokom 2021 predstavuje zníženie o 2,38 %;</w:t>
      </w:r>
    </w:p>
    <w:p w:rsidR="00697A62" w:rsidRPr="0056749D" w:rsidRDefault="00697A62" w:rsidP="00697A62">
      <w:pPr>
        <w:pStyle w:val="Normal12Hanging"/>
        <w:rPr>
          <w:szCs w:val="24"/>
          <w:lang w:val="sk-SK"/>
        </w:rPr>
      </w:pPr>
      <w:r w:rsidRPr="0056749D">
        <w:rPr>
          <w:lang w:val="sk-SK"/>
        </w:rPr>
        <w:t>2.</w:t>
      </w:r>
      <w:r w:rsidRPr="0056749D">
        <w:rPr>
          <w:lang w:val="sk-SK"/>
        </w:rPr>
        <w:tab/>
        <w:t>pripomína v správe Dvora audítorov za rok 2021 pripomienku týkajúcu sa nedostatkov pri prechode strediska na nový účtovný systém (ABAC), ktorý používa aj Komisia; na základe správy Dvora audítorov konštatuje, že v roku 2022 boli podobné prípady (nesúlad medzi skutočným konečným dátumom plnenia právnych záväzkov a dátumom zaznamenaným v systéme ABAC) zaznamenané aj pri prenesených rozpočtových záväzkoch z rokov 2022 až 2023; na základe následnej správy strediska k absolutóriu za rozpočtový rok 2021 (ďalej len „následná správa“) s uznaním konštatuje, že stredisko medzitým zaviedlo monitorovací systém na zachytenie tých typov nezrovnalostí, ktoré sa po zistení okamžite opravia v systéme ABAC;</w:t>
      </w:r>
    </w:p>
    <w:p w:rsidR="00697A62" w:rsidRPr="0056749D" w:rsidRDefault="00697A62" w:rsidP="00697A62">
      <w:pPr>
        <w:pStyle w:val="Normal12Hanging"/>
        <w:rPr>
          <w:szCs w:val="24"/>
          <w:lang w:val="sk-SK"/>
        </w:rPr>
      </w:pPr>
      <w:r w:rsidRPr="0056749D">
        <w:rPr>
          <w:lang w:val="sk-SK"/>
        </w:rPr>
        <w:t>3.</w:t>
      </w:r>
      <w:r w:rsidRPr="0056749D">
        <w:rPr>
          <w:lang w:val="sk-SK"/>
        </w:rPr>
        <w:tab/>
        <w:t>berie na vedomie poznámku Dvora audítorov, že stredisko neuplatnilo správne metódu výpočtu príspevku stanovenú vo vyhlásení o spolupráci medzi strediskom a EZVO v súvislosti s pozmeňujúcim návrhom 1 k rozpočtu strediska; v dôsledku toho konštatuje, že v roku 2022 boli príspevky Islandu a Nórska do rozpočtu strediska na jednej strane a príspevky Únie na strane druhej vyššie, resp. nižšie, ako mali byť; ďalej berie na vedomie uznanie Dvora audítorov, že zmena Protokolu 31 k Dohode o EHP o spolupráci v špecifických oblastiach mimo štyroch slobôd bola podpísaná a nadobudla platnosť 1. januára 2023, a preto od roku 2023 už nebude existovať otázka úpravy príspevkov krajín EZVO z dôvodu zmien rozpočtu strediska;</w:t>
      </w:r>
    </w:p>
    <w:p w:rsidR="00697A62" w:rsidRPr="0056749D" w:rsidRDefault="00697A62" w:rsidP="00697A62">
      <w:pPr>
        <w:pStyle w:val="Normal12Hanging"/>
        <w:rPr>
          <w:b/>
          <w:i/>
          <w:szCs w:val="24"/>
          <w:lang w:val="sk-SK"/>
        </w:rPr>
      </w:pPr>
      <w:r w:rsidRPr="0056749D">
        <w:rPr>
          <w:b/>
          <w:i/>
          <w:lang w:val="sk-SK"/>
        </w:rPr>
        <w:t>Výkonnosť</w:t>
      </w:r>
    </w:p>
    <w:p w:rsidR="00697A62" w:rsidRPr="0056749D" w:rsidRDefault="00697A62" w:rsidP="00697A62">
      <w:pPr>
        <w:pStyle w:val="Normal12Hanging"/>
        <w:rPr>
          <w:lang w:val="sk-SK"/>
        </w:rPr>
      </w:pPr>
      <w:r w:rsidRPr="0056749D">
        <w:rPr>
          <w:lang w:val="sk-SK"/>
        </w:rPr>
        <w:t>4.</w:t>
      </w:r>
      <w:r w:rsidRPr="0056749D">
        <w:rPr>
          <w:lang w:val="sk-SK"/>
        </w:rPr>
        <w:tab/>
        <w:t xml:space="preserve">s uznaním konštatuje, že napriek pretrvávajúcim výzvam, ktoré predstavuje pandémia </w:t>
      </w:r>
      <w:r w:rsidR="000F189B" w:rsidRPr="0056749D">
        <w:rPr>
          <w:lang w:val="sk-SK"/>
        </w:rPr>
        <w:t xml:space="preserve">ochorenia </w:t>
      </w:r>
      <w:r w:rsidRPr="0056749D">
        <w:rPr>
          <w:lang w:val="sk-SK"/>
        </w:rPr>
        <w:t>COVID-19, neodôvodnená vojna na Ukrajine, energetická kríza a stupňujúca sa krízová situácia v oblasti klímy, stredisko v roku 2022 v plnej miere realizovalo svoj pracovný program, pričom vo všetkých troch strategických oblastiach činnosti strediska sa dosiahli pozoruhodné výsledky nad rámec výsledkov plánovaných v pracovnom programe na rok 2022; konštatuje, že odborné vzdelávanie a príprava boli určené ako oblasť, na ktorú sa zameriava spolupráca v rámci iniciatívy Európsky vzdelávací priestor na obdobie 2021 – 2030;</w:t>
      </w:r>
    </w:p>
    <w:p w:rsidR="00697A62" w:rsidRPr="0056749D" w:rsidRDefault="00697A62" w:rsidP="00697A62">
      <w:pPr>
        <w:pStyle w:val="Normal12Hanging"/>
        <w:rPr>
          <w:lang w:val="sk-SK"/>
        </w:rPr>
      </w:pPr>
      <w:r w:rsidRPr="0056749D">
        <w:rPr>
          <w:lang w:val="sk-SK"/>
        </w:rPr>
        <w:t>5.</w:t>
      </w:r>
      <w:r w:rsidRPr="0056749D">
        <w:rPr>
          <w:lang w:val="sk-SK"/>
        </w:rPr>
        <w:tab/>
        <w:t>okrem viacerých úspechov v roku 2022 berie na vedomie: i) spustenie zeleného observatória strediska, ktoré sa zaoberalo dôsledkami zelenej transformácie na mestá a tromi kľúčovými oblasťami (odpadové hospodárstvo, poľnohospodárstvo a potravinárstvo a obehové hospodárstvo); ii) analýzu národných vykonávacích plánov strediska, ktoré predstavujú prebiehajúce a pripravované národné reformy a iniciatívy v oblasti odborného vzdelávania a prípravy (OVP); iii) prezentáciu výsledkov štúdie strediska o </w:t>
      </w:r>
      <w:proofErr w:type="spellStart"/>
      <w:r w:rsidRPr="0056749D">
        <w:rPr>
          <w:lang w:val="sk-SK"/>
        </w:rPr>
        <w:t>mikrodotáciách</w:t>
      </w:r>
      <w:proofErr w:type="spellEnd"/>
      <w:r w:rsidRPr="0056749D">
        <w:rPr>
          <w:lang w:val="sk-SK"/>
        </w:rPr>
        <w:t>, ktorá bola podkladom pre návrh odporúčania Rady k tejto téme, ktorý predložila Komisia; iv) štúdiu uskutočniteľnosti, ktorú vykonalo stredisko pre prieskum učiteľov a školiteľov počiatočného odborného vzdelávania a prípravy; v) dokončenie druhého projektu „Budúcnosť odborného vzdelávania a prípravy“, ktorý prispieva k lepšiemu celkovému pochopeniu výziev a príležitostí, ktorým bude európske odborné vzdelávanie a príprava čeliť v nasledujúcich rokoch; a vi) zverejnenie druhého európskeho prieskumu zručností a pracovných miest, ktorý pomohol objasniť digitalizáciu a jej vplyv na pracovné miesta a zručnosti;</w:t>
      </w:r>
    </w:p>
    <w:p w:rsidR="00697A62" w:rsidRPr="0056749D" w:rsidRDefault="00697A62" w:rsidP="00697A62">
      <w:pPr>
        <w:pStyle w:val="NormalHanging12a"/>
        <w:rPr>
          <w:szCs w:val="24"/>
        </w:rPr>
      </w:pPr>
      <w:r w:rsidRPr="0056749D">
        <w:t>6.</w:t>
      </w:r>
      <w:r w:rsidRPr="0056749D">
        <w:tab/>
        <w:t>oceňuje činnosť a kvalitnú prácu strediska pri zabezpečovaní výskumu, analýz a technického poradenstva a odborných znalostí v oblasti politík odborného vzdelávania a prípravy (OVP), kvalifikácií a zručností, ktorých cieľom je podporovať kvalitnú odbornú prípravu zodpovedajúcu potrebám jednotlivcov a trhu práce; pripomína význam úlohy, ktorú stredisko zohráva pri zabezpečovaní začleňovania digitálnych zručností do OVP v celej Únii, a jeho úlohy pri monitorovaní vykonávania a vplyvu odporúčaní Rady týkajúcich sa programu v oblasti zručností pre Európu, OVP v záujme udržateľnej konkurencieschopnosti, sociálnej spravodlivosti a odolnosti a Akčného plánu digitálneho vzdelávania; zdôrazňuje, že treba udržiavať primerané ľudské a finančné zdroje umožňujúce stredisku plniť mandát a pokračovať v plnení jeho pracovného programu s vysokou mierou dokončenia činností;</w:t>
      </w:r>
    </w:p>
    <w:p w:rsidR="00697A62" w:rsidRPr="0056749D" w:rsidRDefault="00697A62" w:rsidP="00697A62">
      <w:pPr>
        <w:pStyle w:val="Normal12Hanging"/>
        <w:rPr>
          <w:b/>
          <w:i/>
          <w:szCs w:val="24"/>
          <w:lang w:val="sk-SK"/>
        </w:rPr>
      </w:pPr>
      <w:r w:rsidRPr="0056749D">
        <w:rPr>
          <w:b/>
          <w:i/>
          <w:lang w:val="sk-SK"/>
        </w:rPr>
        <w:t>Efektívnosť a prínos</w:t>
      </w:r>
    </w:p>
    <w:p w:rsidR="00697A62" w:rsidRPr="0056749D" w:rsidRDefault="00697A62" w:rsidP="00697A62">
      <w:pPr>
        <w:pStyle w:val="Normal12Hanging"/>
        <w:rPr>
          <w:lang w:val="sk-SK"/>
        </w:rPr>
      </w:pPr>
      <w:r w:rsidRPr="0056749D">
        <w:rPr>
          <w:lang w:val="sk-SK"/>
        </w:rPr>
        <w:t>7.</w:t>
      </w:r>
      <w:r w:rsidRPr="0056749D">
        <w:rPr>
          <w:lang w:val="sk-SK"/>
        </w:rPr>
        <w:tab/>
        <w:t>oceňuje dlhodobú spoluprácu a výmenu informácií strediska s Európskou nadáciou pre odborné vzdelávanie (ETF) a Európskou nadáciou pre zlepšovanie životných a pracovných podmienok (</w:t>
      </w:r>
      <w:proofErr w:type="spellStart"/>
      <w:r w:rsidRPr="0056749D">
        <w:rPr>
          <w:lang w:val="sk-SK"/>
        </w:rPr>
        <w:t>Eurofound</w:t>
      </w:r>
      <w:proofErr w:type="spellEnd"/>
      <w:r w:rsidRPr="0056749D">
        <w:rPr>
          <w:lang w:val="sk-SK"/>
        </w:rPr>
        <w:t xml:space="preserve">); konštatuje, že stredisko a nadácia ETF spolupracujú na spoločných projektoch týkajúcich sa odborného vzdelávania a prípravy, publikácií, hospodárstva platforiem/práce pre platformy zameraných na zosúladenie a predvídanie alebo identifikáciu zručností, monitorovanie a analýzu pokroku krajín, ako aj na európsky prieskum zručností a pracovných miest; konštatuje tiež, že v roku 2022 stredisko ďalej posilnilo svoju dlhodobú spoluprácu s nadáciou </w:t>
      </w:r>
      <w:proofErr w:type="spellStart"/>
      <w:r w:rsidRPr="0056749D">
        <w:rPr>
          <w:lang w:val="sk-SK"/>
        </w:rPr>
        <w:t>Eurofound</w:t>
      </w:r>
      <w:proofErr w:type="spellEnd"/>
      <w:r w:rsidRPr="0056749D">
        <w:rPr>
          <w:lang w:val="sk-SK"/>
        </w:rPr>
        <w:t xml:space="preserve"> v oblasti operačných činností tým, že spoločne pripravilo druhú hlavnú správu o zručnostiach na základe Európskeho prieskumu podnikov, užšie spolupracovalo na spravodlivej zelenej transformácii a spoločne viedlo prípravu a organizáciu podujatia piatich agentúr Únie „Mládež na prvom mieste“, ktoré sa konalo v</w:t>
      </w:r>
      <w:r w:rsidR="00BA2BE7" w:rsidRPr="0056749D">
        <w:rPr>
          <w:lang w:val="sk-SK"/>
        </w:rPr>
        <w:t> Európskom p</w:t>
      </w:r>
      <w:r w:rsidRPr="0056749D">
        <w:rPr>
          <w:lang w:val="sk-SK"/>
        </w:rPr>
        <w:t>arlamente; oceňuje uzavretie osobitného memoranda o porozumení medzi strediskom a Európskym orgánom práce, ktoré sa týka výmeny poznatkov a synergií so zameraním na zručnosti a trendy na trhu práce a cezhraničnú pracovnú mobilitu; berie na vedomie dohody o úrovni poskytovaných služieb strediska s Európskym inštitútom pre rodovú rovnosť o spoločnom využívaní účtovných služieb, a s Agentúrou Európskej únie pre kybernetickú bezpečnosť, okrem iného v oblastiach, ako je ochrana údajov, verejné obstarávanie a IKT, ako aj prebiehajúcu diskusiu s nadáciou ETF o spoločnom úradníkovi pre kybernetickú bezpečnosť; ďalej vyzýva stredisko a ostatné agentúry, aby preskúmali a identifikovali nové synergie a oblasti spolupráce s cieľom zvýšiť efektívnosť a znížiť náklady;</w:t>
      </w:r>
    </w:p>
    <w:p w:rsidR="00697A62" w:rsidRPr="0056749D" w:rsidRDefault="00697A62" w:rsidP="00697A62">
      <w:pPr>
        <w:pStyle w:val="Normal12Hanging"/>
        <w:rPr>
          <w:szCs w:val="24"/>
          <w:lang w:val="sk-SK"/>
        </w:rPr>
      </w:pPr>
      <w:r w:rsidRPr="0056749D">
        <w:rPr>
          <w:lang w:val="sk-SK"/>
        </w:rPr>
        <w:t>8.</w:t>
      </w:r>
      <w:r w:rsidRPr="0056749D">
        <w:rPr>
          <w:lang w:val="sk-SK"/>
        </w:rPr>
        <w:tab/>
        <w:t xml:space="preserve">s uznaním berie na vedomie záväzok strediska stať sa do roku 2030 uhlíkovo neutrálnym a prijatie jeho stratégie a akčného plánu na dosiahnutie klimatickej neutrality v roku 2023; v tejto súvislosti berie na vedomie konkrétne opatrenia, ktoré už boli prijaté v roku 2022, ako napríklad inštalácia energeticky účinných okenných žalúzií a dokončenie prípravných prác na inštaláciu </w:t>
      </w:r>
      <w:proofErr w:type="spellStart"/>
      <w:r w:rsidRPr="0056749D">
        <w:rPr>
          <w:lang w:val="sk-SK"/>
        </w:rPr>
        <w:t>fotovoltických</w:t>
      </w:r>
      <w:proofErr w:type="spellEnd"/>
      <w:r w:rsidRPr="0056749D">
        <w:rPr>
          <w:lang w:val="sk-SK"/>
        </w:rPr>
        <w:t xml:space="preserve"> panelov v roku 2023 na výrobu vlastnej elektrickej energie z obnoviteľných zdrojov, ktoré by mali viesť k návratnosti investícií vo výške približne 50 %; vyjadruje stredisku uznanie za úspech pri dosahovaní alebo prekračovaní cieľov na rok 2022, pričom základom je rok 2019, pokiaľ ide o zníženie spotreby elektrickej energie (o 27 %), vykurovacieho oleja (o 43 %) a papiera (o 73 %), ako aj zníženie nákladov na služobné cesty (o 71 %) a nákladov na prezenčné schôdze (o 56,5 %);</w:t>
      </w:r>
    </w:p>
    <w:p w:rsidR="00697A62" w:rsidRPr="0056749D" w:rsidRDefault="00697A62" w:rsidP="00697A62">
      <w:pPr>
        <w:pStyle w:val="Normal12Hanging"/>
        <w:rPr>
          <w:szCs w:val="24"/>
          <w:lang w:val="sk-SK"/>
        </w:rPr>
      </w:pPr>
      <w:r w:rsidRPr="0056749D">
        <w:rPr>
          <w:lang w:val="sk-SK"/>
        </w:rPr>
        <w:t>9.</w:t>
      </w:r>
      <w:r w:rsidRPr="0056749D">
        <w:rPr>
          <w:lang w:val="sk-SK"/>
        </w:rPr>
        <w:tab/>
        <w:t>chváli posilnenie hlavných obchodných činností strediska prostredníctvom úsilia o zjednodušenie a zefektívnenie administratívy, spoločné využívanie znalostí a zdrojov s ostatnými agentúrami, digitalizáciu, zefektívnenie a reorganizáciu úloh, ako aj zníženie počtu prezenčných stretnutí a zvýšenie účasti na podujatiach online; berie na vedomie výsledok tohto úsilia, okrem iného transformáciu troch asistentských miest na miesta expertov a úspory vo výške približne 390 000 EUR z dôvodu zníženia počtu prezenčných stretnutí, čo všetko prispelo k chvályhodnému zvýšeniu podielu hlavných zamestnancov zo 66,5 % v roku 2021 na 73,2 % v roku 2022;</w:t>
      </w:r>
    </w:p>
    <w:p w:rsidR="00697A62" w:rsidRPr="0056749D" w:rsidRDefault="00697A62" w:rsidP="00697A62">
      <w:pPr>
        <w:pStyle w:val="Normal12Hanging"/>
        <w:rPr>
          <w:szCs w:val="24"/>
          <w:lang w:val="sk-SK"/>
        </w:rPr>
      </w:pPr>
      <w:r w:rsidRPr="0056749D">
        <w:rPr>
          <w:lang w:val="sk-SK"/>
        </w:rPr>
        <w:t>10.</w:t>
      </w:r>
      <w:r w:rsidRPr="0056749D">
        <w:rPr>
          <w:lang w:val="sk-SK"/>
        </w:rPr>
        <w:tab/>
        <w:t>chváli stredisko za jeho pokračujúci pokrok vo vykonávaní stratégie IKT a digitalizácie s cieľom dosiahnuť ďalšie zvýšenie efektívnosti; konštatuje, že v roku 2022 stredisko digitalizovalo všetky pracovné postupy, zaviedlo digitálny nástroj pre výberové konania a nové digitálne pracovné prostredie a prostredie na spoluprácu a pripravilo a začalo používať od januára 2023 nástroj na riadenie verejného obstarávania; oceňuje, že stredisko vydalo digitálne podpisy pre všetkých svojich zamestnancov a že vedúci pracovníci používajú certifikáty EU-</w:t>
      </w:r>
      <w:proofErr w:type="spellStart"/>
      <w:r w:rsidRPr="0056749D">
        <w:rPr>
          <w:lang w:val="sk-SK"/>
        </w:rPr>
        <w:t>Sign</w:t>
      </w:r>
      <w:proofErr w:type="spellEnd"/>
      <w:r w:rsidRPr="0056749D">
        <w:rPr>
          <w:lang w:val="sk-SK"/>
        </w:rPr>
        <w:t xml:space="preserve"> na zmluvy, objednávkové formuláre a právne záväzné dokumenty;</w:t>
      </w:r>
    </w:p>
    <w:p w:rsidR="00697A62" w:rsidRPr="0056749D" w:rsidRDefault="00697A62" w:rsidP="00697A62">
      <w:pPr>
        <w:spacing w:after="240"/>
        <w:ind w:left="567" w:hanging="567"/>
        <w:rPr>
          <w:iCs/>
        </w:rPr>
      </w:pPr>
      <w:r w:rsidRPr="0056749D">
        <w:t>11.</w:t>
      </w:r>
      <w:r w:rsidRPr="0056749D">
        <w:tab/>
        <w:t>zo správy Dvora audítorov vyplýva, že stredisko nepatrí medzi agentúry, ktoré majú vo svojich výročných správach o činnosti začlenenú určitú formu environmentálneho výkazníctva a získali registráciu EMAS; napriek tomu berie na vedomie systém environmentálneho manažérstva strediska, ktorý pomáha stredisku dosahovať jeho environmentálne ciele, a to aj pomocou kľúčových ukazovateľov výkonnosti v oblasti spotreby energie, vody, papiera, ako aj odpadu a emisií uhlíka; s uspokojením konštatuje, že systém riadenia výkonnosti strediska zahŕňa environmentálny ukazovateľ [„emisie uhlíka (v tonách)“], ktorý hodnotí environmentálne správanie strediska pomocou emisií uhlíka a celkových emisií odpadu; berie na vedomie ďalší záväzok strediska modernizovať svoj systém environmentálneho manažérstva a podniknúť kroky na získanie certifikátu EMAS od roku 2025;</w:t>
      </w:r>
    </w:p>
    <w:p w:rsidR="00697A62" w:rsidRPr="0056749D" w:rsidRDefault="00697A62" w:rsidP="00697A62">
      <w:pPr>
        <w:pStyle w:val="Normal12Hanging"/>
        <w:rPr>
          <w:b/>
          <w:i/>
          <w:szCs w:val="24"/>
          <w:lang w:val="sk-SK"/>
        </w:rPr>
      </w:pPr>
      <w:r w:rsidRPr="0056749D">
        <w:rPr>
          <w:b/>
          <w:i/>
          <w:lang w:val="sk-SK"/>
        </w:rPr>
        <w:t>Personálna politika</w:t>
      </w:r>
    </w:p>
    <w:p w:rsidR="00697A62" w:rsidRPr="0056749D" w:rsidRDefault="00697A62" w:rsidP="00697A62">
      <w:pPr>
        <w:pStyle w:val="Normal12Hanging"/>
        <w:rPr>
          <w:szCs w:val="24"/>
          <w:lang w:val="sk-SK"/>
        </w:rPr>
      </w:pPr>
      <w:r w:rsidRPr="0056749D">
        <w:rPr>
          <w:lang w:val="sk-SK"/>
        </w:rPr>
        <w:t>12.</w:t>
      </w:r>
      <w:r w:rsidRPr="0056749D">
        <w:rPr>
          <w:lang w:val="sk-SK"/>
        </w:rPr>
        <w:tab/>
        <w:t>konštatuje, že k 31. decembru 2022 bol plán pracovných miest naplnený na 95,60 %, pričom z 83 miest dočasných zamestnancov bolo vymenovaných 79 dočasných zamestnancov a osem úradníkov z ôsmich schválených miest v rámci rozpočtu Únie; konštatuje, že v roku 2022 navyše pracovalo v stredisku 20 zmluvných zamestnancov z 25 pracovných miest schválených v rámci rozpočtu Únie, štyria vyslaní národní experti a päť dočasných zamestnancov;</w:t>
      </w:r>
    </w:p>
    <w:p w:rsidR="00697A62" w:rsidRPr="0056749D" w:rsidRDefault="00697A62" w:rsidP="00697A62">
      <w:pPr>
        <w:pStyle w:val="NormalHanging12a"/>
      </w:pPr>
      <w:r w:rsidRPr="0056749D">
        <w:t>13.</w:t>
      </w:r>
      <w:r w:rsidRPr="0056749D">
        <w:tab/>
        <w:t>konštatuje, že pokiaľ ide o rodovú rovnováhu vykázanú za rok 2022, vrcholový manažment strediska je zložený zo štyroch mužov (66,7 %) a dvoch žien (33,3 %); konštatuje, že správnu radu tvorí 78 mužov (53 %) a 68 žien (47 %); pripomína mandát strediska a skutočnosť, že vysoký počet členov správnej rady (</w:t>
      </w:r>
      <w:r w:rsidR="004222C3" w:rsidRPr="0056749D">
        <w:t>146</w:t>
      </w:r>
      <w:r w:rsidRPr="0056749D">
        <w:t>) pochádza z jeho osobitného zloženia založeného na tripartitnej zásade, a teda zahŕňa zástupcov vnútroštátnych orgánov a sociálnych partnerov; uznáva, že správna rada prostredníctvom svojich členov zabezpečuje potrebné zosúladenie medzi prácou strediska a potrebami a prioritami zainteresovaných strán; ďalej konštatuje, že pokiaľ ide o zamestnancov strediska, celkové rozdelenie podľa pohlavia je 44 % mužov (47) a 56 % žien (61); pripomína význam geografickej rovnováhy a v tejto súvislosti víta na základe následnej správy záväzok strediska geograficky vyvážiť počet svojich zamestnancov využívaním rezervných zoznamov iných agentúr, a to aj prostredníctvom spoločného spojenia síl a väčšieho šírenia oznámení o voľných pracovných miestach;</w:t>
      </w:r>
    </w:p>
    <w:p w:rsidR="00697A62" w:rsidRPr="0056749D" w:rsidRDefault="00697A62" w:rsidP="00697A62">
      <w:pPr>
        <w:pStyle w:val="Normal12Hanging"/>
        <w:rPr>
          <w:szCs w:val="24"/>
          <w:lang w:val="sk-SK"/>
        </w:rPr>
      </w:pPr>
      <w:r w:rsidRPr="0056749D">
        <w:rPr>
          <w:lang w:val="sk-SK"/>
        </w:rPr>
        <w:t>14.</w:t>
      </w:r>
      <w:r w:rsidRPr="0056749D">
        <w:rPr>
          <w:lang w:val="sk-SK"/>
        </w:rPr>
        <w:tab/>
        <w:t>s uznaním konštatuje, že stredisko aktívne pracuje na zlepšovaní pohody zamestnancov a rovnováhy medzi pracovným a súkromným životom; v tejto súvislosti konštatuje, že v roku 2022 stredisko ponúkalo školenia okrem iného o zvládaní úzkosti na pracovisku, o tom, ako sa dobre vyrovnať so stresom a o digitálnej pohode, uskutočňovalo pravidelné krátke prieskumy v oblasti ľudských zdrojov, obnovilo svoj spoločný výbor, ktorý slúži na podporu pohody a dobrého zdravia zamestnancov, a zaviedlo nepretržitý program pomoci zamestnancom na dôvernú podporu v súvislosti s rôznymi životnými alebo pracovnými problémami, ktorým čelia zamestnanci strediska;</w:t>
      </w:r>
    </w:p>
    <w:p w:rsidR="00697A62" w:rsidRPr="0056749D" w:rsidRDefault="00697A62" w:rsidP="00697A62">
      <w:pPr>
        <w:pStyle w:val="NormalHanging12a"/>
      </w:pPr>
      <w:r w:rsidRPr="0056749D">
        <w:t>15.</w:t>
      </w:r>
      <w:r w:rsidRPr="0056749D">
        <w:tab/>
        <w:t>konštatuje, že stredisko začalo v roku 2022 vykonávať pravidelný prieskum angažovanosti zamestnancov, ktorého výsledky ukázali priaznivé odpovede 65 % zamestnancov strediska (75 % miera odpovedí), pričom 10 z 12 rozmerov analýzy zaznamenalo pozitívne zmeny v porovnaní s výsledkami prieskumu z roku 2019, a to napriek veľmi rušivému obdobiu od posledného prieskumu v uvedenom roku, pričom niektorým oblastiam je potrebné venovať ďalšiu pozornosť, napríklad pracovnému zaťaženiu, transparentnosti rozhodovania a internej spolupráci; víta skutočnosť, že výsledky prieskumu boli predložené všetkým zamestnancom na valnom zhromaždení a na osobitných schôdzach vyhradených na otázky;</w:t>
      </w:r>
    </w:p>
    <w:p w:rsidR="00697A62" w:rsidRPr="0056749D" w:rsidRDefault="00697A62" w:rsidP="00697A62">
      <w:pPr>
        <w:pStyle w:val="NormalHanging12a"/>
      </w:pPr>
      <w:r w:rsidRPr="0056749D">
        <w:t>16.</w:t>
      </w:r>
      <w:r w:rsidRPr="0056749D">
        <w:tab/>
        <w:t xml:space="preserve">víta v rámci politiky rovnosti príležitostí a rozmanitosti strediska a v súvislosti s podporou osôb so zdravotným postihnutím prijaté opatrenia, ako sú školenia (o otázkach rozmanitosti a inklúzie) a usmernenia (k odhaľovaniu nevedomej zaujatosti a boju proti nej) poskytované personálnym pracovníkom a výberovým komisiám, ako aj prispôsobenie sa uchádzačom so zdravotným postihnutím; z odpovedí strediska na písomné otázky </w:t>
      </w:r>
      <w:r w:rsidR="00BA2BE7" w:rsidRPr="0056749D">
        <w:t>Európskeho p</w:t>
      </w:r>
      <w:r w:rsidRPr="0056749D">
        <w:t>arlamentu tiež berie na vedomie plány strediska prijať v roku 2023 „Chartu rozmanitosti a začlenenia“;</w:t>
      </w:r>
    </w:p>
    <w:p w:rsidR="00697A62" w:rsidRPr="0056749D" w:rsidRDefault="00697A62" w:rsidP="00697A62">
      <w:pPr>
        <w:pStyle w:val="Normal12Hanging"/>
        <w:rPr>
          <w:szCs w:val="24"/>
          <w:lang w:val="sk-SK"/>
        </w:rPr>
      </w:pPr>
      <w:r w:rsidRPr="0056749D">
        <w:rPr>
          <w:lang w:val="sk-SK"/>
        </w:rPr>
        <w:t>17.</w:t>
      </w:r>
      <w:r w:rsidRPr="0056749D">
        <w:rPr>
          <w:lang w:val="sk-SK"/>
        </w:rPr>
        <w:tab/>
        <w:t>so znepokojením berie na vedomie zistenie zo správy Dvora audítorov, že stredisko v období rokov 2017 – 2022 vyplácalo mesačné a denné diéty dvom gréckym štátnym príslušníkom zamestnaným ako vyslaní národní experti; v tejto súvislosti konštatuje, že dvaja vyslaní národní experti nemali na tieto príspevky nárok podľa vnútorných pravidiel strediska, keďže stredisko sídli v Grécku, a preto sa celkové súvisiace platby vyplatené dvom vyslaným národným expertom v tomto období vo výške 222 647 EUR (v porovnaní s 36 608 EUR za rok 2022) považujú za neoprávnené; okrem toho poznamenáva, že keď stredisko v roku 2022 zistilo tento problém, zaregistrovalo tieto dva prípady v registri nedodržiavania predpisov a výnimiek, rozhodlo sa nepožadovať vrátenie neoprávnene vyplatených súm a zaviedlo trojmesačné obdobie postupného ukončovania spolupráce s vyslanými národnými expertmi, ktoré v tom čase ešte platilo; vyzýva na prísne monitorovanie takýchto situácií a predchádzanie takýmto situáciám v budúcnosti;</w:t>
      </w:r>
    </w:p>
    <w:p w:rsidR="00697A62" w:rsidRPr="0056749D" w:rsidRDefault="00697A62" w:rsidP="00697A62">
      <w:pPr>
        <w:pStyle w:val="Normal12Hanging"/>
        <w:rPr>
          <w:b/>
          <w:i/>
          <w:szCs w:val="24"/>
          <w:lang w:val="sk-SK"/>
        </w:rPr>
      </w:pPr>
      <w:r w:rsidRPr="0056749D">
        <w:rPr>
          <w:b/>
          <w:i/>
          <w:lang w:val="sk-SK"/>
        </w:rPr>
        <w:t>Prevencia, riešenie konfliktov záujmov a transparentnosť</w:t>
      </w:r>
    </w:p>
    <w:p w:rsidR="00697A62" w:rsidRPr="0056749D" w:rsidRDefault="00697A62" w:rsidP="00697A62">
      <w:pPr>
        <w:pStyle w:val="Normal12Hanging"/>
        <w:rPr>
          <w:szCs w:val="24"/>
          <w:lang w:val="sk-SK"/>
        </w:rPr>
      </w:pPr>
      <w:r w:rsidRPr="0056749D">
        <w:rPr>
          <w:lang w:val="sk-SK"/>
        </w:rPr>
        <w:t>18.</w:t>
      </w:r>
      <w:r w:rsidRPr="0056749D">
        <w:rPr>
          <w:lang w:val="sk-SK"/>
        </w:rPr>
        <w:tab/>
        <w:t xml:space="preserve">berie na vedomie existujúce opatrenia a neustále úsilie strediska zamerané na zabezpečenie transparentnosti, prevencie a riešenia konfliktov záujmov a ochrany oznamovateľov protispoločenskej činnosti; poznamenáva, že stredisko žiada svojich zamestnancov, aby oznámili potenciálne alebo skutočné záujmy, ak konajú v situácii, keď môže vzniknúť konflikt záujmov; v tejto súvislosti poznamenáva, že stredisko má zavedený vlastný mechanizmus, ktorý zahŕňa opatrenia </w:t>
      </w:r>
      <w:r w:rsidRPr="0056749D">
        <w:rPr>
          <w:i/>
          <w:lang w:val="sk-SK"/>
        </w:rPr>
        <w:t xml:space="preserve">ex </w:t>
      </w:r>
      <w:proofErr w:type="spellStart"/>
      <w:r w:rsidRPr="0056749D">
        <w:rPr>
          <w:i/>
          <w:lang w:val="sk-SK"/>
        </w:rPr>
        <w:t>ante</w:t>
      </w:r>
      <w:proofErr w:type="spellEnd"/>
      <w:r w:rsidRPr="0056749D">
        <w:rPr>
          <w:lang w:val="sk-SK"/>
        </w:rPr>
        <w:t xml:space="preserve"> so zmierňujúcimi opatreniami, kontroly ex post, ako aj pomoc koordinátora vnútornej kontroly strediska, ktorý dostáva informácie týkajúce sa oznámených konfliktov záujmov;</w:t>
      </w:r>
    </w:p>
    <w:p w:rsidR="00697A62" w:rsidRPr="0056749D" w:rsidRDefault="00697A62" w:rsidP="00697A62">
      <w:pPr>
        <w:pStyle w:val="Normal12Hanging"/>
        <w:rPr>
          <w:szCs w:val="24"/>
          <w:lang w:val="sk-SK"/>
        </w:rPr>
      </w:pPr>
      <w:r w:rsidRPr="0056749D">
        <w:rPr>
          <w:lang w:val="sk-SK"/>
        </w:rPr>
        <w:t>19.</w:t>
      </w:r>
      <w:r w:rsidRPr="0056749D">
        <w:rPr>
          <w:lang w:val="sk-SK"/>
        </w:rPr>
        <w:tab/>
        <w:t xml:space="preserve">pripomína, že podľa nariadenia (EÚ) 2019/128 musia všetci členovia a náhradníci, ktorí sa zúčastňujú na zasadnutiach správnej rady alebo uplatňujú hlasovacie právo, predložiť vyhlásenie o záujmoch; víta skutočnosť, že vyhlásenia o záujmoch všetkých členov správnej rady a náhradníkov, ako aj zamestnancov strediska vo vyšších alebo stredných riadiacich funkciách boli zverejnené na webovom sídle strediska; na základe odpovedí strediska na písomné otázky </w:t>
      </w:r>
      <w:r w:rsidR="00BA2BE7" w:rsidRPr="0056749D">
        <w:rPr>
          <w:lang w:val="sk-SK"/>
        </w:rPr>
        <w:t>Európskeho p</w:t>
      </w:r>
      <w:r w:rsidRPr="0056749D">
        <w:rPr>
          <w:lang w:val="sk-SK"/>
        </w:rPr>
        <w:t>arlamentu konštatuje, že od roku 2022 členovia správnej rady alebo náhradníci, ktorí nepredložia podpísané vyhlásenie o záujmoch, už nie sú pozývaní na zasadnutia správnej rady, nedostávajú dokumenty správnej rady a nezúčastňujú sa na písomných postupoch prijímania rozhodnutí; berie na vedomie zverejnenie životopisov členov správnej rady, hoci sa formálne nevyžaduje; konštatuje, že životopisy niektorých členov správnej rady stále chýbajú, vrátane životopisu predsedu správnej rady; vyzýva stredisko, aby zverejnilo životopisy všetkých svojich členov správnej rady a ich náhradníkov;</w:t>
      </w:r>
    </w:p>
    <w:p w:rsidR="00697A62" w:rsidRPr="0056749D" w:rsidRDefault="00697A62" w:rsidP="00697A62">
      <w:pPr>
        <w:pStyle w:val="Normal12Hanging"/>
        <w:rPr>
          <w:szCs w:val="24"/>
          <w:lang w:val="sk-SK"/>
        </w:rPr>
      </w:pPr>
      <w:r w:rsidRPr="0056749D">
        <w:rPr>
          <w:lang w:val="sk-SK"/>
        </w:rPr>
        <w:t>20.</w:t>
      </w:r>
      <w:r w:rsidRPr="0056749D">
        <w:rPr>
          <w:lang w:val="sk-SK"/>
        </w:rPr>
        <w:tab/>
        <w:t>konštatuje, že stredisko uznáva význam situácií „javu otáčavých dverí“ a pravidelne zvyšuje informovanosť všetkých svojich zamestnancov o vykonávacích pravidlách týkajúcich sa vonkajších činností a úloh a pracovných činností po skončení služby; odporúča, aby všetci zamestnanci, ktorí odchádzajú zo strediska, podpísali list o svojich povinnostiach po odchode zo služby vrátane toho, že ich budúce zamestnanie by nemalo byť v rozpore s ich záväzkom zachovávať mlčanlivosť voči stredisku;</w:t>
      </w:r>
    </w:p>
    <w:p w:rsidR="00697A62" w:rsidRPr="0056749D" w:rsidRDefault="00697A62" w:rsidP="00697A62">
      <w:pPr>
        <w:pStyle w:val="Normal12Hanging"/>
        <w:rPr>
          <w:b/>
          <w:i/>
          <w:szCs w:val="24"/>
          <w:lang w:val="sk-SK"/>
        </w:rPr>
      </w:pPr>
      <w:r w:rsidRPr="0056749D">
        <w:rPr>
          <w:b/>
          <w:i/>
          <w:lang w:val="sk-SK"/>
        </w:rPr>
        <w:t>Vnútorná kontrola</w:t>
      </w:r>
    </w:p>
    <w:p w:rsidR="00697A62" w:rsidRPr="0056749D" w:rsidRDefault="00697A62" w:rsidP="00697A62">
      <w:pPr>
        <w:pStyle w:val="Normal12Hanging"/>
        <w:rPr>
          <w:szCs w:val="24"/>
          <w:lang w:val="sk-SK"/>
        </w:rPr>
      </w:pPr>
      <w:r w:rsidRPr="0056749D">
        <w:rPr>
          <w:lang w:val="sk-SK"/>
        </w:rPr>
        <w:t>21.</w:t>
      </w:r>
      <w:r w:rsidRPr="0056749D">
        <w:rPr>
          <w:lang w:val="sk-SK"/>
        </w:rPr>
        <w:tab/>
        <w:t>konštatuje, že celkové náklady na vnútornú kontrolu dosiahli v roku 2022 výšku 1 101 755 EUR (29 024 EUR priamych nákladov a 1 072 731 EUR nepriamych nákladov), čo predstavuje 6 % rozpočtu strediska; ďalej berie na vedomie vyhlásenie strediska, že mierny nárast nákladov v porovnaní s rokom 2021 (5,3 %) je spôsobený zvýšením mzdových nákladov a kombináciou zamestnancov zapojených do úloh vnútornej kontroly, čo vedie k vyšším nepriamym nákladom;</w:t>
      </w:r>
    </w:p>
    <w:p w:rsidR="00697A62" w:rsidRPr="0056749D" w:rsidRDefault="00697A62" w:rsidP="00697A62">
      <w:pPr>
        <w:pStyle w:val="Normal12Hanging"/>
        <w:rPr>
          <w:szCs w:val="24"/>
          <w:lang w:val="sk-SK"/>
        </w:rPr>
      </w:pPr>
      <w:r w:rsidRPr="0056749D">
        <w:rPr>
          <w:lang w:val="sk-SK"/>
        </w:rPr>
        <w:t>22.</w:t>
      </w:r>
      <w:r w:rsidRPr="0056749D">
        <w:rPr>
          <w:lang w:val="sk-SK"/>
        </w:rPr>
        <w:tab/>
        <w:t xml:space="preserve">berie na vedomie skutočnosť, že v súlade so svojou politikou hodnotenia stredisko vykonáva hodnotenia </w:t>
      </w:r>
      <w:r w:rsidRPr="0056749D">
        <w:rPr>
          <w:i/>
          <w:lang w:val="sk-SK"/>
        </w:rPr>
        <w:t xml:space="preserve">ex </w:t>
      </w:r>
      <w:proofErr w:type="spellStart"/>
      <w:r w:rsidRPr="0056749D">
        <w:rPr>
          <w:i/>
          <w:lang w:val="sk-SK"/>
        </w:rPr>
        <w:t>ante</w:t>
      </w:r>
      <w:proofErr w:type="spellEnd"/>
      <w:r w:rsidRPr="0056749D">
        <w:rPr>
          <w:lang w:val="sk-SK"/>
        </w:rPr>
        <w:t xml:space="preserve"> v prípade postupov verejného obstarávania nad 500 000 EUR a hodnotenia ex post v prípade projektov a činností, ktoré zahŕňajú celkové výdavky nad 500 000 EUR; konštatuje, že v správe vedúceho oddelenia financií a verejného obstarávania za rok 2022 sa dospelo k záveru, že postupy verejného obstarávania začaté v skúmanom období boli v súlade s požiadavkami hodnotenia </w:t>
      </w:r>
      <w:r w:rsidRPr="0056749D">
        <w:rPr>
          <w:i/>
          <w:lang w:val="sk-SK"/>
        </w:rPr>
        <w:t xml:space="preserve">ex </w:t>
      </w:r>
      <w:proofErr w:type="spellStart"/>
      <w:r w:rsidRPr="0056749D">
        <w:rPr>
          <w:i/>
          <w:lang w:val="sk-SK"/>
        </w:rPr>
        <w:t>ante</w:t>
      </w:r>
      <w:proofErr w:type="spellEnd"/>
      <w:r w:rsidRPr="0056749D">
        <w:rPr>
          <w:lang w:val="sk-SK"/>
        </w:rPr>
        <w:t xml:space="preserve">; konštatuje, že v roku 2022 stredisko vykonalo hodnotenie </w:t>
      </w:r>
      <w:r w:rsidRPr="0056749D">
        <w:rPr>
          <w:i/>
          <w:lang w:val="sk-SK"/>
        </w:rPr>
        <w:t>ex post</w:t>
      </w:r>
      <w:r w:rsidRPr="0056749D">
        <w:rPr>
          <w:lang w:val="sk-SK"/>
        </w:rPr>
        <w:t xml:space="preserve"> činnosti zameranej na rámcovú zmluvu v oblasti prieskumu trhu práce a analýzy potrieb zručností (hodnota zmluvy 1 088 350 EUR); konštatuje, že výsledok hodnotenia potvrdil, že táto činnosť bola účinná, efektívna, koherentná a priniesla Únii pridanú hodnotu; ďalej konštatuje, že v roku 2022 pracovná skupina vymenovaná výkonným riaditeľom dospela k záveru, že v prípade vzorky troch postupov verejného obstarávania boli zavedené a dodržané kritériá týkajúce sa účinnej a efektívnej vnútornej kontroly, pričom neboli potrebné žiadne nápravné opatrenia;</w:t>
      </w:r>
    </w:p>
    <w:p w:rsidR="00697A62" w:rsidRPr="0056749D" w:rsidRDefault="00697A62" w:rsidP="00697A62">
      <w:pPr>
        <w:pStyle w:val="Normal12Hanging"/>
        <w:rPr>
          <w:szCs w:val="24"/>
          <w:lang w:val="sk-SK"/>
        </w:rPr>
      </w:pPr>
      <w:r w:rsidRPr="0056749D">
        <w:rPr>
          <w:lang w:val="sk-SK"/>
        </w:rPr>
        <w:t>23.</w:t>
      </w:r>
      <w:r w:rsidRPr="0056749D">
        <w:rPr>
          <w:lang w:val="sk-SK"/>
        </w:rPr>
        <w:tab/>
        <w:t>konštatuje, že stredisko v roku 2022 zaregistrovalo 57 prípadov nedodržania predpisov a žiadostí o výnimku súvisiacich s otázkami zmluvného a finančného riadenia; ďalej konštatuje, že odporúčania koordinátora vnútornej kontroly boli vykonané a boli prijaté následné opatrenia, aby sa zabránilo opakovaniu týchto nedostatkov;</w:t>
      </w:r>
    </w:p>
    <w:p w:rsidR="00697A62" w:rsidRPr="0056749D" w:rsidRDefault="00697A62" w:rsidP="00697A62">
      <w:pPr>
        <w:pStyle w:val="Normal12Hanging"/>
        <w:rPr>
          <w:szCs w:val="24"/>
          <w:lang w:val="sk-SK"/>
        </w:rPr>
      </w:pPr>
      <w:r w:rsidRPr="0056749D">
        <w:rPr>
          <w:lang w:val="sk-SK"/>
        </w:rPr>
        <w:t>24.</w:t>
      </w:r>
      <w:r w:rsidRPr="0056749D">
        <w:rPr>
          <w:lang w:val="sk-SK"/>
        </w:rPr>
        <w:tab/>
        <w:t>konštatuje, že z hodnotenia celkového rámca vnútornej kontroly strediska, ktoré vykonal koordinátor vnútornej kontroly s použitím nástroja poskytnutého GR BUDG, vyplynulo, že rámec vnútornej kontroly je účinný, všetky jeho zložky sú zavedené a fungujú dobre a na zamýšľaný účel, pričom sú potrebné určité zlepšenia v súvislosti so zložkou vnútornej kontroly „kontrolné činnosti“; na základe následnej správy s uznaním konštatuje, že stredisko v rámci svojich činností zameraných na zvyšovanie informovanosti o otázkach etiky, integrity a vnútornej kontroly poskytuje všetkým zamestnancom, ako aj členom správnej rady pravidelné povinné stretnutia týkajúce sa dobrej správy vrátane otázok súvisiacich s podvodmi;</w:t>
      </w:r>
    </w:p>
    <w:p w:rsidR="00697A62" w:rsidRPr="0056749D" w:rsidRDefault="00697A62" w:rsidP="00697A62">
      <w:pPr>
        <w:pStyle w:val="Normal12Hanging"/>
        <w:rPr>
          <w:szCs w:val="24"/>
          <w:lang w:val="sk-SK"/>
        </w:rPr>
      </w:pPr>
      <w:r w:rsidRPr="0056749D">
        <w:rPr>
          <w:b/>
          <w:i/>
          <w:lang w:val="sk-SK"/>
        </w:rPr>
        <w:t>Ďalšie pripomienky</w:t>
      </w:r>
    </w:p>
    <w:p w:rsidR="00697A62" w:rsidRPr="0056749D" w:rsidRDefault="00697A62" w:rsidP="00697A62">
      <w:pPr>
        <w:pStyle w:val="Normal12Hanging"/>
        <w:rPr>
          <w:szCs w:val="24"/>
          <w:lang w:val="sk-SK"/>
        </w:rPr>
      </w:pPr>
      <w:r w:rsidRPr="0056749D">
        <w:rPr>
          <w:lang w:val="sk-SK"/>
        </w:rPr>
        <w:t>25.</w:t>
      </w:r>
      <w:r w:rsidRPr="0056749D">
        <w:rPr>
          <w:lang w:val="sk-SK"/>
        </w:rPr>
        <w:tab/>
        <w:t>víta úsilie strediska komunikovať spôsobmi, ktoré pomáhajú osloviť širšie publikum, vrátane zavedenia strojového prekladu na webovom sídle strediska, aby boli všetky jeho webové stránky dostupné vo všetkých úradných jazykoch inštitúcií Únie; konštatuje, že v roku 2022 stredisko investovalo do viacerých inovatívnych produktov, ako sú firemné videoprodukcie, pohyblivá grafika, animácie (o systémoch odborného vzdelávania a prípravy krajín, ktoré budú v roku 2022 predsedať Únii, konkrétne Francúzska a Česka), podcasty, ako aj nové vizualizácie údajov a online databázy, ktoré posilnili webový portál strediska; s uznaním konštatuje, že publikácie a informačné poznámky strediska sa prostredníctvom priameho stiahnutia dostali k desiatkam tisíc ľudí; chváli stredisko za nárast jeho ukazovateľov v oblasti sociálnych médií v roku 2022;</w:t>
      </w:r>
    </w:p>
    <w:p w:rsidR="00697A62" w:rsidRPr="0056749D" w:rsidRDefault="00697A62" w:rsidP="00697A62">
      <w:pPr>
        <w:pStyle w:val="Normal12Hanging"/>
        <w:rPr>
          <w:szCs w:val="24"/>
          <w:lang w:val="sk-SK"/>
        </w:rPr>
      </w:pPr>
      <w:r w:rsidRPr="0056749D">
        <w:rPr>
          <w:lang w:val="sk-SK"/>
        </w:rPr>
        <w:t>26.</w:t>
      </w:r>
      <w:r w:rsidRPr="0056749D">
        <w:rPr>
          <w:lang w:val="sk-SK"/>
        </w:rPr>
        <w:tab/>
        <w:t>zdôrazňuje, že odborné vzdelávanie a príprava a vzdelávanie dospelých sú kľúčovými prioritami Európskeho sociálneho fondu plus (ESF+) smerom k zelenej a digitálnej obnove, pričom rozpočet ESF+ na obdobie 2021 – 2027 predstavuje takmer 99,3 miliardy EUR;</w:t>
      </w:r>
    </w:p>
    <w:p w:rsidR="00697A62" w:rsidRPr="0056749D" w:rsidRDefault="00697A62" w:rsidP="00697A62">
      <w:pPr>
        <w:pStyle w:val="NormalHanging12a"/>
      </w:pPr>
      <w:r w:rsidRPr="0056749D">
        <w:t>27.</w:t>
      </w:r>
      <w:r w:rsidRPr="0056749D">
        <w:tab/>
        <w:t>berie na vedomie, že v dôsledku vysokej miery inflácie a súvisiacej úpravy platov, zvýšenia platov nad rámec pôvodných prognóz spolu so zvýšením váhového koeficientu bola flexibilita v oblasti zabezpečovania dodatočných zdrojov obmedzená;</w:t>
      </w:r>
    </w:p>
    <w:p w:rsidR="00C20A03" w:rsidRPr="0056749D" w:rsidRDefault="00C20A03" w:rsidP="00C20A03">
      <w:pPr>
        <w:pStyle w:val="NormalHanging12a"/>
        <w:widowControl/>
        <w:ind w:left="0" w:firstLine="0"/>
        <w:jc w:val="center"/>
      </w:pPr>
      <w:r w:rsidRPr="0056749D">
        <w:t>°</w:t>
      </w:r>
    </w:p>
    <w:p w:rsidR="00C20A03" w:rsidRPr="0056749D" w:rsidRDefault="00C20A03" w:rsidP="00C20A03">
      <w:pPr>
        <w:pStyle w:val="NormalHanging12a"/>
        <w:widowControl/>
        <w:ind w:left="0" w:firstLine="0"/>
        <w:jc w:val="center"/>
      </w:pPr>
      <w:r w:rsidRPr="0056749D">
        <w:t>°     °</w:t>
      </w:r>
    </w:p>
    <w:p w:rsidR="00697A62" w:rsidRPr="0056749D" w:rsidRDefault="00697A62" w:rsidP="00697A62">
      <w:pPr>
        <w:pStyle w:val="NormalHanging12a"/>
      </w:pPr>
      <w:r w:rsidRPr="0056749D">
        <w:t>28.</w:t>
      </w:r>
      <w:r w:rsidRPr="0056749D">
        <w:tab/>
        <w:t>pokiaľ ide o ďalšie poznámky horizontálnej povahy, ktoré sú súčasťou rozhodnutia o absolutóriu, odvoláva sa na svoje uznesenie z </w:t>
      </w:r>
      <w:r w:rsidR="004222C3" w:rsidRPr="0056749D">
        <w:t>11</w:t>
      </w:r>
      <w:r w:rsidR="00C20A03" w:rsidRPr="0056749D">
        <w:t xml:space="preserve">. apríla </w:t>
      </w:r>
      <w:r w:rsidRPr="0056749D">
        <w:t>2024</w:t>
      </w:r>
      <w:r w:rsidRPr="0056749D">
        <w:rPr>
          <w:rStyle w:val="FootnoteReference"/>
        </w:rPr>
        <w:footnoteReference w:id="12"/>
      </w:r>
      <w:r w:rsidRPr="0056749D">
        <w:t xml:space="preserve"> o výkonnosti, finančnom riadení a kontrole agentúr.</w:t>
      </w:r>
    </w:p>
    <w:sectPr w:rsidR="00697A62" w:rsidRPr="0056749D" w:rsidSect="0020731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E52" w:rsidRPr="0020731C" w:rsidRDefault="00566E52">
      <w:r w:rsidRPr="0020731C">
        <w:separator/>
      </w:r>
    </w:p>
  </w:endnote>
  <w:endnote w:type="continuationSeparator" w:id="0">
    <w:p w:rsidR="00566E52" w:rsidRPr="0020731C" w:rsidRDefault="00566E52">
      <w:r w:rsidRPr="002073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62" w:rsidRPr="0020731C" w:rsidRDefault="00697A62" w:rsidP="00563E75">
    <w:pPr>
      <w:pStyle w:val="EPFooter"/>
    </w:pPr>
    <w:r w:rsidRPr="0020731C">
      <w:t>PE</w:t>
    </w:r>
    <w:r w:rsidRPr="0020731C">
      <w:rPr>
        <w:rStyle w:val="HideTWBExt"/>
      </w:rPr>
      <w:t>&lt;NoPE&gt;</w:t>
    </w:r>
    <w:r w:rsidRPr="0020731C">
      <w:t>753.509</w:t>
    </w:r>
    <w:r w:rsidRPr="0020731C">
      <w:rPr>
        <w:rStyle w:val="HideTWBExt"/>
      </w:rPr>
      <w:t>&lt;/NoPE&gt;&lt;Version&gt;</w:t>
    </w:r>
    <w:r w:rsidRPr="0020731C">
      <w:t>v02-00</w:t>
    </w:r>
    <w:r w:rsidRPr="0020731C">
      <w:rPr>
        <w:rStyle w:val="HideTWBExt"/>
      </w:rPr>
      <w:t>&lt;/Version&gt;</w:t>
    </w:r>
    <w:r w:rsidRPr="0020731C">
      <w:tab/>
    </w:r>
    <w:r w:rsidRPr="0020731C">
      <w:fldChar w:fldCharType="begin"/>
    </w:r>
    <w:r w:rsidRPr="0020731C">
      <w:instrText xml:space="preserve"> PAGE  \* MERGEFORMAT </w:instrText>
    </w:r>
    <w:r w:rsidRPr="0020731C">
      <w:fldChar w:fldCharType="separate"/>
    </w:r>
    <w:r w:rsidR="0020731C" w:rsidRPr="0020731C">
      <w:rPr>
        <w:noProof/>
      </w:rPr>
      <w:t>2</w:t>
    </w:r>
    <w:r w:rsidRPr="0020731C">
      <w:fldChar w:fldCharType="end"/>
    </w:r>
    <w:r w:rsidRPr="0020731C">
      <w:t>/</w:t>
    </w:r>
    <w:fldSimple w:instr=" NUMPAGES  \* MERGEFORMAT ">
      <w:r w:rsidR="0020731C" w:rsidRPr="0020731C">
        <w:rPr>
          <w:noProof/>
        </w:rPr>
        <w:t>4</w:t>
      </w:r>
    </w:fldSimple>
    <w:r w:rsidRPr="0020731C">
      <w:tab/>
    </w:r>
    <w:r w:rsidRPr="0020731C">
      <w:rPr>
        <w:rStyle w:val="HideTWBExt"/>
      </w:rPr>
      <w:t>&lt;PathFdR&gt;</w:t>
    </w:r>
    <w:r w:rsidRPr="0020731C">
      <w:t>RR\1298579SK.docx</w:t>
    </w:r>
    <w:r w:rsidRPr="0020731C">
      <w:rPr>
        <w:rStyle w:val="HideTWBExt"/>
      </w:rPr>
      <w:t>&lt;/PathFdR&gt;</w:t>
    </w:r>
  </w:p>
  <w:p w:rsidR="00697A62" w:rsidRPr="0020731C" w:rsidRDefault="00697A62" w:rsidP="00563E75">
    <w:pPr>
      <w:pStyle w:val="EPFooter2"/>
    </w:pPr>
    <w:r w:rsidRPr="0020731C">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62" w:rsidRPr="0020731C" w:rsidRDefault="00697A62" w:rsidP="00563E75">
    <w:pPr>
      <w:pStyle w:val="EPFooter"/>
    </w:pPr>
    <w:r w:rsidRPr="0020731C">
      <w:rPr>
        <w:rStyle w:val="HideTWBExt"/>
      </w:rPr>
      <w:t>&lt;PathFdR&gt;</w:t>
    </w:r>
    <w:r w:rsidRPr="0020731C">
      <w:t>RR\1298579SK.docx</w:t>
    </w:r>
    <w:r w:rsidRPr="0020731C">
      <w:rPr>
        <w:rStyle w:val="HideTWBExt"/>
      </w:rPr>
      <w:t>&lt;/PathFdR&gt;</w:t>
    </w:r>
    <w:r w:rsidRPr="0020731C">
      <w:tab/>
    </w:r>
    <w:r w:rsidRPr="0020731C">
      <w:tab/>
      <w:t>PE</w:t>
    </w:r>
    <w:r w:rsidRPr="0020731C">
      <w:rPr>
        <w:rStyle w:val="HideTWBExt"/>
      </w:rPr>
      <w:t>&lt;NoPE&gt;</w:t>
    </w:r>
    <w:r w:rsidRPr="0020731C">
      <w:t>753.509</w:t>
    </w:r>
    <w:r w:rsidRPr="0020731C">
      <w:rPr>
        <w:rStyle w:val="HideTWBExt"/>
      </w:rPr>
      <w:t>&lt;/NoPE&gt;&lt;Version&gt;</w:t>
    </w:r>
    <w:r w:rsidRPr="0020731C">
      <w:t>v02-00</w:t>
    </w:r>
    <w:r w:rsidRPr="0020731C">
      <w:rPr>
        <w:rStyle w:val="HideTWBExt"/>
      </w:rPr>
      <w:t>&lt;/Version&gt;</w:t>
    </w:r>
  </w:p>
  <w:p w:rsidR="00697A62" w:rsidRPr="0020731C" w:rsidRDefault="00697A62" w:rsidP="00563E75">
    <w:pPr>
      <w:pStyle w:val="EPFooter2"/>
    </w:pPr>
    <w:r w:rsidRPr="0020731C">
      <w:t>SK</w:t>
    </w:r>
    <w:r w:rsidRPr="0020731C">
      <w:tab/>
    </w:r>
    <w:r w:rsidRPr="0020731C">
      <w:rPr>
        <w:b w:val="0"/>
        <w:i/>
        <w:color w:val="C0C0C0"/>
        <w:sz w:val="22"/>
      </w:rPr>
      <w:t>Zjednotení v rozmanitosti</w:t>
    </w:r>
    <w:r w:rsidRPr="0020731C">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31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31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3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E52" w:rsidRPr="0020731C" w:rsidRDefault="00566E52">
      <w:r w:rsidRPr="0020731C">
        <w:separator/>
      </w:r>
    </w:p>
  </w:footnote>
  <w:footnote w:type="continuationSeparator" w:id="0">
    <w:p w:rsidR="00566E52" w:rsidRPr="0020731C" w:rsidRDefault="00566E52">
      <w:r w:rsidRPr="0020731C">
        <w:continuationSeparator/>
      </w:r>
    </w:p>
  </w:footnote>
  <w:footnote w:id="1">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C, C/2023/594, 27.10.2023.</w:t>
      </w:r>
    </w:p>
  </w:footnote>
  <w:footnote w:id="2">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C, C/2023/112, 12.10.2023.</w:t>
      </w:r>
    </w:p>
  </w:footnote>
  <w:footnote w:id="3">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L 193, 30.7.2018, s. 1.</w:t>
      </w:r>
    </w:p>
  </w:footnote>
  <w:footnote w:id="4">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L 30, 31.1.2019, s. 90.</w:t>
      </w:r>
    </w:p>
  </w:footnote>
  <w:footnote w:id="5">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L 122, 10.5.2019, s. 1.</w:t>
      </w:r>
    </w:p>
  </w:footnote>
  <w:footnote w:id="6">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C, C/2023/594, 27.10.2023.</w:t>
      </w:r>
    </w:p>
  </w:footnote>
  <w:footnote w:id="7">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C, C/2023/112, 12.10.2023.</w:t>
      </w:r>
    </w:p>
  </w:footnote>
  <w:footnote w:id="8">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L 193, 30.7.2018, s. 1.</w:t>
      </w:r>
    </w:p>
  </w:footnote>
  <w:footnote w:id="9">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L 30, 31.1.2019, s. 90.</w:t>
      </w:r>
    </w:p>
  </w:footnote>
  <w:footnote w:id="10">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L 122, 10.5.2019, s. 1.</w:t>
      </w:r>
    </w:p>
  </w:footnote>
  <w:footnote w:id="11">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Ú. v. EÚ C 73, 28.2.2023, s. 4.</w:t>
      </w:r>
    </w:p>
  </w:footnote>
  <w:footnote w:id="12">
    <w:p w:rsidR="00697A62" w:rsidRPr="0020731C" w:rsidRDefault="00697A62" w:rsidP="0020731C">
      <w:pPr>
        <w:pStyle w:val="FootnoteText"/>
        <w:ind w:left="567" w:hanging="567"/>
        <w:rPr>
          <w:sz w:val="24"/>
          <w:lang w:val="sk-SK"/>
        </w:rPr>
      </w:pPr>
      <w:r w:rsidRPr="0020731C">
        <w:rPr>
          <w:rStyle w:val="FootnoteReference"/>
          <w:sz w:val="24"/>
          <w:lang w:val="sk-SK"/>
        </w:rPr>
        <w:footnoteRef/>
      </w:r>
      <w:r w:rsidR="0020731C" w:rsidRPr="0020731C">
        <w:rPr>
          <w:sz w:val="24"/>
          <w:lang w:val="sk-SK"/>
        </w:rPr>
        <w:t xml:space="preserve"> </w:t>
      </w:r>
      <w:r w:rsidR="0020731C" w:rsidRPr="0020731C">
        <w:rPr>
          <w:sz w:val="24"/>
          <w:lang w:val="sk-SK"/>
        </w:rPr>
        <w:tab/>
      </w:r>
      <w:r w:rsidRPr="0020731C">
        <w:rPr>
          <w:sz w:val="24"/>
          <w:lang w:val="sk-SK"/>
        </w:rPr>
        <w:t>Prijaté texty, P9_TA(2024)0</w:t>
      </w:r>
      <w:r w:rsidR="0056749D">
        <w:rPr>
          <w:sz w:val="24"/>
          <w:lang w:val="sk-SK"/>
        </w:rPr>
        <w:t>280</w:t>
      </w:r>
      <w:r w:rsidRPr="0020731C">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3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3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3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SK"/>
    <w:docVar w:name="dvnumam" w:val="0"/>
    <w:docVar w:name="dvpe" w:val="753.509"/>
    <w:docVar w:name="dvrapporteur" w:val="Spravodajca: "/>
    <w:docVar w:name="dvtitre" w:val="Rozhodnutie Európskeho parlamentu z xx. apríla 2024 o absolutóriu za plnenie rozpočtu Európskeho strediska pre rozvoj odborného vzdelávania (Cedefop) za rozpočtový rok 2022(2023/2143(DEC))"/>
  </w:docVars>
  <w:rsids>
    <w:rsidRoot w:val="00566E52"/>
    <w:rsid w:val="00002272"/>
    <w:rsid w:val="00064002"/>
    <w:rsid w:val="000677B9"/>
    <w:rsid w:val="000831BA"/>
    <w:rsid w:val="000A42CC"/>
    <w:rsid w:val="000E7DD9"/>
    <w:rsid w:val="000F189B"/>
    <w:rsid w:val="0010095E"/>
    <w:rsid w:val="00125B37"/>
    <w:rsid w:val="00187494"/>
    <w:rsid w:val="001F32AE"/>
    <w:rsid w:val="0020731C"/>
    <w:rsid w:val="002767FF"/>
    <w:rsid w:val="002B18FE"/>
    <w:rsid w:val="002B5493"/>
    <w:rsid w:val="00343214"/>
    <w:rsid w:val="00361C00"/>
    <w:rsid w:val="00395FA1"/>
    <w:rsid w:val="003E15D4"/>
    <w:rsid w:val="00411CCE"/>
    <w:rsid w:val="0041666E"/>
    <w:rsid w:val="00421060"/>
    <w:rsid w:val="004222C3"/>
    <w:rsid w:val="00471C19"/>
    <w:rsid w:val="004867E3"/>
    <w:rsid w:val="00494A28"/>
    <w:rsid w:val="004C0004"/>
    <w:rsid w:val="004C5D52"/>
    <w:rsid w:val="0050519A"/>
    <w:rsid w:val="005072A1"/>
    <w:rsid w:val="00514517"/>
    <w:rsid w:val="00545827"/>
    <w:rsid w:val="00560270"/>
    <w:rsid w:val="00566E52"/>
    <w:rsid w:val="0056749D"/>
    <w:rsid w:val="005C2568"/>
    <w:rsid w:val="006037C0"/>
    <w:rsid w:val="006631B6"/>
    <w:rsid w:val="00680577"/>
    <w:rsid w:val="00693DF5"/>
    <w:rsid w:val="00697A62"/>
    <w:rsid w:val="006F74FA"/>
    <w:rsid w:val="00731ADD"/>
    <w:rsid w:val="00734777"/>
    <w:rsid w:val="00747932"/>
    <w:rsid w:val="00751A4A"/>
    <w:rsid w:val="00756632"/>
    <w:rsid w:val="00762C74"/>
    <w:rsid w:val="00762CE2"/>
    <w:rsid w:val="00786EC0"/>
    <w:rsid w:val="007D1690"/>
    <w:rsid w:val="007E22AD"/>
    <w:rsid w:val="00817416"/>
    <w:rsid w:val="00842779"/>
    <w:rsid w:val="0085480F"/>
    <w:rsid w:val="00865F67"/>
    <w:rsid w:val="00881A7B"/>
    <w:rsid w:val="008840E5"/>
    <w:rsid w:val="00887B3E"/>
    <w:rsid w:val="008C2AC6"/>
    <w:rsid w:val="008D2288"/>
    <w:rsid w:val="00930C23"/>
    <w:rsid w:val="0093193B"/>
    <w:rsid w:val="009509D8"/>
    <w:rsid w:val="00950B64"/>
    <w:rsid w:val="00981893"/>
    <w:rsid w:val="009F3A72"/>
    <w:rsid w:val="00A1687D"/>
    <w:rsid w:val="00A43E52"/>
    <w:rsid w:val="00A4678D"/>
    <w:rsid w:val="00A778C7"/>
    <w:rsid w:val="00AB441E"/>
    <w:rsid w:val="00AB6293"/>
    <w:rsid w:val="00AE0928"/>
    <w:rsid w:val="00AF3B82"/>
    <w:rsid w:val="00B12E95"/>
    <w:rsid w:val="00B22876"/>
    <w:rsid w:val="00B558F0"/>
    <w:rsid w:val="00BA2BE7"/>
    <w:rsid w:val="00BD48FE"/>
    <w:rsid w:val="00BD7BD8"/>
    <w:rsid w:val="00BE6ADC"/>
    <w:rsid w:val="00C05BFE"/>
    <w:rsid w:val="00C20A0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95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2F9276-8908-498A-9254-4B7D520B3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7A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7A62"/>
    <w:pPr>
      <w:spacing w:before="480" w:after="240"/>
    </w:pPr>
  </w:style>
  <w:style w:type="paragraph" w:customStyle="1" w:styleId="PageHeading">
    <w:name w:val="PageHeading"/>
    <w:basedOn w:val="Normal"/>
    <w:rsid w:val="00697A62"/>
    <w:pPr>
      <w:keepNext/>
      <w:spacing w:after="480"/>
      <w:jc w:val="center"/>
    </w:pPr>
    <w:rPr>
      <w:rFonts w:ascii="Arial" w:hAnsi="Arial" w:cs="Arial"/>
      <w:b/>
    </w:rPr>
  </w:style>
  <w:style w:type="paragraph" w:customStyle="1" w:styleId="NormalBold">
    <w:name w:val="NormalBold"/>
    <w:basedOn w:val="Normal"/>
    <w:rsid w:val="00697A62"/>
    <w:rPr>
      <w:b/>
    </w:rPr>
  </w:style>
  <w:style w:type="paragraph" w:customStyle="1" w:styleId="NormalHanging12a">
    <w:name w:val="NormalHanging12a"/>
    <w:basedOn w:val="Normal"/>
    <w:link w:val="NormalHanging12aChar"/>
    <w:rsid w:val="00697A62"/>
    <w:pPr>
      <w:spacing w:after="240"/>
      <w:ind w:left="567" w:hanging="567"/>
    </w:pPr>
  </w:style>
  <w:style w:type="paragraph" w:customStyle="1" w:styleId="NormalCenter12a">
    <w:name w:val="NormalCenter12a"/>
    <w:basedOn w:val="Normal"/>
    <w:rsid w:val="00697A62"/>
    <w:pPr>
      <w:spacing w:after="240"/>
      <w:jc w:val="center"/>
    </w:pPr>
  </w:style>
  <w:style w:type="paragraph" w:styleId="Header">
    <w:name w:val="header"/>
    <w:basedOn w:val="Normal"/>
    <w:link w:val="HeaderChar"/>
    <w:rsid w:val="00697A62"/>
    <w:pPr>
      <w:tabs>
        <w:tab w:val="center" w:pos="4513"/>
        <w:tab w:val="right" w:pos="9026"/>
      </w:tabs>
    </w:pPr>
  </w:style>
  <w:style w:type="character" w:customStyle="1" w:styleId="HeaderChar">
    <w:name w:val="Header Char"/>
    <w:basedOn w:val="DefaultParagraphFont"/>
    <w:link w:val="Header"/>
    <w:rsid w:val="00697A62"/>
    <w:rPr>
      <w:sz w:val="24"/>
      <w:lang w:val="sk-SK"/>
    </w:rPr>
  </w:style>
  <w:style w:type="paragraph" w:customStyle="1" w:styleId="EPFooter">
    <w:name w:val="EPFooter"/>
    <w:basedOn w:val="Normal"/>
    <w:rsid w:val="00697A62"/>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697A62"/>
    <w:rPr>
      <w:sz w:val="24"/>
    </w:rPr>
  </w:style>
  <w:style w:type="paragraph" w:customStyle="1" w:styleId="Normal12Hanging">
    <w:name w:val="Normal12Hanging"/>
    <w:basedOn w:val="Normal"/>
    <w:link w:val="Normal12HangingChar"/>
    <w:rsid w:val="00697A62"/>
    <w:pPr>
      <w:spacing w:after="240"/>
      <w:ind w:left="567" w:hanging="567"/>
    </w:pPr>
    <w:rPr>
      <w:lang w:val="en-GB"/>
    </w:rPr>
  </w:style>
  <w:style w:type="character" w:customStyle="1" w:styleId="NormalHanging12aChar">
    <w:name w:val="NormalHanging12a Char"/>
    <w:basedOn w:val="DefaultParagraphFont"/>
    <w:link w:val="NormalHanging12a"/>
    <w:locked/>
    <w:rsid w:val="00697A62"/>
    <w:rPr>
      <w:sz w:val="24"/>
      <w:lang w:val="sk-SK"/>
    </w:rPr>
  </w:style>
  <w:style w:type="paragraph" w:styleId="Footer">
    <w:name w:val="footer"/>
    <w:basedOn w:val="Normal"/>
    <w:link w:val="FooterChar"/>
    <w:rsid w:val="008D2288"/>
    <w:pPr>
      <w:tabs>
        <w:tab w:val="center" w:pos="4513"/>
        <w:tab w:val="right" w:pos="9026"/>
      </w:tabs>
    </w:pPr>
  </w:style>
  <w:style w:type="character" w:customStyle="1" w:styleId="FooterChar">
    <w:name w:val="Footer Char"/>
    <w:basedOn w:val="DefaultParagraphFont"/>
    <w:link w:val="Footer"/>
    <w:rsid w:val="008D2288"/>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3F129-2F93-44D8-9148-799674984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3861</Words>
  <Characters>23595</Characters>
  <Application>Microsoft Office Word</Application>
  <DocSecurity>0</DocSecurity>
  <Lines>196</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2024-05-15T13:04:00Z</dcterms:created>
  <dcterms:modified xsi:type="dcterms:W3CDTF">2024-05-15T13:04:00Z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P9_TA(2024)0238_</vt:lpwstr>
  </property>
  <property fmtid="{D5CDD505-2E9C-101B-9397-08002B2CF9AE}" pid="4" name="&lt;Type&gt;">
    <vt:lpwstr>RR</vt:lpwstr>
  </property>
</Properties>
</file>