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4C6F" w:rsidTr="0010095E">
        <w:trPr>
          <w:trHeight w:hRule="exact" w:val="1418"/>
        </w:trPr>
        <w:tc>
          <w:tcPr>
            <w:tcW w:w="6804" w:type="dxa"/>
            <w:shd w:val="clear" w:color="auto" w:fill="auto"/>
            <w:vAlign w:val="center"/>
          </w:tcPr>
          <w:p w:rsidR="00751A4A" w:rsidRPr="00974C6F" w:rsidRDefault="00A45A1D" w:rsidP="0010095E">
            <w:pPr>
              <w:pStyle w:val="EPName"/>
            </w:pPr>
            <w:bookmarkStart w:id="0" w:name="_GoBack"/>
            <w:bookmarkEnd w:id="0"/>
            <w:r w:rsidRPr="00974C6F">
              <w:t>Evropski parlament</w:t>
            </w:r>
          </w:p>
          <w:p w:rsidR="00751A4A" w:rsidRPr="00974C6F" w:rsidRDefault="00817416" w:rsidP="00756632">
            <w:pPr>
              <w:pStyle w:val="EPTerm"/>
              <w:rPr>
                <w:rStyle w:val="HideTWBExt"/>
                <w:noProof w:val="0"/>
                <w:vanish w:val="0"/>
                <w:color w:val="auto"/>
              </w:rPr>
            </w:pPr>
            <w:r w:rsidRPr="00974C6F">
              <w:t>2019-2024</w:t>
            </w:r>
          </w:p>
        </w:tc>
        <w:tc>
          <w:tcPr>
            <w:tcW w:w="2268" w:type="dxa"/>
            <w:shd w:val="clear" w:color="auto" w:fill="auto"/>
          </w:tcPr>
          <w:p w:rsidR="00751A4A" w:rsidRPr="00974C6F" w:rsidRDefault="00187494" w:rsidP="0010095E">
            <w:pPr>
              <w:pStyle w:val="EPLogo"/>
            </w:pPr>
            <w:r w:rsidRPr="00974C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4C6F" w:rsidRDefault="00D058B8" w:rsidP="004C5D52">
      <w:pPr>
        <w:pStyle w:val="LineTop"/>
      </w:pPr>
    </w:p>
    <w:p w:rsidR="00680577" w:rsidRPr="00974C6F" w:rsidRDefault="00A45A1D" w:rsidP="00680577">
      <w:pPr>
        <w:pStyle w:val="EPBodyTA1"/>
      </w:pPr>
      <w:r w:rsidRPr="00974C6F">
        <w:t>SPREJETA BESEDILA</w:t>
      </w:r>
    </w:p>
    <w:p w:rsidR="00D058B8" w:rsidRPr="00974C6F" w:rsidRDefault="00D058B8" w:rsidP="00D058B8">
      <w:pPr>
        <w:pStyle w:val="LineBottom"/>
      </w:pPr>
    </w:p>
    <w:p w:rsidR="00A45A1D" w:rsidRPr="00974C6F" w:rsidRDefault="00A45A1D" w:rsidP="00974C6F">
      <w:pPr>
        <w:pStyle w:val="ATHeading1"/>
      </w:pPr>
      <w:bookmarkStart w:id="1" w:name="TANumber"/>
      <w:r w:rsidRPr="00974C6F">
        <w:t>P9_TA(2024)0</w:t>
      </w:r>
      <w:r w:rsidR="00974C6F" w:rsidRPr="00974C6F">
        <w:t>238</w:t>
      </w:r>
      <w:bookmarkEnd w:id="1"/>
    </w:p>
    <w:p w:rsidR="00A45A1D" w:rsidRPr="00974C6F" w:rsidRDefault="00A45A1D" w:rsidP="00A45A1D">
      <w:pPr>
        <w:pStyle w:val="ATHeading2"/>
      </w:pPr>
      <w:bookmarkStart w:id="2" w:name="title"/>
      <w:r w:rsidRPr="00974C6F">
        <w:t>Razrešnica za leto 2022: Evropski center za razvoj poklicnega usposabljanja (Cedefop)</w:t>
      </w:r>
      <w:bookmarkEnd w:id="2"/>
    </w:p>
    <w:p w:rsidR="00A45A1D" w:rsidRPr="00974C6F" w:rsidRDefault="00A45A1D" w:rsidP="00A45A1D">
      <w:pPr>
        <w:rPr>
          <w:i/>
          <w:vanish/>
        </w:rPr>
      </w:pPr>
      <w:r w:rsidRPr="00974C6F">
        <w:rPr>
          <w:i/>
        </w:rPr>
        <w:fldChar w:fldCharType="begin"/>
      </w:r>
      <w:r w:rsidRPr="00974C6F">
        <w:rPr>
          <w:i/>
        </w:rPr>
        <w:instrText xml:space="preserve"> TC"(</w:instrText>
      </w:r>
      <w:bookmarkStart w:id="3" w:name="DocNumber"/>
      <w:r w:rsidRPr="00974C6F">
        <w:rPr>
          <w:i/>
        </w:rPr>
        <w:instrText>A9-0080/2024</w:instrText>
      </w:r>
      <w:bookmarkEnd w:id="3"/>
      <w:r w:rsidRPr="00974C6F">
        <w:rPr>
          <w:i/>
        </w:rPr>
        <w:instrText xml:space="preserve"> - Poročevalec: Petri Sarvamaa)"\l3 \n&gt; \* MERGEFORMAT </w:instrText>
      </w:r>
      <w:r w:rsidRPr="00974C6F">
        <w:rPr>
          <w:i/>
        </w:rPr>
        <w:fldChar w:fldCharType="end"/>
      </w:r>
    </w:p>
    <w:p w:rsidR="00A45A1D" w:rsidRPr="00974C6F" w:rsidRDefault="00A45A1D" w:rsidP="00A45A1D">
      <w:pPr>
        <w:rPr>
          <w:vanish/>
        </w:rPr>
      </w:pPr>
      <w:bookmarkStart w:id="4" w:name="Commission"/>
      <w:r w:rsidRPr="00974C6F">
        <w:rPr>
          <w:vanish/>
        </w:rPr>
        <w:t>Odbor za proračunski nadzor</w:t>
      </w:r>
      <w:bookmarkEnd w:id="4"/>
    </w:p>
    <w:p w:rsidR="00A45A1D" w:rsidRPr="00974C6F" w:rsidRDefault="00A45A1D" w:rsidP="00A45A1D">
      <w:pPr>
        <w:rPr>
          <w:vanish/>
        </w:rPr>
      </w:pPr>
      <w:bookmarkStart w:id="5" w:name="PE"/>
      <w:r w:rsidRPr="00974C6F">
        <w:rPr>
          <w:vanish/>
        </w:rPr>
        <w:t>PE753.509</w:t>
      </w:r>
      <w:bookmarkEnd w:id="5"/>
    </w:p>
    <w:p w:rsidR="00A45A1D" w:rsidRPr="00974C6F" w:rsidRDefault="00A45A1D" w:rsidP="00A45A1D">
      <w:pPr>
        <w:pStyle w:val="ATHeading3"/>
      </w:pPr>
      <w:bookmarkStart w:id="6" w:name="Sujet"/>
      <w:r w:rsidRPr="00974C6F">
        <w:t>1. Sklep Evropskega parlamenta z dne 11. aprila 2024 o razrešnici glede izvrševanja proračuna Evropskega centra za razvoj poklicnega usposabljanja (Cedefop) za proračunsko leto 2022</w:t>
      </w:r>
      <w:bookmarkEnd w:id="6"/>
      <w:r w:rsidRPr="00974C6F">
        <w:t xml:space="preserve"> </w:t>
      </w:r>
      <w:bookmarkStart w:id="7" w:name="References"/>
      <w:r w:rsidRPr="00974C6F">
        <w:t>(2023/2143(DEC))</w:t>
      </w:r>
      <w:bookmarkEnd w:id="7"/>
    </w:p>
    <w:p w:rsidR="00C92FD2" w:rsidRPr="00974C6F" w:rsidRDefault="00C92FD2" w:rsidP="00C92FD2">
      <w:pPr>
        <w:pStyle w:val="EPComma"/>
      </w:pPr>
      <w:bookmarkStart w:id="8" w:name="TextBodyBegin"/>
      <w:bookmarkEnd w:id="8"/>
      <w:r w:rsidRPr="00974C6F">
        <w:rPr>
          <w:i/>
        </w:rPr>
        <w:t>Evropski parlament</w:t>
      </w:r>
      <w:r w:rsidRPr="00974C6F">
        <w:t>,</w:t>
      </w:r>
    </w:p>
    <w:p w:rsidR="00C92FD2" w:rsidRPr="00974C6F" w:rsidRDefault="00C92FD2" w:rsidP="00C92FD2">
      <w:pPr>
        <w:pStyle w:val="NormalHanging12a"/>
      </w:pPr>
      <w:r w:rsidRPr="00974C6F">
        <w:t>–</w:t>
      </w:r>
      <w:r w:rsidRPr="00974C6F">
        <w:tab/>
        <w:t>ob upoštevanju končnega zaključnega računa Evropskega centra za razvoj poklicnega usposabljanja (Cedefop) za proračunsko leto 2022,</w:t>
      </w:r>
    </w:p>
    <w:p w:rsidR="00C92FD2" w:rsidRPr="00974C6F" w:rsidRDefault="00C92FD2" w:rsidP="00C92FD2">
      <w:pPr>
        <w:pStyle w:val="NormalHanging12a"/>
      </w:pPr>
      <w:r w:rsidRPr="00974C6F">
        <w:t>–</w:t>
      </w:r>
      <w:r w:rsidRPr="00974C6F">
        <w:tab/>
        <w:t>ob upoštevanju letnega poročila Računskega sodišča o agencijah EU za proračunsko leto 2022 skupaj z odgovori agencij</w:t>
      </w:r>
      <w:r w:rsidRPr="00974C6F">
        <w:rPr>
          <w:rStyle w:val="FootnoteReference"/>
        </w:rPr>
        <w:footnoteReference w:id="1"/>
      </w:r>
      <w:r w:rsidRPr="00974C6F">
        <w:t>,</w:t>
      </w:r>
    </w:p>
    <w:p w:rsidR="00C92FD2" w:rsidRPr="00974C6F" w:rsidRDefault="00C92FD2" w:rsidP="00C92FD2">
      <w:pPr>
        <w:pStyle w:val="NormalHanging12a"/>
      </w:pPr>
      <w:r w:rsidRPr="00974C6F">
        <w:t>–</w:t>
      </w:r>
      <w:r w:rsidRPr="00974C6F">
        <w:tab/>
        <w:t>ob upoštevanju izjave o zanesljivosti</w:t>
      </w:r>
      <w:r w:rsidRPr="00974C6F">
        <w:rPr>
          <w:rStyle w:val="FootnoteReference"/>
        </w:rPr>
        <w:footnoteReference w:id="2"/>
      </w:r>
      <w:r w:rsidRPr="00974C6F">
        <w:t xml:space="preserve"> računovodskih izkazov ter zakonitosti in pravilnosti z njimi povezanih transakcij, ki jo je za proračunsko leto 2022 v skladu s členom 287 Pogodbe o delovanju Evropske unije pripravilo Računsko sodišče,</w:t>
      </w:r>
    </w:p>
    <w:p w:rsidR="00C92FD2" w:rsidRPr="00974C6F" w:rsidRDefault="00C92FD2" w:rsidP="000431AB">
      <w:pPr>
        <w:pStyle w:val="NormalHanging12a"/>
      </w:pPr>
      <w:r w:rsidRPr="00974C6F">
        <w:t>–</w:t>
      </w:r>
      <w:r w:rsidRPr="00974C6F">
        <w:tab/>
        <w:t>ob upoštevanju priporočila Sveta z dne 22. februarja 2024 o podelitvi razrešnice centru glede izvrševanja proračuna za proračunsko leto 2022 (</w:t>
      </w:r>
      <w:r w:rsidR="000431AB" w:rsidRPr="00974C6F">
        <w:t>06180</w:t>
      </w:r>
      <w:r w:rsidRPr="00974C6F">
        <w:t>/2024 – C9</w:t>
      </w:r>
      <w:r w:rsidRPr="00974C6F">
        <w:noBreakHyphen/>
      </w:r>
      <w:r w:rsidR="000431AB" w:rsidRPr="00974C6F">
        <w:t>0081</w:t>
      </w:r>
      <w:r w:rsidRPr="00974C6F">
        <w:t>/2024),</w:t>
      </w:r>
    </w:p>
    <w:p w:rsidR="00C92FD2" w:rsidRPr="00974C6F" w:rsidRDefault="00C92FD2" w:rsidP="00C92FD2">
      <w:pPr>
        <w:pStyle w:val="NormalHanging12a"/>
      </w:pPr>
      <w:r w:rsidRPr="00974C6F">
        <w:t>–</w:t>
      </w:r>
      <w:r w:rsidRPr="00974C6F">
        <w:tab/>
        <w:t>ob upoštevanju člena 319 Pogodbe o delovanju Evropske unije,</w:t>
      </w:r>
    </w:p>
    <w:p w:rsidR="00C92FD2" w:rsidRPr="00974C6F" w:rsidRDefault="00C92FD2" w:rsidP="00C92FD2">
      <w:pPr>
        <w:pStyle w:val="NormalHanging12a"/>
      </w:pPr>
      <w:r w:rsidRPr="00974C6F">
        <w:t>–</w:t>
      </w:r>
      <w:r w:rsidRPr="00974C6F">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74C6F">
        <w:rPr>
          <w:rStyle w:val="FootnoteReference"/>
        </w:rPr>
        <w:footnoteReference w:id="3"/>
      </w:r>
      <w:r w:rsidRPr="00974C6F">
        <w:t xml:space="preserve"> in zlasti člena 70,</w:t>
      </w:r>
    </w:p>
    <w:p w:rsidR="00C92FD2" w:rsidRPr="00974C6F" w:rsidRDefault="00C92FD2" w:rsidP="00C92FD2">
      <w:pPr>
        <w:pStyle w:val="NormalHanging12a"/>
      </w:pPr>
      <w:r w:rsidRPr="00974C6F">
        <w:t>–</w:t>
      </w:r>
      <w:r w:rsidRPr="00974C6F">
        <w:tab/>
        <w:t xml:space="preserve">ob upoštevanju Uredbe (EU) 2019/128 Evropskega parlamenta in Sveta z dne 16. januarja 2019 o ustanovitvi Evropskega centra za razvoj poklicnega usposabljanja </w:t>
      </w:r>
      <w:r w:rsidRPr="00974C6F">
        <w:lastRenderedPageBreak/>
        <w:t>(Cedefop) in o razveljavitvi Uredbe Sveta (EGS) št. 337/75</w:t>
      </w:r>
      <w:r w:rsidRPr="00974C6F">
        <w:rPr>
          <w:rStyle w:val="FootnoteReference"/>
        </w:rPr>
        <w:footnoteReference w:id="4"/>
      </w:r>
      <w:r w:rsidRPr="00974C6F">
        <w:t xml:space="preserve"> in zlasti člena 15,</w:t>
      </w:r>
    </w:p>
    <w:p w:rsidR="00C92FD2" w:rsidRPr="00974C6F" w:rsidRDefault="00C92FD2" w:rsidP="00C92FD2">
      <w:pPr>
        <w:pStyle w:val="NormalHanging12a"/>
      </w:pPr>
      <w:r w:rsidRPr="00974C6F">
        <w:t>–</w:t>
      </w:r>
      <w:r w:rsidRPr="00974C6F">
        <w:tab/>
        <w:t>ob upoštevanju Delegirane uredbe Komisije (EU) 2019/715 z dne 18. decembra 2018 o okvirni finančni uredbi za organe, ustanovljene na podlagi PDEU in Pogodbe Euratom, iz člena 70 Uredbe (EU, Euratom) 2018/1046 Evropskega parlamenta in Sveta</w:t>
      </w:r>
      <w:r w:rsidRPr="00974C6F">
        <w:rPr>
          <w:rStyle w:val="FootnoteReference"/>
        </w:rPr>
        <w:footnoteReference w:id="5"/>
      </w:r>
      <w:r w:rsidRPr="00974C6F">
        <w:t xml:space="preserve"> in zlasti člena 105,</w:t>
      </w:r>
    </w:p>
    <w:p w:rsidR="00C92FD2" w:rsidRPr="00974C6F" w:rsidRDefault="00C92FD2" w:rsidP="00C92FD2">
      <w:pPr>
        <w:pStyle w:val="NormalHanging12a"/>
      </w:pPr>
      <w:r w:rsidRPr="00974C6F">
        <w:t>–</w:t>
      </w:r>
      <w:r w:rsidRPr="00974C6F">
        <w:tab/>
        <w:t>ob upoštevanju člena 100 in Priloge V Poslovnika,</w:t>
      </w:r>
    </w:p>
    <w:p w:rsidR="00C92FD2" w:rsidRPr="00974C6F" w:rsidRDefault="00C92FD2" w:rsidP="00C92FD2">
      <w:pPr>
        <w:pStyle w:val="NormalHanging12a"/>
      </w:pPr>
      <w:r w:rsidRPr="00974C6F">
        <w:t>–</w:t>
      </w:r>
      <w:r w:rsidRPr="00974C6F">
        <w:tab/>
        <w:t>ob upoštevanju mnenja Odbora za zaposlovanje in socialne zadeve,</w:t>
      </w:r>
    </w:p>
    <w:p w:rsidR="00C92FD2" w:rsidRPr="00974C6F" w:rsidRDefault="00C92FD2" w:rsidP="00C92FD2">
      <w:pPr>
        <w:pStyle w:val="NormalHanging12a"/>
      </w:pPr>
      <w:r w:rsidRPr="00974C6F">
        <w:t>–</w:t>
      </w:r>
      <w:r w:rsidRPr="00974C6F">
        <w:tab/>
        <w:t>ob upoštevanju poročila Odbora za proračunski nadzor (A9-0080/2024),</w:t>
      </w:r>
    </w:p>
    <w:p w:rsidR="00C92FD2" w:rsidRPr="00974C6F" w:rsidRDefault="00C92FD2" w:rsidP="00C92FD2">
      <w:pPr>
        <w:pStyle w:val="NormalHanging12a"/>
      </w:pPr>
      <w:r w:rsidRPr="00974C6F">
        <w:t>1.</w:t>
      </w:r>
      <w:r w:rsidRPr="00974C6F">
        <w:tab/>
        <w:t>podeli razrešnico izvršnemu direktorju Evropskega centra za razvoj poklicnega usposabljanja (Cedefop) glede izvrševanja proračuna centra za proračunsko leto 2022;</w:t>
      </w:r>
    </w:p>
    <w:p w:rsidR="00C92FD2" w:rsidRPr="00974C6F" w:rsidRDefault="00C92FD2" w:rsidP="00C92FD2">
      <w:pPr>
        <w:pStyle w:val="NormalHanging12a"/>
      </w:pPr>
      <w:r w:rsidRPr="00974C6F">
        <w:t>2.</w:t>
      </w:r>
      <w:r w:rsidRPr="00974C6F">
        <w:tab/>
        <w:t>navaja svoje pripombe v spodnji resoluciji;</w:t>
      </w:r>
    </w:p>
    <w:p w:rsidR="00C92FD2" w:rsidRPr="00974C6F" w:rsidRDefault="00C92FD2" w:rsidP="00C92FD2">
      <w:pPr>
        <w:pStyle w:val="NormalHanging12a"/>
      </w:pPr>
      <w:r w:rsidRPr="00974C6F">
        <w:t>3.</w:t>
      </w:r>
      <w:r w:rsidRPr="00974C6F">
        <w:tab/>
        <w:t xml:space="preserve">naroči svoji predsednici, naj ta sklep in resolucijo, ki je del sklepa, posreduje izvršnemu direktorju Evropskega centra za razvoj poklicnega usposabljanja (Cedefop), Svetu, Komisiji in Računskemu sodišču ter poskrbi za objavo v </w:t>
      </w:r>
      <w:r w:rsidRPr="00974C6F">
        <w:rPr>
          <w:i/>
        </w:rPr>
        <w:t>Uradnem listu Evropske unije</w:t>
      </w:r>
      <w:r w:rsidRPr="00974C6F">
        <w:t xml:space="preserve"> (serija L).</w:t>
      </w:r>
    </w:p>
    <w:p w:rsidR="00C92FD2" w:rsidRPr="00974C6F" w:rsidRDefault="00C92FD2" w:rsidP="00C92FD2"/>
    <w:p w:rsidR="00C92FD2" w:rsidRPr="00974C6F" w:rsidRDefault="00C92FD2" w:rsidP="00C92FD2">
      <w:pPr>
        <w:pStyle w:val="PageHeading"/>
        <w:sectPr w:rsidR="00C92FD2" w:rsidRPr="00974C6F" w:rsidSect="00876AB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92FD2" w:rsidRPr="00974C6F" w:rsidRDefault="00CE1716" w:rsidP="00CE1716">
      <w:pPr>
        <w:pStyle w:val="ATHeading3"/>
      </w:pPr>
      <w:r w:rsidRPr="00974C6F">
        <w:lastRenderedPageBreak/>
        <w:t xml:space="preserve">2. Sklep Evropskega parlamenta z dne 11. aprila 2024 </w:t>
      </w:r>
      <w:r w:rsidR="00C92FD2" w:rsidRPr="00974C6F">
        <w:t>o zaključnem računu Evropskega centra za razvoj poklicnega usposabljanja (Cedefop) za proračunsko leto 2022</w:t>
      </w:r>
      <w:r w:rsidRPr="00974C6F">
        <w:t xml:space="preserve"> </w:t>
      </w:r>
      <w:r w:rsidR="00C92FD2" w:rsidRPr="00974C6F">
        <w:t>(2023/2143(DEC))</w:t>
      </w:r>
    </w:p>
    <w:p w:rsidR="00C92FD2" w:rsidRPr="00974C6F" w:rsidRDefault="00C92FD2" w:rsidP="00C92FD2">
      <w:pPr>
        <w:pStyle w:val="EPComma"/>
      </w:pPr>
      <w:r w:rsidRPr="00974C6F">
        <w:rPr>
          <w:i/>
        </w:rPr>
        <w:t>Evropski parlament</w:t>
      </w:r>
      <w:r w:rsidRPr="00974C6F">
        <w:t>,</w:t>
      </w:r>
    </w:p>
    <w:p w:rsidR="00C92FD2" w:rsidRPr="00974C6F" w:rsidRDefault="00C92FD2" w:rsidP="00C92FD2">
      <w:pPr>
        <w:pStyle w:val="NormalHanging12a"/>
      </w:pPr>
      <w:r w:rsidRPr="00974C6F">
        <w:t>–</w:t>
      </w:r>
      <w:r w:rsidRPr="00974C6F">
        <w:tab/>
        <w:t>ob upoštevanju končnega zaključnega računa Evropskega centra za razvoj poklicnega usposabljanja (Cedefop) za proračunsko leto 2022,</w:t>
      </w:r>
    </w:p>
    <w:p w:rsidR="00C92FD2" w:rsidRPr="00974C6F" w:rsidRDefault="00C92FD2" w:rsidP="00C92FD2">
      <w:pPr>
        <w:pStyle w:val="NormalHanging12a"/>
      </w:pPr>
      <w:r w:rsidRPr="00974C6F">
        <w:t>–</w:t>
      </w:r>
      <w:r w:rsidRPr="00974C6F">
        <w:tab/>
        <w:t>ob upoštevanju letnega poročila Računskega sodišča o agencijah EU za proračunsko leto 2022 skupaj z odgovori agencij</w:t>
      </w:r>
      <w:r w:rsidRPr="00974C6F">
        <w:rPr>
          <w:rStyle w:val="FootnoteReference"/>
        </w:rPr>
        <w:footnoteReference w:id="6"/>
      </w:r>
      <w:r w:rsidRPr="00974C6F">
        <w:t>,</w:t>
      </w:r>
    </w:p>
    <w:p w:rsidR="00C92FD2" w:rsidRPr="00974C6F" w:rsidRDefault="00C92FD2" w:rsidP="00C92FD2">
      <w:pPr>
        <w:pStyle w:val="NormalHanging12a"/>
      </w:pPr>
      <w:r w:rsidRPr="00974C6F">
        <w:t>–</w:t>
      </w:r>
      <w:r w:rsidRPr="00974C6F">
        <w:tab/>
        <w:t>ob upoštevanju izjave o zanesljivosti</w:t>
      </w:r>
      <w:r w:rsidRPr="00974C6F">
        <w:rPr>
          <w:rStyle w:val="FootnoteReference"/>
        </w:rPr>
        <w:footnoteReference w:id="7"/>
      </w:r>
      <w:r w:rsidRPr="00974C6F">
        <w:t xml:space="preserve"> računovodskih izkazov ter zakonitosti in pravilnosti z njimi povezanih transakcij, ki jo je za proračunsko leto 2022 v skladu s členom 287 Pogodbe o delovanju Evropske unije pripravilo Računsko sodišče,</w:t>
      </w:r>
    </w:p>
    <w:p w:rsidR="00C92FD2" w:rsidRPr="00974C6F" w:rsidRDefault="00C92FD2" w:rsidP="000431AB">
      <w:pPr>
        <w:pStyle w:val="NormalHanging12a"/>
      </w:pPr>
      <w:r w:rsidRPr="00974C6F">
        <w:t>–</w:t>
      </w:r>
      <w:r w:rsidRPr="00974C6F">
        <w:tab/>
        <w:t>ob upoštevanju priporočila Sveta z dne 22. februarja 2024 o podelitvi razrešnice centru glede izvrševanja proračuna za proračunsko leto 2022 (</w:t>
      </w:r>
      <w:r w:rsidR="000431AB" w:rsidRPr="00974C6F">
        <w:t>06180</w:t>
      </w:r>
      <w:r w:rsidRPr="00974C6F">
        <w:t>/2024 – C9</w:t>
      </w:r>
      <w:r w:rsidRPr="00974C6F">
        <w:noBreakHyphen/>
        <w:t>00</w:t>
      </w:r>
      <w:r w:rsidR="000431AB" w:rsidRPr="00974C6F">
        <w:t>81</w:t>
      </w:r>
      <w:r w:rsidRPr="00974C6F">
        <w:t>/2024),</w:t>
      </w:r>
    </w:p>
    <w:p w:rsidR="00C92FD2" w:rsidRPr="00974C6F" w:rsidRDefault="00C92FD2" w:rsidP="00C92FD2">
      <w:pPr>
        <w:pStyle w:val="NormalHanging12a"/>
      </w:pPr>
      <w:r w:rsidRPr="00974C6F">
        <w:t>–</w:t>
      </w:r>
      <w:r w:rsidRPr="00974C6F">
        <w:tab/>
        <w:t>ob upoštevanju člena 319 Pogodbe o delovanju Evropske unije,</w:t>
      </w:r>
    </w:p>
    <w:p w:rsidR="00C92FD2" w:rsidRPr="00974C6F" w:rsidRDefault="00C92FD2" w:rsidP="00C92FD2">
      <w:pPr>
        <w:pStyle w:val="NormalHanging12a"/>
      </w:pPr>
      <w:r w:rsidRPr="00974C6F">
        <w:t>–</w:t>
      </w:r>
      <w:r w:rsidRPr="00974C6F">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74C6F">
        <w:rPr>
          <w:rStyle w:val="FootnoteReference"/>
        </w:rPr>
        <w:footnoteReference w:id="8"/>
      </w:r>
      <w:r w:rsidRPr="00974C6F">
        <w:t xml:space="preserve"> in zlasti člena 70,</w:t>
      </w:r>
    </w:p>
    <w:p w:rsidR="00C92FD2" w:rsidRPr="00974C6F" w:rsidRDefault="00C92FD2" w:rsidP="00C92FD2">
      <w:pPr>
        <w:pStyle w:val="NormalHanging12a"/>
      </w:pPr>
      <w:r w:rsidRPr="00974C6F">
        <w:t>–</w:t>
      </w:r>
      <w:r w:rsidRPr="00974C6F">
        <w:tab/>
        <w:t>ob upoštevanju Uredbe (EU) 2019/128 Evropskega parlamenta in Sveta z dne 16. januarja 2019 o ustanovitvi Evropskega centra za razvoj poklicnega usposabljanja (Cedefop) in o razveljavitvi Uredbe Sveta (EGS) št. 337/75</w:t>
      </w:r>
      <w:r w:rsidRPr="00974C6F">
        <w:rPr>
          <w:rStyle w:val="FootnoteReference"/>
        </w:rPr>
        <w:footnoteReference w:id="9"/>
      </w:r>
      <w:r w:rsidRPr="00974C6F">
        <w:t xml:space="preserve"> in zlasti člena 15,</w:t>
      </w:r>
    </w:p>
    <w:p w:rsidR="00C92FD2" w:rsidRPr="00974C6F" w:rsidRDefault="00C92FD2" w:rsidP="00C92FD2">
      <w:pPr>
        <w:pStyle w:val="NormalHanging12a"/>
      </w:pPr>
      <w:r w:rsidRPr="00974C6F">
        <w:t>–</w:t>
      </w:r>
      <w:r w:rsidRPr="00974C6F">
        <w:tab/>
        <w:t>ob upoštevanju Delegirane uredbe Komisije (EU) 2019/715 z dne 18. decembra 2018 o okvirni finančni uredbi za organe, ustanovljene na podlagi PDEU in Pogodbe Euratom, iz člena 70 Uredbe (EU, Euratom) 2018/1046 Evropskega parlamenta in Sveta</w:t>
      </w:r>
      <w:r w:rsidRPr="00974C6F">
        <w:rPr>
          <w:rStyle w:val="FootnoteReference"/>
        </w:rPr>
        <w:footnoteReference w:id="10"/>
      </w:r>
      <w:r w:rsidRPr="00974C6F">
        <w:t xml:space="preserve"> in zlasti člena 105,</w:t>
      </w:r>
    </w:p>
    <w:p w:rsidR="00C92FD2" w:rsidRPr="00974C6F" w:rsidRDefault="00C92FD2" w:rsidP="00C92FD2">
      <w:pPr>
        <w:pStyle w:val="NormalHanging12a"/>
      </w:pPr>
      <w:r w:rsidRPr="00974C6F">
        <w:t>–</w:t>
      </w:r>
      <w:r w:rsidRPr="00974C6F">
        <w:tab/>
        <w:t>ob upoštevanju člena 100 in Priloge V Poslovnika,</w:t>
      </w:r>
    </w:p>
    <w:p w:rsidR="00C92FD2" w:rsidRPr="00974C6F" w:rsidRDefault="00C92FD2" w:rsidP="00C92FD2">
      <w:pPr>
        <w:pStyle w:val="NormalHanging12a"/>
      </w:pPr>
      <w:r w:rsidRPr="00974C6F">
        <w:t>–</w:t>
      </w:r>
      <w:r w:rsidRPr="00974C6F">
        <w:tab/>
        <w:t>ob upoštevanju mnenja Odbora za zaposlovanje in socialne zadeve,</w:t>
      </w:r>
    </w:p>
    <w:p w:rsidR="00C92FD2" w:rsidRPr="00974C6F" w:rsidRDefault="00C92FD2" w:rsidP="00C92FD2">
      <w:pPr>
        <w:pStyle w:val="NormalHanging12a"/>
      </w:pPr>
      <w:r w:rsidRPr="00974C6F">
        <w:t>–</w:t>
      </w:r>
      <w:r w:rsidRPr="00974C6F">
        <w:tab/>
        <w:t>ob upoštevanju poročila Odbora za proračunski nadzor (A9-0080/2024),</w:t>
      </w:r>
    </w:p>
    <w:p w:rsidR="00C92FD2" w:rsidRPr="00974C6F" w:rsidRDefault="00C92FD2" w:rsidP="00C92FD2">
      <w:pPr>
        <w:pStyle w:val="NormalHanging12a"/>
      </w:pPr>
      <w:r w:rsidRPr="00974C6F">
        <w:t>1.</w:t>
      </w:r>
      <w:r w:rsidRPr="00974C6F">
        <w:tab/>
        <w:t>odobri zaključni račun Evropskega centra za razvoj poklicnega usposabljanja (Cedefop) za proračunsko leto 2022;</w:t>
      </w:r>
    </w:p>
    <w:p w:rsidR="00C92FD2" w:rsidRPr="00974C6F" w:rsidRDefault="00C92FD2" w:rsidP="00C92FD2">
      <w:pPr>
        <w:pStyle w:val="NormalHanging12a"/>
      </w:pPr>
      <w:r w:rsidRPr="00974C6F">
        <w:t>2.</w:t>
      </w:r>
      <w:r w:rsidRPr="00974C6F">
        <w:tab/>
        <w:t xml:space="preserve">naroči svoji predsednici, naj ta sklep posreduje izvršnemu direktorju Evropskega centra </w:t>
      </w:r>
      <w:r w:rsidRPr="00974C6F">
        <w:lastRenderedPageBreak/>
        <w:t xml:space="preserve">za razvoj poklicnega usposabljanja (Cedefop), Svetu, Komisiji in Računskemu sodišču ter poskrbi za objavo v </w:t>
      </w:r>
      <w:r w:rsidRPr="00974C6F">
        <w:rPr>
          <w:i/>
        </w:rPr>
        <w:t>Uradnem listu Evropske unije</w:t>
      </w:r>
      <w:r w:rsidRPr="00974C6F">
        <w:t xml:space="preserve"> (serija L).</w:t>
      </w:r>
    </w:p>
    <w:p w:rsidR="00C92FD2" w:rsidRPr="00974C6F" w:rsidRDefault="00C92FD2" w:rsidP="00C92FD2"/>
    <w:p w:rsidR="00C92FD2" w:rsidRPr="00974C6F" w:rsidRDefault="00C92FD2" w:rsidP="00C92FD2">
      <w:pPr>
        <w:pStyle w:val="PageHeading"/>
        <w:sectPr w:rsidR="00C92FD2" w:rsidRPr="00974C6F" w:rsidSect="00876ABB">
          <w:footnotePr>
            <w:numRestart w:val="eachPage"/>
          </w:footnotePr>
          <w:endnotePr>
            <w:numFmt w:val="decimal"/>
          </w:endnotePr>
          <w:pgSz w:w="11906" w:h="16838" w:code="9"/>
          <w:pgMar w:top="1134" w:right="1418" w:bottom="1418" w:left="1418" w:header="567" w:footer="567" w:gutter="0"/>
          <w:cols w:space="720"/>
          <w:noEndnote/>
          <w:docGrid w:linePitch="326"/>
        </w:sectPr>
      </w:pPr>
    </w:p>
    <w:p w:rsidR="00C92FD2" w:rsidRPr="00974C6F" w:rsidRDefault="00CE1716" w:rsidP="00CE1716">
      <w:pPr>
        <w:pStyle w:val="ATHeading3"/>
      </w:pPr>
      <w:r w:rsidRPr="00974C6F">
        <w:lastRenderedPageBreak/>
        <w:t xml:space="preserve">3. Resolucija Evropskega parlamenta z dne 11. aprila 2024 </w:t>
      </w:r>
      <w:r w:rsidR="00C92FD2" w:rsidRPr="00974C6F">
        <w:t>s pripombami, ki so del sklepa o razrešnici glede izvrševanja proračuna Evropskega centra za razvoj poklicnega usposabljanja (Cedefop) za proračunsko leto 2022</w:t>
      </w:r>
      <w:r w:rsidRPr="00974C6F">
        <w:t xml:space="preserve"> </w:t>
      </w:r>
      <w:r w:rsidR="00C92FD2" w:rsidRPr="00974C6F">
        <w:t>(2023/2143(DEC))</w:t>
      </w:r>
    </w:p>
    <w:p w:rsidR="00C92FD2" w:rsidRPr="00974C6F" w:rsidRDefault="00C92FD2" w:rsidP="00C92FD2">
      <w:pPr>
        <w:pStyle w:val="EPComma"/>
      </w:pPr>
      <w:r w:rsidRPr="00974C6F">
        <w:rPr>
          <w:i/>
        </w:rPr>
        <w:t>Evropski parlament</w:t>
      </w:r>
      <w:r w:rsidRPr="00974C6F">
        <w:t>,</w:t>
      </w:r>
    </w:p>
    <w:p w:rsidR="00C92FD2" w:rsidRPr="00974C6F" w:rsidRDefault="00C92FD2" w:rsidP="00C92FD2">
      <w:pPr>
        <w:pStyle w:val="NormalHanging12a"/>
      </w:pPr>
      <w:r w:rsidRPr="00974C6F">
        <w:t>–</w:t>
      </w:r>
      <w:r w:rsidRPr="00974C6F">
        <w:tab/>
        <w:t>ob upoštevanju sklepa o razrešnici glede izvrševanja proračuna Evropskega centra za razvoj poklicnega usposabljanja (Cedefop) za proračunsko leto 2022,</w:t>
      </w:r>
    </w:p>
    <w:p w:rsidR="00C92FD2" w:rsidRPr="00974C6F" w:rsidRDefault="00C92FD2" w:rsidP="00C92FD2">
      <w:pPr>
        <w:pStyle w:val="NormalHanging12a"/>
      </w:pPr>
      <w:r w:rsidRPr="00974C6F">
        <w:t>–</w:t>
      </w:r>
      <w:r w:rsidRPr="00974C6F">
        <w:tab/>
        <w:t>ob upoštevanju člena 100 in Priloge V Poslovnika,</w:t>
      </w:r>
    </w:p>
    <w:p w:rsidR="00C92FD2" w:rsidRPr="00974C6F" w:rsidRDefault="00C92FD2" w:rsidP="00C92FD2">
      <w:pPr>
        <w:pStyle w:val="NormalHanging12a"/>
      </w:pPr>
      <w:r w:rsidRPr="00974C6F">
        <w:t>–</w:t>
      </w:r>
      <w:r w:rsidRPr="00974C6F">
        <w:tab/>
        <w:t>ob upoštevanju mnenja Odbora za zaposlovanje in socialne zadeve,</w:t>
      </w:r>
    </w:p>
    <w:p w:rsidR="00C92FD2" w:rsidRPr="00974C6F" w:rsidRDefault="00C92FD2" w:rsidP="00C92FD2">
      <w:pPr>
        <w:pStyle w:val="NormalHanging12a"/>
      </w:pPr>
      <w:r w:rsidRPr="00974C6F">
        <w:t>–</w:t>
      </w:r>
      <w:r w:rsidRPr="00974C6F">
        <w:tab/>
        <w:t>ob upoštevanju poročila Odbora za proračunski nadzor (A9-0080/2024),</w:t>
      </w:r>
    </w:p>
    <w:p w:rsidR="00C92FD2" w:rsidRPr="00974C6F" w:rsidRDefault="00C92FD2" w:rsidP="00C92FD2">
      <w:pPr>
        <w:pStyle w:val="Normal12Hanging"/>
        <w:rPr>
          <w:szCs w:val="24"/>
          <w:lang w:val="sl-SI"/>
        </w:rPr>
      </w:pPr>
      <w:r w:rsidRPr="00974C6F">
        <w:rPr>
          <w:lang w:val="sl-SI"/>
        </w:rPr>
        <w:t>A.</w:t>
      </w:r>
      <w:r w:rsidRPr="00974C6F">
        <w:rPr>
          <w:lang w:val="sl-SI"/>
        </w:rPr>
        <w:tab/>
        <w:t>ker iz poročila o prihodkih in odhodkih</w:t>
      </w:r>
      <w:r w:rsidRPr="00974C6F">
        <w:rPr>
          <w:rStyle w:val="FootnoteReference"/>
          <w:szCs w:val="24"/>
          <w:lang w:val="sl-SI"/>
        </w:rPr>
        <w:footnoteReference w:id="11"/>
      </w:r>
      <w:r w:rsidRPr="00974C6F">
        <w:rPr>
          <w:lang w:val="sl-SI"/>
        </w:rPr>
        <w:t xml:space="preserve"> Evropskega centra za razvoj poklicnega usposabljanja (Cedefop) (v nadaljnjem besedilu: center) izhaja, da je njegov končni proračun v proračunskem letu 2022 znašal 18.434.420 EUR, kar je 0,29 % manj kot leta 2021; ker proračun centra izvira predvsem iz proračuna Unije;</w:t>
      </w:r>
    </w:p>
    <w:p w:rsidR="00C92FD2" w:rsidRPr="00974C6F" w:rsidRDefault="00C92FD2" w:rsidP="00C92FD2">
      <w:pPr>
        <w:pStyle w:val="Normal12Hanging"/>
        <w:rPr>
          <w:szCs w:val="24"/>
          <w:lang w:val="sl-SI"/>
        </w:rPr>
      </w:pPr>
      <w:r w:rsidRPr="00974C6F">
        <w:rPr>
          <w:lang w:val="sl-SI"/>
        </w:rPr>
        <w:t>B.</w:t>
      </w:r>
      <w:r w:rsidRPr="00974C6F">
        <w:rPr>
          <w:lang w:val="sl-SI"/>
        </w:rPr>
        <w:tab/>
        <w:t>ker je proračun centra, ki je bil na voljo v letu 2022, poleg prispevka Unije v višini 17.960.000 EUR vključeval tudi prispevke pridruženih držav (Norveške in Islandije) v višini 464.420 EUR ter znesek v višini 43.960 EUR različnih lastnih prihodkov in povrnjenih zneskov;</w:t>
      </w:r>
    </w:p>
    <w:p w:rsidR="00C92FD2" w:rsidRPr="00974C6F" w:rsidRDefault="00C92FD2" w:rsidP="00C92FD2">
      <w:pPr>
        <w:pStyle w:val="Normal12Hanging"/>
        <w:rPr>
          <w:szCs w:val="24"/>
          <w:lang w:val="sl-SI"/>
        </w:rPr>
      </w:pPr>
      <w:r w:rsidRPr="00974C6F">
        <w:rPr>
          <w:lang w:val="sl-SI"/>
        </w:rPr>
        <w:t>C.</w:t>
      </w:r>
      <w:r w:rsidRPr="00974C6F">
        <w:rPr>
          <w:lang w:val="sl-SI"/>
        </w:rPr>
        <w:tab/>
        <w:t>ker se je center pridružil Protokolu 31 k Sporazumu o Evropskem gospodarskem prostoru (EGP) z učinkom od 1. januarja 2023, v skladu s katerim bo prejemal prispevke pridruženih držav iz proračuna držav Efte, ki so del EGP;</w:t>
      </w:r>
    </w:p>
    <w:p w:rsidR="00C92FD2" w:rsidRPr="00974C6F" w:rsidRDefault="00C92FD2" w:rsidP="00C92FD2">
      <w:pPr>
        <w:pStyle w:val="Normal12Hanging"/>
        <w:rPr>
          <w:szCs w:val="24"/>
          <w:lang w:val="sl-SI"/>
        </w:rPr>
      </w:pPr>
      <w:r w:rsidRPr="00974C6F">
        <w:rPr>
          <w:lang w:val="sl-SI"/>
        </w:rPr>
        <w:t>D.</w:t>
      </w:r>
      <w:r w:rsidRPr="00974C6F">
        <w:rPr>
          <w:lang w:val="sl-SI"/>
        </w:rPr>
        <w:tab/>
        <w:t>ker v zvezi s sektorjem javnih naročil centra za leto 2022 niso bile sporočene nobene težave, zaradi katerih bi bili potrebni popravni ukrepi, in ker ni tekočih ali zapadlih popravnih ukrepov iz revizij in ocen iz prejšnjih let;</w:t>
      </w:r>
    </w:p>
    <w:p w:rsidR="00C92FD2" w:rsidRPr="00974C6F" w:rsidRDefault="00C92FD2" w:rsidP="00C92FD2">
      <w:pPr>
        <w:pStyle w:val="Normal12Hanging"/>
        <w:rPr>
          <w:szCs w:val="24"/>
          <w:lang w:val="sl-SI"/>
        </w:rPr>
      </w:pPr>
      <w:r w:rsidRPr="00974C6F">
        <w:rPr>
          <w:lang w:val="sl-SI"/>
        </w:rPr>
        <w:t>E.</w:t>
      </w:r>
      <w:r w:rsidRPr="00974C6F">
        <w:rPr>
          <w:lang w:val="sl-SI"/>
        </w:rPr>
        <w:tab/>
        <w:t>ker je Računsko sodišče v poročilu o zaključnem računu centra za proračunsko leto 2022 (v nadaljnjem besedilu: poročilo Računskega sodišča) navedlo, da je prejelo razumno zagotovilo o zanesljivosti računovodskih izkazov centra ter o zakonitosti in pravilnosti z njimi povezanih transakcij;</w:t>
      </w:r>
    </w:p>
    <w:p w:rsidR="00C92FD2" w:rsidRPr="00974C6F" w:rsidRDefault="00C92FD2" w:rsidP="00C92FD2">
      <w:pPr>
        <w:pStyle w:val="Normal12Hanging"/>
        <w:rPr>
          <w:b/>
          <w:i/>
          <w:szCs w:val="24"/>
          <w:lang w:val="sl-SI"/>
        </w:rPr>
      </w:pPr>
      <w:r w:rsidRPr="00974C6F">
        <w:rPr>
          <w:b/>
          <w:i/>
          <w:lang w:val="sl-SI"/>
        </w:rPr>
        <w:t>Upravljanje proračuna in finančno poslovodenje</w:t>
      </w:r>
    </w:p>
    <w:p w:rsidR="00C92FD2" w:rsidRPr="00974C6F" w:rsidRDefault="00C92FD2" w:rsidP="00C92FD2">
      <w:pPr>
        <w:pStyle w:val="Normal12Hanging"/>
        <w:rPr>
          <w:szCs w:val="24"/>
          <w:lang w:val="sl-SI"/>
        </w:rPr>
      </w:pPr>
      <w:r w:rsidRPr="00974C6F">
        <w:rPr>
          <w:lang w:val="sl-SI"/>
        </w:rPr>
        <w:t>1.</w:t>
      </w:r>
      <w:r w:rsidRPr="00974C6F">
        <w:rPr>
          <w:lang w:val="sl-SI"/>
        </w:rPr>
        <w:tab/>
        <w:t>z zadovoljstvom ugotavlja, da je leta 2022 stopnja izvrševanja proračuna zaradi proračunskega spremljanja znašala 99,98 %, kar je 0,02 % manj kot leta 2021; obžaluje nizko stopnjo izvrševanja plačil v tekočem letu (77,64 %), kar je 2,38 % manj kot leta 2021;</w:t>
      </w:r>
    </w:p>
    <w:p w:rsidR="00C92FD2" w:rsidRPr="00974C6F" w:rsidRDefault="00C92FD2" w:rsidP="00C92FD2">
      <w:pPr>
        <w:pStyle w:val="Normal12Hanging"/>
        <w:rPr>
          <w:szCs w:val="24"/>
          <w:lang w:val="sl-SI"/>
        </w:rPr>
      </w:pPr>
      <w:r w:rsidRPr="00974C6F">
        <w:rPr>
          <w:lang w:val="sl-SI"/>
        </w:rPr>
        <w:t>2.</w:t>
      </w:r>
      <w:r w:rsidRPr="00974C6F">
        <w:rPr>
          <w:lang w:val="sl-SI"/>
        </w:rPr>
        <w:tab/>
        <w:t xml:space="preserve">opozarja, da so bile v poročilu Računskega sodišča za leto 2021 ugotovljene pomanjkljivosti pri prehodu centra na nov računovodski sistem (ABAC), ki ga uporablja tudi Komisija; ugotavlja, da so v poročilu Računskega sodišča za leto 2022 opaženi podobni pojavi (nedoslednost med dejanskim končnim datumom izvajanja </w:t>
      </w:r>
      <w:r w:rsidRPr="00974C6F">
        <w:rPr>
          <w:lang w:val="sl-SI"/>
        </w:rPr>
        <w:lastRenderedPageBreak/>
        <w:t>pravnih obveznosti in datumom, registriranem v sistemu ABAC) pri proračunskih obveznostih, prenesenih iz leta 2022 v leto 2023; na podlagi poročila centra o nadaljnjem ukrepanju na podlagi razrešnice za leto 2021 (v nadaljnjem besedilu: poročilo o nadaljnjem ukrepanju) z zadovoljstvom ugotavlja, da je center medtem vzpostavil sistem spremljanja za odkrivanje tovrstnih neskladnosti, ki so po odkritju takoj odpravljene v sistemu ABAC;</w:t>
      </w:r>
    </w:p>
    <w:p w:rsidR="00C92FD2" w:rsidRPr="00974C6F" w:rsidRDefault="00C92FD2" w:rsidP="00C92FD2">
      <w:pPr>
        <w:pStyle w:val="Normal12Hanging"/>
        <w:rPr>
          <w:szCs w:val="24"/>
          <w:lang w:val="sl-SI"/>
        </w:rPr>
      </w:pPr>
      <w:r w:rsidRPr="00974C6F">
        <w:rPr>
          <w:lang w:val="sl-SI"/>
        </w:rPr>
        <w:t>3.</w:t>
      </w:r>
      <w:r w:rsidRPr="00974C6F">
        <w:rPr>
          <w:lang w:val="sl-SI"/>
        </w:rPr>
        <w:tab/>
        <w:t>na podlagi poročila Računskega sodišča ugotavlja, da center ni pravilno uporabil metode izračuna prispevkov, določene v izjavi o sodelovanju med centrom in Efto v zvezi s predlogom spremembe št. 1 k njegovemu proračunu; posledično ugotavlja, da sta bila leta 2022 prispevka Islandije in Norveške v proračun centra višja, prispevek Unije pa nižji, kot bi moral biti; je seznanjen tudi s priznanjem Računskega sodišča, da je bila sprememba Protokola 31 k Sporazumu EGP o sodelovanju na posebnih področjih, za katera ne veljajo štiri temeljne svobode, podpisana in je začela veljati 1. januarja 2023, zato se od leta 2023 ne bo več pojavljalo vprašanje prilagoditve prispevkov držav Efte zaradi sprememb proračuna centra;</w:t>
      </w:r>
    </w:p>
    <w:p w:rsidR="00C92FD2" w:rsidRPr="00974C6F" w:rsidRDefault="00C92FD2" w:rsidP="00C92FD2">
      <w:pPr>
        <w:pStyle w:val="Normal12Hanging"/>
        <w:rPr>
          <w:b/>
          <w:i/>
          <w:szCs w:val="24"/>
          <w:lang w:val="sl-SI"/>
        </w:rPr>
      </w:pPr>
      <w:r w:rsidRPr="00974C6F">
        <w:rPr>
          <w:b/>
          <w:i/>
          <w:lang w:val="sl-SI"/>
        </w:rPr>
        <w:t>Uspešnost</w:t>
      </w:r>
    </w:p>
    <w:p w:rsidR="00C92FD2" w:rsidRPr="00974C6F" w:rsidRDefault="00C92FD2" w:rsidP="00C92FD2">
      <w:pPr>
        <w:pStyle w:val="Normal12Hanging"/>
        <w:rPr>
          <w:lang w:val="sl-SI"/>
        </w:rPr>
      </w:pPr>
      <w:r w:rsidRPr="00974C6F">
        <w:rPr>
          <w:lang w:val="sl-SI"/>
        </w:rPr>
        <w:t>4.</w:t>
      </w:r>
      <w:r w:rsidRPr="00974C6F">
        <w:rPr>
          <w:lang w:val="sl-SI"/>
        </w:rPr>
        <w:tab/>
        <w:t>z zadovoljstvom ugotavlja, da je center kljub nenehnim izzivom, povezanim s pandemijo covida-19, neupravičeno vojno v Ukrajini, energetsko krizo in vse hujšo podnebno krizo, leta 2022 v celoti izvedel svoj delovni program, s pomembni dosežki na vseh treh strateških področjih delovanja centra, ki presegajo načrte delovnega programa za leto 2022; ugotavlja, da je bilo poklicno izobraževanje in usposabljanje opredeljeno kot prednostno področje sodelovanja v okviru pobude za evropski izobraževalni prostor za obdobje 2021–2030;</w:t>
      </w:r>
    </w:p>
    <w:p w:rsidR="00C92FD2" w:rsidRPr="00974C6F" w:rsidRDefault="00C92FD2" w:rsidP="00C92FD2">
      <w:pPr>
        <w:pStyle w:val="Normal12Hanging"/>
        <w:rPr>
          <w:lang w:val="sl-SI"/>
        </w:rPr>
      </w:pPr>
      <w:r w:rsidRPr="00974C6F">
        <w:rPr>
          <w:lang w:val="sl-SI"/>
        </w:rPr>
        <w:t>5.</w:t>
      </w:r>
      <w:r w:rsidRPr="00974C6F">
        <w:rPr>
          <w:lang w:val="sl-SI"/>
        </w:rPr>
        <w:tab/>
        <w:t>med drugim je seznanjen z naslednjimi dosežki v letu 2022: (i) vzpostavitev zelene opazovalnice centra, ki spremlja posledice zelenega prehoda za mesta in tri ključna področja (ravnanje z odpadki, agroživilski sektor in krožno gospodarstvo); (ii) analiza nacionalnih izvedbenih načrtov, v katerih so predstavljene tekoče in prihodnje nacionalne reforme in pobude na področju poklicnega izobraževanja in usposabljanja; (iii) predstavitev ugotovitev študije centra o mikrodokazilih, ki je bila podlaga za predlog Komisije za priporočilo Sveta na to temo; (iv) študija izvedljivosti, ki jo je izvedel center, za raziskavo o učiteljih in vodjah usposabljanja v začetnem poklicnem izobraževanju in usposabljanju; (v) zaključek drugega projekta v zvezi s prihodnostjo poklicnega izobraževanja in usposabljanja, ki prispeva k boljšemu splošnemu razumevanju izzivov in priložnosti za evropsko poklicno izobraževanje in usposabljanje v prihodnjih letih, in (vi) objava rezultatov druge raziskave o evropskih znanjih in spretnostih ter delovnih mestih (ESJS), ki je pomagala osvetliti digitalizacijo in njen vpliv na delovna mesta ter znanja in spretnosti;</w:t>
      </w:r>
    </w:p>
    <w:p w:rsidR="00C92FD2" w:rsidRPr="00974C6F" w:rsidRDefault="00C92FD2" w:rsidP="00C92FD2">
      <w:pPr>
        <w:pStyle w:val="NormalHanging12a"/>
        <w:rPr>
          <w:szCs w:val="24"/>
        </w:rPr>
      </w:pPr>
      <w:r w:rsidRPr="00974C6F">
        <w:t>6.</w:t>
      </w:r>
      <w:r w:rsidRPr="00974C6F">
        <w:tab/>
        <w:t xml:space="preserve">ceni strokovno dejavnosti in visokokakovostno delo centra, saj zagotavlja raziskave, analize in tehnično svetovanje na področju poklicnega izobraževanja in usposabljanja, kvalifikacij ter znanj in spretnosti, s čimer si prizadeva spodbujati visokokakovostno usposabljanje, prilagojeno potrebam posameznikov in trga dela; opozarja, kako pomembna je vloga centra pri vključevanju digitalnih znanj in spretnosti v poklicno izobraževanje in usposabljanje po vsej Uniji ter spremljanju izvajanja in učinka priporočil Sveta o evropskem programu znanj in spretnosti, o poklicnem izobraževanju in usposabljanju za trajnostno konkurenčnost, socialno pravičnost in odpornost ter o akcijskem načrtu za digitalno izobraževanje; poudarja, da je treba ohraniti ustrezne </w:t>
      </w:r>
      <w:r w:rsidRPr="00974C6F">
        <w:lastRenderedPageBreak/>
        <w:t>človeške in finančne vire, da bo lahko center izpolnil svoj mandat in še naprej izvajal svoj delovni program z visoko stopnjo uspešno zaključenih dejavnosti;</w:t>
      </w:r>
    </w:p>
    <w:p w:rsidR="00C92FD2" w:rsidRPr="00974C6F" w:rsidRDefault="00C92FD2" w:rsidP="00C92FD2">
      <w:pPr>
        <w:pStyle w:val="Normal12Hanging"/>
        <w:rPr>
          <w:b/>
          <w:i/>
          <w:szCs w:val="24"/>
          <w:lang w:val="sl-SI"/>
        </w:rPr>
      </w:pPr>
      <w:r w:rsidRPr="00974C6F">
        <w:rPr>
          <w:b/>
          <w:i/>
          <w:lang w:val="sl-SI"/>
        </w:rPr>
        <w:t>Učinkovitost in dosežki</w:t>
      </w:r>
    </w:p>
    <w:p w:rsidR="00C92FD2" w:rsidRPr="00974C6F" w:rsidRDefault="00C92FD2" w:rsidP="00C92FD2">
      <w:pPr>
        <w:pStyle w:val="Normal12Hanging"/>
        <w:rPr>
          <w:lang w:val="sl-SI"/>
        </w:rPr>
      </w:pPr>
      <w:r w:rsidRPr="00974C6F">
        <w:rPr>
          <w:lang w:val="sl-SI"/>
        </w:rPr>
        <w:t>7.</w:t>
      </w:r>
      <w:r w:rsidRPr="00974C6F">
        <w:rPr>
          <w:lang w:val="sl-SI"/>
        </w:rPr>
        <w:tab/>
        <w:t>pozdravlja prakso sodelovanja in izmenjave informacij z Evropsko fundacijo za usposabljanje (ETF) in Evropsko fundacijo za izboljšanje življenjskih in delovnih razmer (Eurofound), ki jo center že dolgo izvaja; ugotavlja, da center in ETF sodelujeta pri skupnih projektih v zvezi s poklicnim izobraževanjem in usposabljanjem, publikacijami, platformnim gospodarstvom/platformnim delom, kar zadeva usklajevanje znanj in spretnosti ter predvidevanje ali identifikacijo, spremljanje in analizo napredka držav ter ESJS; ugotavlja tudi, da je center v letu 2022 dodatno okrepil svoje dolgoletno sodelovanje z Eurofoundom na področju operativnih dejavnosti, in sicer s skupno pripravo drugega vodilnega poročila o znanjih in spretnostih na podlagi evropske raziskave podjetij, tesnejšim sodelovanjem pri pravičnem zelenem prehodu ter skupnim vodenjem priprave in organizacije dogodka „Youth first“, ki ga je organiziralo pet agencij in je potekal v Parlamentu; pozdravlja sklenitev posebnega memoranduma o soglasju med centrom in Evropskim organom za delo, ki ureja izmenjavo znanja in sinergije s poudarkom na znanju in spretnostih ter trendih na trgu dela in čezmejni mobilnosti delovne sile; je seznanjen s sporazumi o ravni storitve, ki jih je center sklenil z Evropskim inštitutom za enakost spolov o souporabi računovodskih storitev in z Agencijo Evropske unije za kibernetsko varnost na področjih, kot so med drugim varstvo podatkov, javna naročila ter informacijske in komunikacijske tehnologije, pa tudi tekoča razprava z ETF o skupnem uradniku za kibernetsko varnost; nadalje poziva center in druge agencije, naj preučijo in opredelijo nove sinergije in področja sodelovanja, da bi povečali učinkovitost in zmanjšali stroške;</w:t>
      </w:r>
    </w:p>
    <w:p w:rsidR="00C92FD2" w:rsidRPr="00974C6F" w:rsidRDefault="00C92FD2" w:rsidP="00C92FD2">
      <w:pPr>
        <w:pStyle w:val="Normal12Hanging"/>
        <w:rPr>
          <w:szCs w:val="24"/>
          <w:lang w:val="sl-SI"/>
        </w:rPr>
      </w:pPr>
      <w:r w:rsidRPr="00974C6F">
        <w:rPr>
          <w:lang w:val="sl-SI"/>
        </w:rPr>
        <w:t>8.</w:t>
      </w:r>
      <w:r w:rsidRPr="00974C6F">
        <w:rPr>
          <w:lang w:val="sl-SI"/>
        </w:rPr>
        <w:tab/>
        <w:t>z zadovoljstvom ugotavlja, da se je center zavezal, da bo postal ogljično nevtralen do leta 2030, in da je leta 2023 sprejel svojo strategijo in akcijski načrt za podnebno nevtralnost; v zvezi s tem ugotavlja, da so bili v letu 2022 že sprejeti posebni ukrepi, kot sta namestitev energijsko učinkovitih žaluzij in dokončanje priprav za namestitev fotovoltaičnih panelov v letu 2023 za proizvodnjo lastne električne energije iz obnovljivih virov, ki naj bi prinesli približno 50-odstotno donosnost naložb; izreka pohvalo centru za uspeh pri doseganju ali preseganju ciljev za leto 2022, pri čemer je bila osnova leto 2019, kar zadeva zmanjšanje porabe električne energije (za 27 %), kurilnega olja (za 43 %) in papirja (za 73 %) ter zmanjšanje stroškov službenih potovanj (za 71 %) in stroškov sej v živo (za 56,5 %);</w:t>
      </w:r>
    </w:p>
    <w:p w:rsidR="00C92FD2" w:rsidRPr="00974C6F" w:rsidRDefault="00C92FD2" w:rsidP="00C92FD2">
      <w:pPr>
        <w:pStyle w:val="Normal12Hanging"/>
        <w:rPr>
          <w:szCs w:val="24"/>
          <w:lang w:val="sl-SI"/>
        </w:rPr>
      </w:pPr>
      <w:r w:rsidRPr="00974C6F">
        <w:rPr>
          <w:lang w:val="sl-SI"/>
        </w:rPr>
        <w:t>9.</w:t>
      </w:r>
      <w:r w:rsidRPr="00974C6F">
        <w:rPr>
          <w:lang w:val="sl-SI"/>
        </w:rPr>
        <w:tab/>
        <w:t>pozdravlja krepitev osrednjih poslovnih dejavnosti centra s prizadevanji za poenostavitev in racionalizacijo uprave, izmenjavo znanja in virov z drugimi agencijami, digitalizacijo, racionalizacijo in reorganizacijo nalog ter zmanjšanjem števila fizičnih srečanj in povečanjem spletne udeležbe na dogodkih; je seznanjen z rezultati teh prizadevanj, med drugim s preoblikovanjem treh asistentskih delovnih mest v strokovna delovna mesta in prihrankom približno 390.000 EUR zaradi zmanjšanja števila sestankov v živo, kar je prispevalo h pohvalnemu povečanju deleža osebja, ki se ukvarja z osnovno dejavnostjo, in sicer s 66,5 % leta 2021 na 73,2 % leta 2022;</w:t>
      </w:r>
    </w:p>
    <w:p w:rsidR="00C92FD2" w:rsidRPr="00974C6F" w:rsidRDefault="00C92FD2" w:rsidP="00C92FD2">
      <w:pPr>
        <w:pStyle w:val="Normal12Hanging"/>
        <w:rPr>
          <w:szCs w:val="24"/>
          <w:lang w:val="sl-SI"/>
        </w:rPr>
      </w:pPr>
      <w:r w:rsidRPr="00974C6F">
        <w:rPr>
          <w:lang w:val="sl-SI"/>
        </w:rPr>
        <w:t>10.</w:t>
      </w:r>
      <w:r w:rsidRPr="00974C6F">
        <w:rPr>
          <w:lang w:val="sl-SI"/>
        </w:rPr>
        <w:tab/>
        <w:t xml:space="preserve">izreka pohvalo centru za nadaljnji napredek pri izvajanju njegove strategije na področju informacijskih in komunikacijskih tehnologij in digitalizacije, da bi dodatno povečal učinkovitost; ugotavlja, da je center leta 2022 digitaliziral vse delovne postopke, uvedel digitalno orodje za izbirne postopke in novo digitalno delovno okolje in okolje za </w:t>
      </w:r>
      <w:r w:rsidRPr="00974C6F">
        <w:rPr>
          <w:lang w:val="sl-SI"/>
        </w:rPr>
        <w:lastRenderedPageBreak/>
        <w:t>sodelovanje ter pripravil in od januarja 2023 začel uporabljati orodje za upravljanje javnih naročil; želi pohvaliti, da je center izdal digitalne podpise za vse svoje osebje in da odgovorni uporabljajo potrdila EU-Sign za pogodbe, naročilnice in pravno zavezujoče dokumente;</w:t>
      </w:r>
    </w:p>
    <w:p w:rsidR="00C92FD2" w:rsidRPr="00974C6F" w:rsidRDefault="00C92FD2" w:rsidP="00C92FD2">
      <w:pPr>
        <w:spacing w:after="240"/>
        <w:ind w:left="567" w:hanging="567"/>
        <w:rPr>
          <w:iCs/>
        </w:rPr>
      </w:pPr>
      <w:r w:rsidRPr="00974C6F">
        <w:t>11.</w:t>
      </w:r>
      <w:r w:rsidRPr="00974C6F">
        <w:tab/>
        <w:t>na podlagi poročila Računskega sodišča ugotavlja, da center ni med agencijami, ki imajo neko obliko okoljskega poročanja, vključeno v svoja letna poročila o dejavnostih in so prejele registracijo EMAS; kljub temu je seznanjen s sistemom centra za okoljsko ravnanje, ki mu pomaga doseči okoljske cilje, tudi z uporabo ključnih kazalnikov uspešnosti glede porabe energije, vode, papirja ter odpadkov in emisij CO</w:t>
      </w:r>
      <w:r w:rsidRPr="00974C6F">
        <w:rPr>
          <w:vertAlign w:val="subscript"/>
        </w:rPr>
        <w:t>2</w:t>
      </w:r>
      <w:r w:rsidRPr="00974C6F">
        <w:t>; z zadovoljstvom ugotavlja, da sistem centra za upravljanje uspešnosti vključuje okoljski kazalnik (emisije CO</w:t>
      </w:r>
      <w:r w:rsidRPr="00974C6F">
        <w:rPr>
          <w:vertAlign w:val="subscript"/>
        </w:rPr>
        <w:t>2</w:t>
      </w:r>
      <w:r w:rsidRPr="00974C6F">
        <w:t xml:space="preserve"> (v tonah)), ki ocenjuje okoljsko uspešnost centra z uporabo emisij CO</w:t>
      </w:r>
      <w:r w:rsidRPr="00974C6F">
        <w:rPr>
          <w:vertAlign w:val="subscript"/>
        </w:rPr>
        <w:t>2</w:t>
      </w:r>
      <w:r w:rsidRPr="00974C6F">
        <w:t xml:space="preserve"> in skupnih emisij odpadkov; je seznanjen tudi z zavezo centra, da bo nadgradil svoj sistem okoljskega ravnanja in sprejel ukrepe za pridobitev certifikata EMAS do leta 2025;</w:t>
      </w:r>
    </w:p>
    <w:p w:rsidR="00C92FD2" w:rsidRPr="00974C6F" w:rsidRDefault="00C92FD2" w:rsidP="00C92FD2">
      <w:pPr>
        <w:pStyle w:val="Normal12Hanging"/>
        <w:rPr>
          <w:b/>
          <w:i/>
          <w:szCs w:val="24"/>
          <w:lang w:val="sl-SI"/>
        </w:rPr>
      </w:pPr>
      <w:r w:rsidRPr="00974C6F">
        <w:rPr>
          <w:b/>
          <w:i/>
          <w:lang w:val="sl-SI"/>
        </w:rPr>
        <w:t>Kadrovska politika</w:t>
      </w:r>
    </w:p>
    <w:p w:rsidR="00C92FD2" w:rsidRPr="00974C6F" w:rsidRDefault="00C92FD2" w:rsidP="00C92FD2">
      <w:pPr>
        <w:pStyle w:val="Normal12Hanging"/>
        <w:rPr>
          <w:szCs w:val="24"/>
          <w:lang w:val="sl-SI"/>
        </w:rPr>
      </w:pPr>
      <w:r w:rsidRPr="00974C6F">
        <w:rPr>
          <w:lang w:val="sl-SI"/>
        </w:rPr>
        <w:t>12.</w:t>
      </w:r>
      <w:r w:rsidRPr="00974C6F">
        <w:rPr>
          <w:lang w:val="sl-SI"/>
        </w:rPr>
        <w:tab/>
        <w:t>ugotavlja, da je bil kadrovski načrt na dan 31. decembra 2022 uresničen 95,60-odstotno, saj je bilo od 83 začasnih uslužbencev in osmih uradnikov, odobrenih v proračunu Unije, zaposlenih 79 začasnih uslužbencev in osem uradnikov; ugotavlja tudi, da je v letu 2022 v centru delalo 20 od 25 pogodbenih uslužbencev, odobrenih v proračunu Unije, štirje napoteni nacionalni strokovnjaki in pet agencijskih delavcev;</w:t>
      </w:r>
    </w:p>
    <w:p w:rsidR="00C92FD2" w:rsidRPr="00974C6F" w:rsidRDefault="00C92FD2" w:rsidP="00C92FD2">
      <w:pPr>
        <w:pStyle w:val="NormalHanging12a"/>
      </w:pPr>
      <w:r w:rsidRPr="00974C6F">
        <w:t>13.</w:t>
      </w:r>
      <w:r w:rsidRPr="00974C6F">
        <w:tab/>
        <w:t xml:space="preserve">ugotavlja, da v zvezi z uravnoteženo zastopanostjo spolov, o kateri se poroča za leto 2022, višje vodstvo centra sestavljajo 4 moški (66,7 %) in dve ženski (33,3 %); ugotavlja, da upravni odbor sestavlja 78 moških (53 %) in 68 žensk (47 %); opozarja na mandat centra in dejstvo, da veliko število članov </w:t>
      </w:r>
      <w:r w:rsidR="000431AB" w:rsidRPr="00974C6F">
        <w:t xml:space="preserve">upravnega </w:t>
      </w:r>
      <w:r w:rsidRPr="00974C6F">
        <w:t>odbora (1</w:t>
      </w:r>
      <w:r w:rsidR="000431AB" w:rsidRPr="00974C6F">
        <w:t>4</w:t>
      </w:r>
      <w:r w:rsidRPr="00974C6F">
        <w:t>6) izhaja iz njegove posebne sestave, ki temelji na tristranskem načelu, kar vključuje predstavnike nacionalnih organov in socialnih partnerjev; priznava, da upravni odbor prek svojih članov skrbi za potrebno usklajenost med delom centra ter potrebami in prednostnimi nalogami deležnikov; ugotavlja tudi, da je med vsemi zaposlenimi v centru 44 % moških (47) in 56 % žensk (61); opozarja na pomen geografske uravnoteženosti in v zvezi s tem na podlagi poročila o nadaljnjem ukrepanju pozdravlja zavezo centra, da bo ponovno geografsko uravnotežil število zaposlenih z uporabo rezervnih seznamov drugih agencij, tudi z združevanjem moči z njimi in večjim razširjanjem razpisov prostih delovnih mest;</w:t>
      </w:r>
    </w:p>
    <w:p w:rsidR="00C92FD2" w:rsidRPr="00974C6F" w:rsidRDefault="00C92FD2" w:rsidP="00C92FD2">
      <w:pPr>
        <w:pStyle w:val="Normal12Hanging"/>
        <w:rPr>
          <w:szCs w:val="24"/>
          <w:lang w:val="sl-SI"/>
        </w:rPr>
      </w:pPr>
      <w:r w:rsidRPr="00974C6F">
        <w:rPr>
          <w:lang w:val="sl-SI"/>
        </w:rPr>
        <w:t>14.</w:t>
      </w:r>
      <w:r w:rsidRPr="00974C6F">
        <w:rPr>
          <w:lang w:val="sl-SI"/>
        </w:rPr>
        <w:tab/>
        <w:t>z zadovoljstvom ugotavlja, da si center dejavno prizadeva izboljšati dobro počutje zaposlenih ter usklajevanje njihovega poklicnega in zasebnega življenja; v zvezi s tem ugotavlja, da je center leta 2022 ponujal usposabljanja (npr. obvladovanje tesnobe na delovnem mestu, dobro obvladovanje stresa, digitalno dobro počutje), izvedel raziskave o človeških virih, prenovil svoj skupni odbor, namenjen spodbujanju dobrega počutja in zdravja zaposlenih, ter vzpostavil program pomoči za zaposlene, ki je na voljo 24 ur na dan in sedem dni v tednu, za zaupno podporo v zvezi z različnimi izzivi, povezanimi z življenjem ali delom, s katerimi se soočajo uslužbenci centra;</w:t>
      </w:r>
    </w:p>
    <w:p w:rsidR="00C92FD2" w:rsidRPr="00974C6F" w:rsidRDefault="00C92FD2" w:rsidP="00C92FD2">
      <w:pPr>
        <w:pStyle w:val="NormalHanging12a"/>
      </w:pPr>
      <w:r w:rsidRPr="00974C6F">
        <w:t>15.</w:t>
      </w:r>
      <w:r w:rsidRPr="00974C6F">
        <w:tab/>
        <w:t xml:space="preserve">ugotavlja, da je center leta 2022 začel redno anketo o zavzetosti uslužbencev, katere rezultati so pokazali pozitivne odgovore 65 % uslužbencev centra (75-odstotna stopnja odziva), medtem ko so bile pri 10 od 12 razsežnosti analize kljub zelo nepredvidljivemu obdobju od zadnje raziskave leta 2019 zabeležene pozitivne spremembe, medtem ko je </w:t>
      </w:r>
      <w:r w:rsidRPr="00974C6F">
        <w:lastRenderedPageBreak/>
        <w:t>na nekaterih področjih, kot so delovna obremenitev, preglednost pri odločanju in notranje sodelovanje, potrebna dodatna pozornost; pozdravlja, da so bili rezultati ankete predstavljeni vsem zaposlenim na generalni skupščini in na namenskih sestankih za čas za vprašanja;</w:t>
      </w:r>
    </w:p>
    <w:p w:rsidR="00C92FD2" w:rsidRPr="00974C6F" w:rsidRDefault="00C92FD2" w:rsidP="00C92FD2">
      <w:pPr>
        <w:pStyle w:val="NormalHanging12a"/>
      </w:pPr>
      <w:r w:rsidRPr="00974C6F">
        <w:t>16.</w:t>
      </w:r>
      <w:r w:rsidRPr="00974C6F">
        <w:tab/>
        <w:t>v okviru politike enakih možnosti in raznolikosti centra ter v zvezi s podporo invalidom pozdravlja dejstvo, da so bili sprejeti ukrepi, kot so usposabljanja (o vprašanjih raznolikosti in vključevanja) in smernice (o odkrivanju in preprečevanju nezavedne pristranskosti), ki so na voljo kadrovskemu osebju in izbirnim komisijam, ter nastanitev invalidnih kandidatov; na podlagi odgovorov centra na pisna vprašanja Parlamenta je seznanjen tudi z načrti centra, da naj bi leta 2023 sprejel listino o raznolikosti in vključevanju;</w:t>
      </w:r>
    </w:p>
    <w:p w:rsidR="00C92FD2" w:rsidRPr="00974C6F" w:rsidRDefault="00C92FD2" w:rsidP="00C92FD2">
      <w:pPr>
        <w:pStyle w:val="Normal12Hanging"/>
        <w:rPr>
          <w:szCs w:val="24"/>
          <w:lang w:val="sl-SI"/>
        </w:rPr>
      </w:pPr>
      <w:r w:rsidRPr="00974C6F">
        <w:rPr>
          <w:lang w:val="sl-SI"/>
        </w:rPr>
        <w:t>17.</w:t>
      </w:r>
      <w:r w:rsidRPr="00974C6F">
        <w:rPr>
          <w:lang w:val="sl-SI"/>
        </w:rPr>
        <w:tab/>
        <w:t>na podlagi poročila Računskega sodišča z zaskrbljenostjo ugotavlja, da je center v obdobju 2017–2022 plačeval mesečno nadomestilo in dnevnice dvema grškima državljanoma, ki sta zaposlena kot napotena nacionalna strokovnjaka; v zvezi s tem ugotavlja, da napotena nacionalna strokovnjaka v skladu z notranjimi pravili centra nista bila upravičena do teh nadomestil, saj ima center sedež v Grčiji, zato skupna plačila za ta strokovnjaka, ki so bila izvršena v tem obdobju in znašajo 222.647 EUR (v primerjavi s 36.608 EUR za leto 2022), štejejo za nepravilna; ugotavlja tudi, da se je center, ko je leta 2022 ugotovil težavo, evidentiral dva primera neskladnosti in izjem, odločil, da ne bo zahteval vračila nepravilno plačanih zneskov, in uvedel trimesečno obdobje postopnega opuščanja za napotena nacionalna strokovnjaka, ki sta takrat bila še vedno zaposlena; poziva k strogemu spremljanju in preprečevanju takšnih primerov v prihodnosti;</w:t>
      </w:r>
    </w:p>
    <w:p w:rsidR="00C92FD2" w:rsidRPr="00974C6F" w:rsidRDefault="00C92FD2" w:rsidP="00C92FD2">
      <w:pPr>
        <w:pStyle w:val="Normal12Hanging"/>
        <w:rPr>
          <w:b/>
          <w:i/>
          <w:szCs w:val="24"/>
          <w:lang w:val="sl-SI"/>
        </w:rPr>
      </w:pPr>
      <w:r w:rsidRPr="00974C6F">
        <w:rPr>
          <w:b/>
          <w:i/>
          <w:lang w:val="sl-SI"/>
        </w:rPr>
        <w:t>Preprečevanje in obvladovanje nasprotij interesov ter preglednost</w:t>
      </w:r>
    </w:p>
    <w:p w:rsidR="00C92FD2" w:rsidRPr="00974C6F" w:rsidRDefault="00C92FD2" w:rsidP="00C92FD2">
      <w:pPr>
        <w:pStyle w:val="Normal12Hanging"/>
        <w:rPr>
          <w:szCs w:val="24"/>
          <w:lang w:val="sl-SI"/>
        </w:rPr>
      </w:pPr>
      <w:r w:rsidRPr="00974C6F">
        <w:rPr>
          <w:lang w:val="sl-SI"/>
        </w:rPr>
        <w:t>18.</w:t>
      </w:r>
      <w:r w:rsidRPr="00974C6F">
        <w:rPr>
          <w:lang w:val="sl-SI"/>
        </w:rPr>
        <w:tab/>
        <w:t>je seznanjen, da je center uvedel ukrepe in da si še naprej prizadeva za preglednost, preprečevanje in obvladovanje nasprotij interesov ter zaščito žvižgačev; ugotavlja, da center od svojih uslužbencev zahteva, da prijavijo morebitne ali dejanske interese, če delujejo v situaciji, v kateri bi lahko prišlo do nasprotij interesov; v zvezi s tem ugotavlja, da je center vzpostavil lasten mehanizem, ki vključuje predhodno ukrepanje z blažilnimi ukrepi, naknadne kontrole in pomoč koordinatorja za notranjo kontrolo, ki prejema informacije o prijavljenih nasprotjih interesov;</w:t>
      </w:r>
    </w:p>
    <w:p w:rsidR="00C92FD2" w:rsidRPr="00974C6F" w:rsidRDefault="00C92FD2" w:rsidP="00C92FD2">
      <w:pPr>
        <w:pStyle w:val="Normal12Hanging"/>
        <w:rPr>
          <w:szCs w:val="24"/>
          <w:lang w:val="sl-SI"/>
        </w:rPr>
      </w:pPr>
      <w:r w:rsidRPr="00974C6F">
        <w:rPr>
          <w:lang w:val="sl-SI"/>
        </w:rPr>
        <w:t>19.</w:t>
      </w:r>
      <w:r w:rsidRPr="00974C6F">
        <w:rPr>
          <w:lang w:val="sl-SI"/>
        </w:rPr>
        <w:tab/>
        <w:t>opozarja, da morajo v skladu z Uredbo (EU) 2019/128 vsi člani in namestniki, ki se udeležujejo sej upravnega odbora ali uveljavljajo glasovalno pravico, predložiti izjavo o interesih; pozdravlja dejstvo, da so bili na spletnem mestu centra objavljeni izjave o interesih vseh članov upravnega odbora in njihovih namestnikov ter uslužbencev centra na višjih ali srednjih vodstvenih položajih; na podlagi odgovorov centra na pisna vprašanja Parlamenta ugotavlja, da člani upravnega odbora ali namestniki, ki ne predložijo podpisane izjave o interesih, od leta 2022 niso več vabljeni na seje upravnega odbora, ne prejemajo dokumentov upravnega odbora in ne sodelujejo v pisnih postopkih za sprejemanje odločitev; je seznanjen z objavo življenjepisov članov upravnega odbora, ki se sicer uradno ne zahteva; ugotavlja, da še vedno manjkajo življenjepisi nekaterih članov upravnega odbora, vključno z življenjepisom predsednika upravnega odbora; poziva center, naj objavi življenjepise vseh članov upravnega odbora in njihovih namestnikov;</w:t>
      </w:r>
    </w:p>
    <w:p w:rsidR="00C92FD2" w:rsidRPr="00974C6F" w:rsidRDefault="00C92FD2" w:rsidP="00C92FD2">
      <w:pPr>
        <w:pStyle w:val="Normal12Hanging"/>
        <w:rPr>
          <w:szCs w:val="24"/>
          <w:lang w:val="sl-SI"/>
        </w:rPr>
      </w:pPr>
      <w:r w:rsidRPr="00974C6F">
        <w:rPr>
          <w:lang w:val="sl-SI"/>
        </w:rPr>
        <w:t>20.</w:t>
      </w:r>
      <w:r w:rsidRPr="00974C6F">
        <w:rPr>
          <w:lang w:val="sl-SI"/>
        </w:rPr>
        <w:tab/>
        <w:t xml:space="preserve">ugotavlja, da center priznava pomen pojava vrtljivih vrat in redno ozavešča vse svoje </w:t>
      </w:r>
      <w:r w:rsidRPr="00974C6F">
        <w:rPr>
          <w:lang w:val="sl-SI"/>
        </w:rPr>
        <w:lastRenderedPageBreak/>
        <w:t>osebje o izvedbenih pravilih o zunanjih dejavnostih in nalogah ter poklicnih dejavnostih po prenehanju delovnega razmerja; izreka pohvalo, da so vsi uslužbenci, ki zapustijo center, pozvani, naj podpišejo pismo o svojih obveznostih po prenehanju službe, vključno s tem, da morebitna prihodnja zaposlitev ne bi smela posegati v njihovo obveznost zaupnosti do centra;</w:t>
      </w:r>
    </w:p>
    <w:p w:rsidR="00C92FD2" w:rsidRPr="00974C6F" w:rsidRDefault="00C92FD2" w:rsidP="00C92FD2">
      <w:pPr>
        <w:pStyle w:val="Normal12Hanging"/>
        <w:rPr>
          <w:b/>
          <w:i/>
          <w:szCs w:val="24"/>
          <w:lang w:val="sl-SI"/>
        </w:rPr>
      </w:pPr>
      <w:r w:rsidRPr="00974C6F">
        <w:rPr>
          <w:b/>
          <w:i/>
          <w:lang w:val="sl-SI"/>
        </w:rPr>
        <w:t>Notranja kontrola</w:t>
      </w:r>
    </w:p>
    <w:p w:rsidR="00C92FD2" w:rsidRPr="00974C6F" w:rsidRDefault="00C92FD2" w:rsidP="00C92FD2">
      <w:pPr>
        <w:pStyle w:val="Normal12Hanging"/>
        <w:rPr>
          <w:szCs w:val="24"/>
          <w:lang w:val="sl-SI"/>
        </w:rPr>
      </w:pPr>
      <w:r w:rsidRPr="00974C6F">
        <w:rPr>
          <w:lang w:val="sl-SI"/>
        </w:rPr>
        <w:t>21.</w:t>
      </w:r>
      <w:r w:rsidRPr="00974C6F">
        <w:rPr>
          <w:lang w:val="sl-SI"/>
        </w:rPr>
        <w:tab/>
        <w:t>ugotavlja, da so skupni stroški notranje kontrole v letu 2022 znašali 1.101.755 EUR (neposredni stroški so znašali 29.024 EUR, posredni pa 1.072.731 EUR), kar predstavlja 6 % proračuna centra; je seznanjen tudi z izjavo centra, da je zmerno povečanje stroškov v primerjavi z letom 2021 (5,3 %) posledica povečanja stroškov plač in kombinacije osebja, vključenega v naloge notranje kontrole, kar je privedlo do višjih posrednih stroškov;</w:t>
      </w:r>
    </w:p>
    <w:p w:rsidR="00C92FD2" w:rsidRPr="00974C6F" w:rsidRDefault="00C92FD2" w:rsidP="00C92FD2">
      <w:pPr>
        <w:pStyle w:val="Normal12Hanging"/>
        <w:rPr>
          <w:szCs w:val="24"/>
          <w:lang w:val="sl-SI"/>
        </w:rPr>
      </w:pPr>
      <w:r w:rsidRPr="00974C6F">
        <w:rPr>
          <w:lang w:val="sl-SI"/>
        </w:rPr>
        <w:t>22.</w:t>
      </w:r>
      <w:r w:rsidRPr="00974C6F">
        <w:rPr>
          <w:lang w:val="sl-SI"/>
        </w:rPr>
        <w:tab/>
        <w:t>se zaveda, da center v skladu s svojo politiko ocenjevanja izvaja predhodne ocene postopkov javnega naročanja nad 500.000 EUR in naknadne ocene projektov in dejavnosti, katerih skupni odhodki presegajo 500.000 EUR; ugotavlja, da je vodja oddelka za finance in javna naročila v poročilu za leto 2022 ugotovil, da so bili postopki javnega naročanja, ki so se začeli v obravnavanem obdobju, skladni z zahtevami predhodnega ocenjevanja; ugotavlja, da je center leta 2022 opravil naknadno oceno dejavnosti, osredotočene na okvirno pogodbo na področju informacij o trgu dela ter analize potreb po znanjih in spretnostih (vrednost pogodbe 1.088.350 EUR); ugotavlja, da je izid ocene potrdil, da je bila ta dejavnost uspešna, učinkovita in skladna ter da je Uniji prinesla dodano vrednost; ugotavlja tudi, da je delovna skupina, ki jo je imenoval izvršni direktor, leta 2022 ugotovila, da so bila v zvezi z vzorcem treh postopkov javnega naročanja vzpostavljena in upoštevana merila, povezana z uspešno in učinkovito notranjo kontrolo, ne da bi bili potrebni popravni ukrepi;</w:t>
      </w:r>
    </w:p>
    <w:p w:rsidR="00C92FD2" w:rsidRPr="00974C6F" w:rsidRDefault="00C92FD2" w:rsidP="00C92FD2">
      <w:pPr>
        <w:pStyle w:val="Normal12Hanging"/>
        <w:rPr>
          <w:szCs w:val="24"/>
          <w:lang w:val="sl-SI"/>
        </w:rPr>
      </w:pPr>
      <w:r w:rsidRPr="00974C6F">
        <w:rPr>
          <w:lang w:val="sl-SI"/>
        </w:rPr>
        <w:t>23.</w:t>
      </w:r>
      <w:r w:rsidRPr="00974C6F">
        <w:rPr>
          <w:lang w:val="sl-SI"/>
        </w:rPr>
        <w:tab/>
        <w:t>ugotavlja, da je center leta 2022 zabeležil 57 primerov neskladnosti in izjem, povezanih s pogodbenimi vprašanji in finančnim poslovodenjem; ugotavlja tudi, da so bila priporočila koordinatorja za notranjo kontrolo izvedena in upoštevana, da bi preprečili ponovne neskladnosti;</w:t>
      </w:r>
    </w:p>
    <w:p w:rsidR="00C92FD2" w:rsidRPr="00974C6F" w:rsidRDefault="00C92FD2" w:rsidP="00C92FD2">
      <w:pPr>
        <w:pStyle w:val="Normal12Hanging"/>
        <w:rPr>
          <w:lang w:val="sl-SI"/>
        </w:rPr>
      </w:pPr>
      <w:r w:rsidRPr="00974C6F">
        <w:rPr>
          <w:lang w:val="sl-SI"/>
        </w:rPr>
        <w:t>24.</w:t>
      </w:r>
      <w:r w:rsidRPr="00974C6F">
        <w:rPr>
          <w:lang w:val="sl-SI"/>
        </w:rPr>
        <w:tab/>
        <w:t>ugotavlja, da je bilo v oceni splošnega okvira notranje kontrole centra, ki jo je izvedel koordinator za notranjo kontrolo z uporabo orodja, ki ga je dal na voljo GD BUDG, ugotovljeno, da je okvir notranje kontrole učinkovit, da so vsi njegovi sestavni deli vzpostavljeni in delujejo dobro ter za predvideni namen, pri čemer so potrebne nekatere izboljšave v zvezi s komponento notranje kontrole „kontrolne dejavnosti“; na podlagi poročila o nadaljnjem ukrepanju z zadovoljstvom ugotavlja, da center v okviru dejavnosti ozaveščanja o vprašanjih etike, integritete in notranje kontrole vsem uslužbencem in članom upravnega odbora nudi redna obvezna usposabljanja o dobrem upravljanju, vključno z vprašanji, povezanimi z goljufijami;</w:t>
      </w:r>
    </w:p>
    <w:p w:rsidR="00C92FD2" w:rsidRPr="00974C6F" w:rsidRDefault="00C92FD2" w:rsidP="00C92FD2">
      <w:pPr>
        <w:pStyle w:val="Normal12Hanging"/>
        <w:rPr>
          <w:szCs w:val="24"/>
          <w:lang w:val="sl-SI"/>
        </w:rPr>
      </w:pPr>
    </w:p>
    <w:p w:rsidR="00C92FD2" w:rsidRPr="00974C6F" w:rsidRDefault="00C92FD2" w:rsidP="00C92FD2">
      <w:pPr>
        <w:pStyle w:val="Normal12Hanging"/>
        <w:rPr>
          <w:szCs w:val="24"/>
          <w:lang w:val="sl-SI"/>
        </w:rPr>
      </w:pPr>
      <w:r w:rsidRPr="00974C6F">
        <w:rPr>
          <w:b/>
          <w:i/>
          <w:lang w:val="sl-SI"/>
        </w:rPr>
        <w:t>Druge pripombe</w:t>
      </w:r>
    </w:p>
    <w:p w:rsidR="00C92FD2" w:rsidRPr="00974C6F" w:rsidRDefault="00C92FD2" w:rsidP="00C92FD2">
      <w:pPr>
        <w:pStyle w:val="Normal12Hanging"/>
        <w:rPr>
          <w:szCs w:val="24"/>
          <w:lang w:val="sl-SI"/>
        </w:rPr>
      </w:pPr>
      <w:r w:rsidRPr="00974C6F">
        <w:rPr>
          <w:lang w:val="sl-SI"/>
        </w:rPr>
        <w:t>25.</w:t>
      </w:r>
      <w:r w:rsidRPr="00974C6F">
        <w:rPr>
          <w:lang w:val="sl-SI"/>
        </w:rPr>
        <w:tab/>
        <w:t xml:space="preserve">pozdravlja prizadevanja centra za komuniciranje na načine, ki pomagajo pri doseganju širšega občinstva, tudi z uvedbo strojnega orodja za prevajanje na spletnem mestu centra, da bi bile vse njegove spletne strani dostopne v vseh uradnih jezikih institucij </w:t>
      </w:r>
      <w:r w:rsidRPr="00974C6F">
        <w:rPr>
          <w:lang w:val="sl-SI"/>
        </w:rPr>
        <w:lastRenderedPageBreak/>
        <w:t>Unije; ugotavlja, da je center leta 2022 vlagal v več inovativnih proizvodov, kot so poslovne video produkcije, gibljive grafike, animacije (o sistemih poklicnega izobraževanja in usposabljanja v državah, ki sta v letu 2022 predsedovali Uniji, tj. v Franciji in na Češkem), poddaje ter nove vizualizacije podatkov in spletne podatkovne zbirke, ki so okrepile spletni portal centra; z zadovoljstvom ugotavlja, da so publikacije in informativni dokumenti centra prek neposrednega prenosa dosegli več deset tisoč ljudi; izreka pohvalo centru za povečanje metrike družbenih medijev v letu 2022;</w:t>
      </w:r>
    </w:p>
    <w:p w:rsidR="00C92FD2" w:rsidRPr="00974C6F" w:rsidRDefault="00C92FD2" w:rsidP="00C92FD2">
      <w:pPr>
        <w:pStyle w:val="Normal12Hanging"/>
        <w:rPr>
          <w:szCs w:val="24"/>
          <w:lang w:val="sl-SI"/>
        </w:rPr>
      </w:pPr>
      <w:r w:rsidRPr="00974C6F">
        <w:rPr>
          <w:lang w:val="sl-SI"/>
        </w:rPr>
        <w:t>26.</w:t>
      </w:r>
      <w:r w:rsidRPr="00974C6F">
        <w:rPr>
          <w:lang w:val="sl-SI"/>
        </w:rPr>
        <w:tab/>
        <w:t>poudarja, da sta poklicno izobraževanje in usposabljanje ter izobraževanje odraslih ključni prednostni nalogi Evropskega socialnega sklada plus (ESS+) za zeleno in digitalno okrevanje, medtem ko proračun ESS+ za obdobje 2021–2027 znaša skoraj 99,3 milijarde EUR;</w:t>
      </w:r>
    </w:p>
    <w:p w:rsidR="00C92FD2" w:rsidRPr="00974C6F" w:rsidRDefault="00C92FD2" w:rsidP="00C92FD2">
      <w:pPr>
        <w:pStyle w:val="NormalHanging12a"/>
      </w:pPr>
      <w:r w:rsidRPr="00974C6F">
        <w:t>27.</w:t>
      </w:r>
      <w:r w:rsidRPr="00974C6F">
        <w:tab/>
        <w:t>ugotavlja, da je bila prožnost glede zagotavljanja dodatnih sredstev za osnovno dejavnost omejena zaradi visokih stopenj inflacije in s tem povezanih prilagoditev in zvišanj plač, ki so presegle prvotne napovedi, povečal pa se je tudi utežni faktor;</w:t>
      </w:r>
    </w:p>
    <w:p w:rsidR="00C92FD2" w:rsidRPr="00974C6F" w:rsidRDefault="00C92FD2" w:rsidP="00C92FD2">
      <w:pPr>
        <w:pStyle w:val="NormalCenter12a"/>
      </w:pPr>
      <w:r w:rsidRPr="00974C6F">
        <w:t>°</w:t>
      </w:r>
    </w:p>
    <w:p w:rsidR="00C92FD2" w:rsidRPr="00974C6F" w:rsidRDefault="00C92FD2" w:rsidP="00C92FD2">
      <w:pPr>
        <w:pStyle w:val="NormalCenter12a"/>
      </w:pPr>
      <w:r w:rsidRPr="00974C6F">
        <w:t>°</w:t>
      </w:r>
      <w:r w:rsidRPr="00974C6F">
        <w:tab/>
        <w:t>°</w:t>
      </w:r>
    </w:p>
    <w:p w:rsidR="00E365E1" w:rsidRPr="00974C6F" w:rsidRDefault="00C92FD2" w:rsidP="00CE1716">
      <w:pPr>
        <w:pStyle w:val="NormalHanging12a"/>
      </w:pPr>
      <w:r w:rsidRPr="00974C6F">
        <w:t>28.</w:t>
      </w:r>
      <w:r w:rsidRPr="00974C6F">
        <w:tab/>
        <w:t xml:space="preserve">sporoča, da so druge ugotovitve horizontalne narave, ki spremljajo sklep o razrešnici, zbrane v resoluciji z dne </w:t>
      </w:r>
      <w:r w:rsidR="00CE1716" w:rsidRPr="00974C6F">
        <w:t>11. aprila</w:t>
      </w:r>
      <w:r w:rsidRPr="00974C6F">
        <w:t xml:space="preserve"> 2024</w:t>
      </w:r>
      <w:r w:rsidRPr="00974C6F">
        <w:rPr>
          <w:rStyle w:val="FootnoteReference"/>
        </w:rPr>
        <w:footnoteReference w:id="12"/>
      </w:r>
      <w:r w:rsidRPr="00974C6F">
        <w:t xml:space="preserve"> o uspešnosti, finančnem poslovodenju in nadzoru agencij.</w:t>
      </w:r>
      <w:bookmarkStart w:id="9" w:name="TextBodyEnd"/>
      <w:bookmarkEnd w:id="9"/>
    </w:p>
    <w:sectPr w:rsidR="00E365E1" w:rsidRPr="00974C6F" w:rsidSect="00876AB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A1D" w:rsidRPr="00876ABB" w:rsidRDefault="00A45A1D">
      <w:r w:rsidRPr="00876ABB">
        <w:separator/>
      </w:r>
    </w:p>
  </w:endnote>
  <w:endnote w:type="continuationSeparator" w:id="0">
    <w:p w:rsidR="00A45A1D" w:rsidRPr="00876ABB" w:rsidRDefault="00A45A1D">
      <w:r w:rsidRPr="00876A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FD2" w:rsidRPr="00876ABB" w:rsidRDefault="00C92FD2" w:rsidP="00B10540">
    <w:pPr>
      <w:pStyle w:val="EPFooter"/>
    </w:pPr>
    <w:r w:rsidRPr="00876ABB">
      <w:t>PE</w:t>
    </w:r>
    <w:r w:rsidRPr="00876ABB">
      <w:rPr>
        <w:rStyle w:val="HideTWBExt"/>
      </w:rPr>
      <w:t>&lt;NoPE&gt;</w:t>
    </w:r>
    <w:r w:rsidRPr="00876ABB">
      <w:t>753.509</w:t>
    </w:r>
    <w:r w:rsidRPr="00876ABB">
      <w:rPr>
        <w:rStyle w:val="HideTWBExt"/>
      </w:rPr>
      <w:t>&lt;/NoPE&gt;&lt;Version&gt;</w:t>
    </w:r>
    <w:r w:rsidRPr="00876ABB">
      <w:t>v02-00</w:t>
    </w:r>
    <w:r w:rsidRPr="00876ABB">
      <w:rPr>
        <w:rStyle w:val="HideTWBExt"/>
      </w:rPr>
      <w:t>&lt;/Version&gt;</w:t>
    </w:r>
    <w:r w:rsidRPr="00876ABB">
      <w:tab/>
    </w:r>
    <w:r w:rsidRPr="00876ABB">
      <w:fldChar w:fldCharType="begin"/>
    </w:r>
    <w:r w:rsidRPr="00876ABB">
      <w:instrText xml:space="preserve"> PAGE  \* MERGEFORMAT </w:instrText>
    </w:r>
    <w:r w:rsidRPr="00876ABB">
      <w:fldChar w:fldCharType="separate"/>
    </w:r>
    <w:r w:rsidRPr="00876ABB">
      <w:rPr>
        <w:noProof/>
      </w:rPr>
      <w:t>4</w:t>
    </w:r>
    <w:r w:rsidRPr="00876ABB">
      <w:fldChar w:fldCharType="end"/>
    </w:r>
    <w:r w:rsidRPr="00876ABB">
      <w:t>/</w:t>
    </w:r>
    <w:r w:rsidR="00974C6F">
      <w:fldChar w:fldCharType="begin"/>
    </w:r>
    <w:r w:rsidR="00974C6F">
      <w:instrText xml:space="preserve"> NUMPAGES  \* MERGEFORMAT </w:instrText>
    </w:r>
    <w:r w:rsidR="00974C6F">
      <w:fldChar w:fldCharType="separate"/>
    </w:r>
    <w:r w:rsidRPr="00876ABB">
      <w:rPr>
        <w:noProof/>
      </w:rPr>
      <w:t>4</w:t>
    </w:r>
    <w:r w:rsidR="00974C6F">
      <w:rPr>
        <w:noProof/>
      </w:rPr>
      <w:fldChar w:fldCharType="end"/>
    </w:r>
    <w:r w:rsidRPr="00876ABB">
      <w:tab/>
    </w:r>
    <w:r w:rsidRPr="00876ABB">
      <w:rPr>
        <w:rStyle w:val="HideTWBExt"/>
      </w:rPr>
      <w:t>&lt;PathFdR&gt;</w:t>
    </w:r>
    <w:r w:rsidRPr="00876ABB">
      <w:t>RR\1298579SL.docx</w:t>
    </w:r>
    <w:r w:rsidRPr="00876ABB">
      <w:rPr>
        <w:rStyle w:val="HideTWBExt"/>
      </w:rPr>
      <w:t>&lt;/PathFdR&gt;</w:t>
    </w:r>
  </w:p>
  <w:p w:rsidR="00C92FD2" w:rsidRPr="00876ABB" w:rsidRDefault="00C92FD2" w:rsidP="00B10540">
    <w:pPr>
      <w:pStyle w:val="EPFooter2"/>
    </w:pPr>
    <w:r w:rsidRPr="00876AB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FD2" w:rsidRPr="00876ABB" w:rsidRDefault="00C92FD2" w:rsidP="00B10540">
    <w:pPr>
      <w:pStyle w:val="EPFooter"/>
    </w:pPr>
    <w:r w:rsidRPr="00876ABB">
      <w:rPr>
        <w:rStyle w:val="HideTWBExt"/>
      </w:rPr>
      <w:t>&lt;PathFdR&gt;</w:t>
    </w:r>
    <w:r w:rsidRPr="00876ABB">
      <w:t>RR\1298579SL.docx</w:t>
    </w:r>
    <w:r w:rsidRPr="00876ABB">
      <w:rPr>
        <w:rStyle w:val="HideTWBExt"/>
      </w:rPr>
      <w:t>&lt;/PathFdR&gt;</w:t>
    </w:r>
    <w:r w:rsidRPr="00876ABB">
      <w:tab/>
    </w:r>
    <w:r w:rsidRPr="00876ABB">
      <w:tab/>
      <w:t>PE</w:t>
    </w:r>
    <w:r w:rsidRPr="00876ABB">
      <w:rPr>
        <w:rStyle w:val="HideTWBExt"/>
      </w:rPr>
      <w:t>&lt;NoPE&gt;</w:t>
    </w:r>
    <w:r w:rsidRPr="00876ABB">
      <w:t>753.509</w:t>
    </w:r>
    <w:r w:rsidRPr="00876ABB">
      <w:rPr>
        <w:rStyle w:val="HideTWBExt"/>
      </w:rPr>
      <w:t>&lt;/NoPE&gt;&lt;Version&gt;</w:t>
    </w:r>
    <w:r w:rsidRPr="00876ABB">
      <w:t>v02-00</w:t>
    </w:r>
    <w:r w:rsidRPr="00876ABB">
      <w:rPr>
        <w:rStyle w:val="HideTWBExt"/>
      </w:rPr>
      <w:t>&lt;/Version&gt;</w:t>
    </w:r>
  </w:p>
  <w:p w:rsidR="00C92FD2" w:rsidRPr="00876ABB" w:rsidRDefault="00C92FD2" w:rsidP="00B10540">
    <w:pPr>
      <w:pStyle w:val="EPFooter2"/>
    </w:pPr>
    <w:r w:rsidRPr="00876ABB">
      <w:t>SL</w:t>
    </w:r>
    <w:r w:rsidRPr="00876ABB">
      <w:tab/>
    </w:r>
    <w:r w:rsidRPr="00876ABB">
      <w:rPr>
        <w:b w:val="0"/>
        <w:i/>
        <w:color w:val="C0C0C0"/>
        <w:sz w:val="22"/>
      </w:rPr>
      <w:t>Združena v raznolikosti</w:t>
    </w:r>
    <w:r w:rsidRPr="00876ABB">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B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B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A1D" w:rsidRPr="00876ABB" w:rsidRDefault="00A45A1D">
      <w:r w:rsidRPr="00876ABB">
        <w:separator/>
      </w:r>
    </w:p>
  </w:footnote>
  <w:footnote w:type="continuationSeparator" w:id="0">
    <w:p w:rsidR="00A45A1D" w:rsidRPr="00876ABB" w:rsidRDefault="00A45A1D">
      <w:r w:rsidRPr="00876ABB">
        <w:continuationSeparator/>
      </w:r>
    </w:p>
  </w:footnote>
  <w:footnote w:id="1">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C, C/2023/594, 27.10.2023.</w:t>
      </w:r>
    </w:p>
  </w:footnote>
  <w:footnote w:id="2">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C, C/2023/112, 12.10.2023.</w:t>
      </w:r>
    </w:p>
  </w:footnote>
  <w:footnote w:id="3">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L 193, 30.7.2018, str. 1.</w:t>
      </w:r>
    </w:p>
  </w:footnote>
  <w:footnote w:id="4">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L 30, 31.1.2019, str. 90.</w:t>
      </w:r>
    </w:p>
  </w:footnote>
  <w:footnote w:id="5">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L 122, 10.5.2019, str. 1.</w:t>
      </w:r>
    </w:p>
  </w:footnote>
  <w:footnote w:id="6">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C, C/2023/594, 27.10.2023.</w:t>
      </w:r>
    </w:p>
  </w:footnote>
  <w:footnote w:id="7">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C, C/2023/112, 12.10.2023.</w:t>
      </w:r>
    </w:p>
  </w:footnote>
  <w:footnote w:id="8">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L 193, 30.7.2018, str. 1.</w:t>
      </w:r>
    </w:p>
  </w:footnote>
  <w:footnote w:id="9">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L 30, 31.1.2019, str. 90.</w:t>
      </w:r>
    </w:p>
  </w:footnote>
  <w:footnote w:id="10">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L 122, 10.5.2019, str. 1.</w:t>
      </w:r>
    </w:p>
  </w:footnote>
  <w:footnote w:id="11">
    <w:p w:rsidR="00C92FD2" w:rsidRPr="00876ABB" w:rsidRDefault="00C92FD2" w:rsidP="00876ABB">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UL C 73, 28.2.2023, str. 4.</w:t>
      </w:r>
    </w:p>
  </w:footnote>
  <w:footnote w:id="12">
    <w:p w:rsidR="00C92FD2" w:rsidRPr="00876ABB" w:rsidRDefault="00C92FD2" w:rsidP="00974C6F">
      <w:pPr>
        <w:pStyle w:val="FootnoteText"/>
        <w:ind w:left="567" w:hanging="567"/>
        <w:rPr>
          <w:sz w:val="24"/>
          <w:lang w:val="sl-SI"/>
        </w:rPr>
      </w:pPr>
      <w:r w:rsidRPr="00876ABB">
        <w:rPr>
          <w:rStyle w:val="FootnoteReference"/>
          <w:sz w:val="24"/>
          <w:lang w:val="sl-SI"/>
        </w:rPr>
        <w:footnoteRef/>
      </w:r>
      <w:r w:rsidR="00876ABB" w:rsidRPr="00876ABB">
        <w:rPr>
          <w:sz w:val="24"/>
          <w:lang w:val="sl-SI"/>
        </w:rPr>
        <w:t xml:space="preserve"> </w:t>
      </w:r>
      <w:r w:rsidR="00876ABB" w:rsidRPr="00876ABB">
        <w:rPr>
          <w:sz w:val="24"/>
          <w:lang w:val="sl-SI"/>
        </w:rPr>
        <w:tab/>
      </w:r>
      <w:r w:rsidRPr="00876ABB">
        <w:rPr>
          <w:sz w:val="24"/>
          <w:lang w:val="sl-SI"/>
        </w:rPr>
        <w:t>Sprejeta besedila, P9_TA(2024)0</w:t>
      </w:r>
      <w:r w:rsidR="00974C6F">
        <w:rPr>
          <w:sz w:val="24"/>
          <w:lang w:val="sl-SI"/>
        </w:rPr>
        <w:t>280</w:t>
      </w:r>
      <w:r w:rsidRPr="00876AB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SL"/>
    <w:docVar w:name="dvnumam" w:val="0"/>
    <w:docVar w:name="dvpe" w:val="753.509"/>
    <w:docVar w:name="dvrapporteur" w:val="Poročevalec: "/>
    <w:docVar w:name="dvtitre" w:val="1. Sklep Evropskega parlamenta z dne 11. aprila 2024 o razrešnici glede izvrševanja proračuna Evropskega centra za razvoj poklicnega usposabljanja (Cedefop) za proračunsko leto 2022(2023/2143(DEC))"/>
  </w:docVars>
  <w:rsids>
    <w:rsidRoot w:val="00A45A1D"/>
    <w:rsid w:val="00002272"/>
    <w:rsid w:val="000431A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ABB"/>
    <w:rsid w:val="00881A7B"/>
    <w:rsid w:val="008840E5"/>
    <w:rsid w:val="00887B3E"/>
    <w:rsid w:val="008C2AC6"/>
    <w:rsid w:val="00930C23"/>
    <w:rsid w:val="0093193B"/>
    <w:rsid w:val="009509D8"/>
    <w:rsid w:val="00950B64"/>
    <w:rsid w:val="00974C6F"/>
    <w:rsid w:val="00981893"/>
    <w:rsid w:val="00A1687D"/>
    <w:rsid w:val="00A43E52"/>
    <w:rsid w:val="00A45A1D"/>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FD2"/>
    <w:rsid w:val="00C941CB"/>
    <w:rsid w:val="00CC2357"/>
    <w:rsid w:val="00CE171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12F4F"/>
  <w15:chartTrackingRefBased/>
  <w15:docId w15:val="{2372DCD6-2EC4-4001-8805-16762EF7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2FD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2FD2"/>
    <w:pPr>
      <w:spacing w:before="480" w:after="240"/>
    </w:pPr>
  </w:style>
  <w:style w:type="paragraph" w:customStyle="1" w:styleId="PageHeading">
    <w:name w:val="PageHeading"/>
    <w:basedOn w:val="Normal"/>
    <w:rsid w:val="00C92FD2"/>
    <w:pPr>
      <w:keepNext/>
      <w:spacing w:after="480"/>
      <w:jc w:val="center"/>
    </w:pPr>
    <w:rPr>
      <w:rFonts w:ascii="Arial" w:hAnsi="Arial" w:cs="Arial"/>
      <w:b/>
    </w:rPr>
  </w:style>
  <w:style w:type="paragraph" w:customStyle="1" w:styleId="NormalBold">
    <w:name w:val="NormalBold"/>
    <w:basedOn w:val="Normal"/>
    <w:rsid w:val="00C92FD2"/>
    <w:rPr>
      <w:b/>
    </w:rPr>
  </w:style>
  <w:style w:type="paragraph" w:customStyle="1" w:styleId="NormalHanging12a">
    <w:name w:val="NormalHanging12a"/>
    <w:basedOn w:val="Normal"/>
    <w:link w:val="NormalHanging12aChar"/>
    <w:rsid w:val="00C92FD2"/>
    <w:pPr>
      <w:spacing w:after="240"/>
      <w:ind w:left="567" w:hanging="567"/>
    </w:pPr>
  </w:style>
  <w:style w:type="paragraph" w:customStyle="1" w:styleId="NormalCenter12a">
    <w:name w:val="NormalCenter12a"/>
    <w:basedOn w:val="Normal"/>
    <w:rsid w:val="00C92FD2"/>
    <w:pPr>
      <w:spacing w:after="240"/>
      <w:jc w:val="center"/>
    </w:pPr>
  </w:style>
  <w:style w:type="paragraph" w:styleId="Header">
    <w:name w:val="header"/>
    <w:basedOn w:val="Normal"/>
    <w:link w:val="HeaderChar"/>
    <w:rsid w:val="00C92FD2"/>
    <w:pPr>
      <w:tabs>
        <w:tab w:val="center" w:pos="4513"/>
        <w:tab w:val="right" w:pos="9026"/>
      </w:tabs>
    </w:pPr>
  </w:style>
  <w:style w:type="character" w:customStyle="1" w:styleId="HeaderChar">
    <w:name w:val="Header Char"/>
    <w:basedOn w:val="DefaultParagraphFont"/>
    <w:link w:val="Header"/>
    <w:rsid w:val="00C92FD2"/>
    <w:rPr>
      <w:sz w:val="24"/>
      <w:lang w:val="sl-SI"/>
    </w:rPr>
  </w:style>
  <w:style w:type="paragraph" w:customStyle="1" w:styleId="EPFooter">
    <w:name w:val="EPFooter"/>
    <w:basedOn w:val="Normal"/>
    <w:rsid w:val="00C92FD2"/>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92FD2"/>
    <w:rPr>
      <w:sz w:val="24"/>
    </w:rPr>
  </w:style>
  <w:style w:type="paragraph" w:customStyle="1" w:styleId="Normal12Hanging">
    <w:name w:val="Normal12Hanging"/>
    <w:basedOn w:val="Normal"/>
    <w:link w:val="Normal12HangingChar"/>
    <w:rsid w:val="00C92FD2"/>
    <w:pPr>
      <w:spacing w:after="240"/>
      <w:ind w:left="567" w:hanging="567"/>
    </w:pPr>
    <w:rPr>
      <w:lang w:val="en-GB"/>
    </w:rPr>
  </w:style>
  <w:style w:type="character" w:customStyle="1" w:styleId="NormalHanging12aChar">
    <w:name w:val="NormalHanging12a Char"/>
    <w:basedOn w:val="DefaultParagraphFont"/>
    <w:link w:val="NormalHanging12a"/>
    <w:locked/>
    <w:rsid w:val="00C92FD2"/>
    <w:rPr>
      <w:sz w:val="24"/>
      <w:lang w:val="sl-SI"/>
    </w:rPr>
  </w:style>
  <w:style w:type="paragraph" w:styleId="Footer">
    <w:name w:val="footer"/>
    <w:basedOn w:val="Normal"/>
    <w:link w:val="FooterChar"/>
    <w:rsid w:val="00CE1716"/>
    <w:pPr>
      <w:tabs>
        <w:tab w:val="center" w:pos="4513"/>
        <w:tab w:val="right" w:pos="9026"/>
      </w:tabs>
    </w:pPr>
  </w:style>
  <w:style w:type="character" w:customStyle="1" w:styleId="FooterChar">
    <w:name w:val="Footer Char"/>
    <w:basedOn w:val="DefaultParagraphFont"/>
    <w:link w:val="Footer"/>
    <w:rsid w:val="00CE1716"/>
    <w:rPr>
      <w:sz w:val="24"/>
      <w:lang w:val="sl-SI"/>
    </w:rPr>
  </w:style>
  <w:style w:type="paragraph" w:styleId="BalloonText">
    <w:name w:val="Balloon Text"/>
    <w:basedOn w:val="Normal"/>
    <w:link w:val="BalloonTextChar"/>
    <w:rsid w:val="000431AB"/>
    <w:rPr>
      <w:rFonts w:ascii="Segoe UI" w:hAnsi="Segoe UI" w:cs="Segoe UI"/>
      <w:sz w:val="18"/>
      <w:szCs w:val="18"/>
    </w:rPr>
  </w:style>
  <w:style w:type="character" w:customStyle="1" w:styleId="BalloonTextChar">
    <w:name w:val="Balloon Text Char"/>
    <w:basedOn w:val="DefaultParagraphFont"/>
    <w:link w:val="BalloonText"/>
    <w:rsid w:val="000431A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64077-0696-4F4F-8205-C250EF53C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3842</Words>
  <Characters>22891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2024-04-11T11:10:00Z</dcterms:created>
  <dcterms:modified xsi:type="dcterms:W3CDTF">2024-04-11T11:10:00Z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A9-0080/2024</vt:lpwstr>
  </property>
  <property fmtid="{D5CDD505-2E9C-101B-9397-08002B2CF9AE}" pid="4" name="&lt;Type&gt;">
    <vt:lpwstr>RR</vt:lpwstr>
  </property>
</Properties>
</file>