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46BB" w:rsidTr="0010095E">
        <w:trPr>
          <w:trHeight w:hRule="exact" w:val="1418"/>
        </w:trPr>
        <w:tc>
          <w:tcPr>
            <w:tcW w:w="6804" w:type="dxa"/>
            <w:shd w:val="clear" w:color="auto" w:fill="auto"/>
            <w:vAlign w:val="center"/>
          </w:tcPr>
          <w:p w:rsidR="00751A4A" w:rsidRPr="00E246BB" w:rsidRDefault="00D934C4" w:rsidP="0010095E">
            <w:pPr>
              <w:pStyle w:val="EPName"/>
            </w:pPr>
            <w:r w:rsidRPr="00E246BB">
              <w:t>Ευρωπαϊκό Κοινοβούλιο</w:t>
            </w:r>
          </w:p>
          <w:p w:rsidR="00751A4A" w:rsidRPr="00E246BB" w:rsidRDefault="00817416" w:rsidP="00756632">
            <w:pPr>
              <w:pStyle w:val="EPTerm"/>
              <w:rPr>
                <w:rStyle w:val="HideTWBExt"/>
                <w:noProof w:val="0"/>
                <w:vanish w:val="0"/>
                <w:color w:val="auto"/>
              </w:rPr>
            </w:pPr>
            <w:r w:rsidRPr="00E246BB">
              <w:t>2019-2024</w:t>
            </w:r>
          </w:p>
        </w:tc>
        <w:tc>
          <w:tcPr>
            <w:tcW w:w="2268" w:type="dxa"/>
            <w:shd w:val="clear" w:color="auto" w:fill="auto"/>
          </w:tcPr>
          <w:p w:rsidR="00751A4A" w:rsidRPr="00E246BB" w:rsidRDefault="00187494" w:rsidP="0010095E">
            <w:pPr>
              <w:pStyle w:val="EPLogo"/>
            </w:pPr>
            <w:r w:rsidRPr="00E246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246BB" w:rsidRDefault="00D058B8" w:rsidP="004C5D52">
      <w:pPr>
        <w:pStyle w:val="LineTop"/>
      </w:pPr>
    </w:p>
    <w:p w:rsidR="00680577" w:rsidRPr="00E246BB" w:rsidRDefault="00D934C4" w:rsidP="00680577">
      <w:pPr>
        <w:pStyle w:val="EPBodyTA1"/>
      </w:pPr>
      <w:r w:rsidRPr="00E246BB">
        <w:t>ΚΕΙΜΕΝΑ ΠΟΥ ΕΓΚΡΙΘΗΚΑΝ</w:t>
      </w:r>
    </w:p>
    <w:p w:rsidR="00D058B8" w:rsidRPr="00E246BB" w:rsidRDefault="00D058B8" w:rsidP="00D058B8">
      <w:pPr>
        <w:pStyle w:val="LineBottom"/>
      </w:pPr>
    </w:p>
    <w:p w:rsidR="00D934C4" w:rsidRPr="00E246BB" w:rsidRDefault="00D934C4" w:rsidP="00D934C4">
      <w:pPr>
        <w:pStyle w:val="ATHeading1"/>
      </w:pPr>
      <w:bookmarkStart w:id="0" w:name="TANumber"/>
      <w:r w:rsidRPr="00E246BB">
        <w:t>P9_TA(2024)</w:t>
      </w:r>
      <w:bookmarkEnd w:id="0"/>
      <w:r w:rsidR="0018576D" w:rsidRPr="00E246BB">
        <w:t>0</w:t>
      </w:r>
      <w:r w:rsidR="0018576D">
        <w:t>240</w:t>
      </w:r>
    </w:p>
    <w:p w:rsidR="00D934C4" w:rsidRPr="00E246BB" w:rsidRDefault="00D934C4" w:rsidP="00D934C4">
      <w:pPr>
        <w:pStyle w:val="ATHeading2"/>
      </w:pPr>
      <w:bookmarkStart w:id="1" w:name="title"/>
      <w:r w:rsidRPr="00E246BB">
        <w:t>Απαλλαγή 2022: Οργανισμός Θεμελιωδών Δικαιωμάτων της Ευρωπαϊκής Ένωσης</w:t>
      </w:r>
      <w:bookmarkEnd w:id="1"/>
    </w:p>
    <w:p w:rsidR="00D934C4" w:rsidRPr="00E246BB" w:rsidRDefault="00D934C4" w:rsidP="00D934C4">
      <w:pPr>
        <w:rPr>
          <w:i/>
          <w:vanish/>
        </w:rPr>
      </w:pPr>
      <w:r w:rsidRPr="00E246BB">
        <w:rPr>
          <w:i/>
        </w:rPr>
        <w:fldChar w:fldCharType="begin"/>
      </w:r>
      <w:r w:rsidRPr="00E246BB">
        <w:rPr>
          <w:i/>
        </w:rPr>
        <w:instrText xml:space="preserve"> TC"(</w:instrText>
      </w:r>
      <w:bookmarkStart w:id="2" w:name="DocNumber"/>
      <w:r w:rsidRPr="00E246BB">
        <w:rPr>
          <w:i/>
        </w:rPr>
        <w:instrText>A9-0112/2024</w:instrText>
      </w:r>
      <w:bookmarkEnd w:id="2"/>
      <w:r w:rsidRPr="00E246BB">
        <w:rPr>
          <w:i/>
        </w:rPr>
        <w:instrText xml:space="preserve"> - Εισηγητής: Petri Sarvamaa)"\l3 \n&gt; \* MERGEFORMAT </w:instrText>
      </w:r>
      <w:r w:rsidRPr="00E246BB">
        <w:rPr>
          <w:i/>
        </w:rPr>
        <w:fldChar w:fldCharType="end"/>
      </w:r>
    </w:p>
    <w:p w:rsidR="00D934C4" w:rsidRPr="00E246BB" w:rsidRDefault="00D934C4" w:rsidP="00D934C4">
      <w:pPr>
        <w:rPr>
          <w:vanish/>
        </w:rPr>
      </w:pPr>
      <w:bookmarkStart w:id="3" w:name="Commission"/>
      <w:r w:rsidRPr="00E246BB">
        <w:rPr>
          <w:vanish/>
        </w:rPr>
        <w:t>Επιτροπή Ελέγχου του Προϋπολογισμού</w:t>
      </w:r>
      <w:bookmarkEnd w:id="3"/>
    </w:p>
    <w:p w:rsidR="00D934C4" w:rsidRPr="00E246BB" w:rsidRDefault="00D934C4" w:rsidP="00D934C4">
      <w:pPr>
        <w:rPr>
          <w:vanish/>
        </w:rPr>
      </w:pPr>
      <w:bookmarkStart w:id="4" w:name="PE"/>
      <w:r w:rsidRPr="00E246BB">
        <w:rPr>
          <w:vanish/>
        </w:rPr>
        <w:t>PE753.542</w:t>
      </w:r>
      <w:bookmarkEnd w:id="4"/>
    </w:p>
    <w:p w:rsidR="00D934C4" w:rsidRPr="00E246BB" w:rsidRDefault="00F94DE9" w:rsidP="00D934C4">
      <w:pPr>
        <w:pStyle w:val="ATHeading3"/>
      </w:pPr>
      <w:bookmarkStart w:id="5" w:name="Sujet"/>
      <w:r>
        <w:t xml:space="preserve">1. </w:t>
      </w:r>
      <w:r w:rsidR="00D934C4" w:rsidRPr="00E246BB">
        <w:t xml:space="preserve">Απόφαση του Ευρωπαϊκού Κοινοβουλίου </w:t>
      </w:r>
      <w:r w:rsidR="00D40A31">
        <w:t xml:space="preserve">της 11ης Απριλίου 2024 </w:t>
      </w:r>
      <w:r w:rsidR="00D934C4" w:rsidRPr="00E246BB">
        <w:t>σχετικά με την απαλλαγή όσον αφορά την εκτέλεση του προϋπολογισμού του Οργανισμού Θεμελιωδών Δικαιωμάτων της Ευρωπαϊκής Ένωσης για το οικονομικό έτος 2022</w:t>
      </w:r>
      <w:bookmarkEnd w:id="5"/>
      <w:r w:rsidR="00D934C4" w:rsidRPr="00E246BB">
        <w:t xml:space="preserve"> </w:t>
      </w:r>
      <w:bookmarkStart w:id="6" w:name="References"/>
      <w:r w:rsidR="00D934C4" w:rsidRPr="00E246BB">
        <w:t>(2023/2171(DEC))</w:t>
      </w:r>
      <w:bookmarkEnd w:id="6"/>
    </w:p>
    <w:p w:rsidR="00CD7ED9" w:rsidRPr="00E246BB" w:rsidRDefault="00CD7ED9" w:rsidP="00CD7ED9">
      <w:pPr>
        <w:pStyle w:val="EPComma"/>
      </w:pPr>
      <w:bookmarkStart w:id="7" w:name="TextBodyBegin"/>
      <w:bookmarkEnd w:id="7"/>
      <w:r w:rsidRPr="00E246BB">
        <w:rPr>
          <w:i/>
          <w:iCs/>
        </w:rPr>
        <w:t>Το Ευρωπαϊκό Κοινοβούλιο,</w:t>
      </w:r>
    </w:p>
    <w:p w:rsidR="00CD7ED9" w:rsidRPr="00E246BB" w:rsidRDefault="00CD7ED9" w:rsidP="00F94DE9">
      <w:pPr>
        <w:pStyle w:val="NormalHanging12a"/>
      </w:pPr>
      <w:r w:rsidRPr="00E246BB">
        <w:t>–</w:t>
      </w:r>
      <w:r w:rsidRPr="00E246BB">
        <w:tab/>
        <w:t>έχοντας υπόψη τους οριστικούς ετήσιους λογαριασμούς του Οργανισμού Θεμελιωδών Δικαιωμάτων της Ευρωπαϊκής Ένωσης για το οικονομικό έτος 2022,</w:t>
      </w:r>
    </w:p>
    <w:p w:rsidR="00CD7ED9" w:rsidRPr="00E246BB" w:rsidRDefault="00CD7ED9" w:rsidP="00F94DE9">
      <w:pPr>
        <w:pStyle w:val="NormalHanging12a"/>
      </w:pPr>
      <w:r w:rsidRPr="00E246BB">
        <w:t>–</w:t>
      </w:r>
      <w:r w:rsidRPr="00E246BB">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E246BB">
        <w:rPr>
          <w:rStyle w:val="FootnoteReference"/>
        </w:rPr>
        <w:footnoteReference w:id="1"/>
      </w:r>
      <w:r w:rsidRPr="00E246BB">
        <w:t>,</w:t>
      </w:r>
    </w:p>
    <w:p w:rsidR="00CD7ED9" w:rsidRPr="00E246BB" w:rsidRDefault="00CD7ED9" w:rsidP="00F94DE9">
      <w:pPr>
        <w:pStyle w:val="NormalHanging12a"/>
      </w:pPr>
      <w:r w:rsidRPr="00E246BB">
        <w:t>–</w:t>
      </w:r>
      <w:r w:rsidRPr="00E246BB">
        <w:tab/>
        <w:t>έχοντας υπόψη τη δήλωση αξιοπιστίας</w:t>
      </w:r>
      <w:r w:rsidRPr="00E246BB">
        <w:rPr>
          <w:rStyle w:val="FootnoteReference"/>
        </w:rPr>
        <w:footnoteReference w:id="2"/>
      </w:r>
      <w:r w:rsidRPr="00E246BB">
        <w:t xml:space="preserve"> η οποία βεβαιώνει την ακρίβεια των λογαριασμών και τη νομιμότητα και κανονικότητα των σχετικών πράξεων, την οποία </w:t>
      </w:r>
      <w:proofErr w:type="spellStart"/>
      <w:r w:rsidRPr="00E246BB">
        <w:t>ενεχείρισε</w:t>
      </w:r>
      <w:proofErr w:type="spellEnd"/>
      <w:r w:rsidRPr="00E246BB">
        <w:t xml:space="preserve"> το Ελεγκτικό Συνέδριο για το οικονομικό έτος 2022, σύμφωνα με το άρθρο 287 της Συνθήκης για τη λειτουργία της Ευρωπαϊκής Ένωσης,</w:t>
      </w:r>
    </w:p>
    <w:p w:rsidR="00CD7ED9" w:rsidRPr="00E246BB" w:rsidRDefault="00CD7ED9" w:rsidP="00F94DE9">
      <w:pPr>
        <w:pStyle w:val="NormalHanging12a"/>
      </w:pPr>
      <w:r w:rsidRPr="00E246BB">
        <w:t>–</w:t>
      </w:r>
      <w:r w:rsidRPr="00E246BB">
        <w:tab/>
        <w:t>έχοντας υπόψη τη σύσταση του Συμβουλίου, της 22ας Φεβρουαρίου 2024, σχετικά με την απαλλαγή του Οργανισμού όσον αφορά την εκτέλεση του προϋπολογισμού για το οικονομικό έτος 2022 (</w:t>
      </w:r>
      <w:r w:rsidR="00D40A31" w:rsidRPr="00E246BB">
        <w:t>0</w:t>
      </w:r>
      <w:r w:rsidR="00D40A31">
        <w:t>6180</w:t>
      </w:r>
      <w:r w:rsidRPr="00E246BB">
        <w:t>/2024 – C9</w:t>
      </w:r>
      <w:r w:rsidRPr="00E246BB">
        <w:noBreakHyphen/>
      </w:r>
      <w:r w:rsidR="00D40A31" w:rsidRPr="00E246BB">
        <w:t>0</w:t>
      </w:r>
      <w:r w:rsidR="00D40A31">
        <w:t>109</w:t>
      </w:r>
      <w:r w:rsidRPr="00E246BB">
        <w:t>/2024),</w:t>
      </w:r>
    </w:p>
    <w:p w:rsidR="00CD7ED9" w:rsidRPr="00E246BB" w:rsidRDefault="00CD7ED9" w:rsidP="00F94DE9">
      <w:pPr>
        <w:pStyle w:val="NormalHanging12a"/>
      </w:pPr>
      <w:r w:rsidRPr="00E246BB">
        <w:t>–</w:t>
      </w:r>
      <w:r w:rsidRPr="00E246BB">
        <w:tab/>
        <w:t>έχοντας υπόψη το άρθρο 319 της Συνθήκης για τη λειτουργία της Ευρωπαϊκής Ένωσης,</w:t>
      </w:r>
    </w:p>
    <w:p w:rsidR="00CD7ED9" w:rsidRPr="00E246BB" w:rsidRDefault="00CD7ED9" w:rsidP="00F94DE9">
      <w:pPr>
        <w:pStyle w:val="NormalHanging12a"/>
      </w:pPr>
      <w:r w:rsidRPr="00E246BB">
        <w:t>–</w:t>
      </w:r>
      <w:r w:rsidRPr="00E246B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E246BB">
        <w:rPr>
          <w:rStyle w:val="FootnoteReference"/>
        </w:rPr>
        <w:footnoteReference w:id="3"/>
      </w:r>
      <w:r w:rsidRPr="00E246BB">
        <w:t>, και ιδίως το άρθρο 70,</w:t>
      </w:r>
    </w:p>
    <w:p w:rsidR="00CD7ED9" w:rsidRPr="00E246BB" w:rsidRDefault="00CD7ED9" w:rsidP="00F94DE9">
      <w:pPr>
        <w:pStyle w:val="NormalHanging12a"/>
      </w:pPr>
      <w:r w:rsidRPr="00E246BB">
        <w:t>–</w:t>
      </w:r>
      <w:r w:rsidRPr="00E246BB">
        <w:tab/>
        <w:t xml:space="preserve">έχοντας υπόψη τον κανονισμό (ΕΚ) αριθ. 168/2007 του Συμβουλίου, της 15ης Φεβρουαρίου 2007, για την ίδρυση Οργανισμού Θεμελιωδών Δικαιωμάτων της </w:t>
      </w:r>
      <w:r w:rsidRPr="00E246BB">
        <w:lastRenderedPageBreak/>
        <w:t>Ευρωπαϊκής Ένωσης</w:t>
      </w:r>
      <w:r w:rsidRPr="00E246BB">
        <w:rPr>
          <w:rStyle w:val="FootnoteReference"/>
        </w:rPr>
        <w:footnoteReference w:id="4"/>
      </w:r>
      <w:r w:rsidRPr="00E246BB">
        <w:t>, και ιδίως το άρθρο 21,</w:t>
      </w:r>
    </w:p>
    <w:p w:rsidR="00CD7ED9" w:rsidRPr="00E246BB" w:rsidRDefault="00CD7ED9" w:rsidP="00F94DE9">
      <w:pPr>
        <w:pStyle w:val="NormalHanging12a"/>
      </w:pPr>
      <w:r w:rsidRPr="00E246BB">
        <w:t>–</w:t>
      </w:r>
      <w:r w:rsidRPr="00E246BB">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E246BB">
        <w:rPr>
          <w:rStyle w:val="FootnoteReference"/>
        </w:rPr>
        <w:footnoteReference w:id="5"/>
      </w:r>
      <w:r w:rsidRPr="00E246BB">
        <w:t>, και ιδίως το άρθρο 105,</w:t>
      </w:r>
    </w:p>
    <w:p w:rsidR="00CD7ED9" w:rsidRPr="00E246BB" w:rsidRDefault="00CD7ED9" w:rsidP="00F94DE9">
      <w:pPr>
        <w:pStyle w:val="NormalHanging12a"/>
      </w:pPr>
      <w:r w:rsidRPr="00E246BB">
        <w:t>–</w:t>
      </w:r>
      <w:r w:rsidRPr="00E246BB">
        <w:tab/>
        <w:t>έχοντας υπόψη το άρθρο 100 και το παράρτημα V του Κανονισμού του,</w:t>
      </w:r>
    </w:p>
    <w:p w:rsidR="00CD7ED9" w:rsidRPr="00E246BB" w:rsidRDefault="00CD7ED9" w:rsidP="00F94DE9">
      <w:pPr>
        <w:pStyle w:val="NormalHanging12a"/>
      </w:pPr>
      <w:r w:rsidRPr="00E246BB">
        <w:t>–</w:t>
      </w:r>
      <w:r w:rsidRPr="00E246BB">
        <w:tab/>
        <w:t>έχοντας υπόψη τη γνωμοδότηση της Επιτροπής Πολιτικών Ελευθεριών, Δικαιοσύνης και Εσωτερικών Υποθέσεων,</w:t>
      </w:r>
    </w:p>
    <w:p w:rsidR="00CD7ED9" w:rsidRPr="00E246BB" w:rsidRDefault="00CD7ED9" w:rsidP="00F94DE9">
      <w:pPr>
        <w:pStyle w:val="NormalHanging12a"/>
      </w:pPr>
      <w:r w:rsidRPr="00E246BB">
        <w:t>–</w:t>
      </w:r>
      <w:r w:rsidRPr="00E246BB">
        <w:tab/>
        <w:t>έχοντας υπόψη την έκθεση της Επιτροπής Ελέγχου του Προϋπολογισμού (A9-0112/2024),</w:t>
      </w:r>
    </w:p>
    <w:p w:rsidR="00CD7ED9" w:rsidRPr="00E246BB" w:rsidRDefault="0018576D" w:rsidP="0018576D">
      <w:pPr>
        <w:pStyle w:val="NormalHanging12a"/>
        <w:ind w:hanging="570"/>
      </w:pPr>
      <w:r w:rsidRPr="00E246BB">
        <w:t>1.</w:t>
      </w:r>
      <w:r w:rsidRPr="00E246BB">
        <w:tab/>
      </w:r>
      <w:r w:rsidR="00CD7ED9" w:rsidRPr="00E246BB">
        <w:t>χορηγεί απαλλαγή στον διευθυντή του Οργανισμού Θεμελιωδών Δικαιωμάτων της Ευρωπαϊκής Ένωσης όσον αφορά την εκτέλεση του προϋπολογισμού του Οργανισμού για το οικονομικό έτος 2022·</w:t>
      </w:r>
    </w:p>
    <w:p w:rsidR="00CD7ED9" w:rsidRPr="00E246BB" w:rsidRDefault="0018576D" w:rsidP="0018576D">
      <w:pPr>
        <w:pStyle w:val="NormalHanging12a"/>
        <w:ind w:hanging="570"/>
      </w:pPr>
      <w:r w:rsidRPr="00E246BB">
        <w:t>2.</w:t>
      </w:r>
      <w:r w:rsidRPr="00E246BB">
        <w:tab/>
      </w:r>
      <w:r w:rsidR="00CD7ED9" w:rsidRPr="00E246BB">
        <w:t>εκθέτει τις παρατηρήσεις του στο ψήφισμα που ακολουθεί·</w:t>
      </w:r>
    </w:p>
    <w:p w:rsidR="00CD7ED9" w:rsidRPr="00E246BB" w:rsidRDefault="0018576D" w:rsidP="0018576D">
      <w:pPr>
        <w:pStyle w:val="NormalHanging12a"/>
        <w:ind w:hanging="570"/>
      </w:pPr>
      <w:r w:rsidRPr="00E246BB">
        <w:t>3.</w:t>
      </w:r>
      <w:r w:rsidRPr="00E246BB">
        <w:tab/>
      </w:r>
      <w:r w:rsidR="00CD7ED9" w:rsidRPr="00E246BB">
        <w:t xml:space="preserve">αναθέτει στην Πρόεδρό του να διαβιβάσει την παρούσα απόφαση και το ψήφισμα που αποτελεί αναπόσπαστο μέρος της στον διευθυντή του Οργανισμού Θεμελιωδών Δικαιωμάτων της Ευρωπαϊκής Ένωσης, στο Συμβούλιο, στην Επιτροπή και στο Ελεγκτικό Συνέδριο, και να μεριμνήσει για τη δημοσίευσή τους στην </w:t>
      </w:r>
      <w:r w:rsidR="00CD7ED9" w:rsidRPr="00E246BB">
        <w:rPr>
          <w:i/>
          <w:iCs/>
        </w:rPr>
        <w:t>Επίσημη Εφημερίδα της Ευρωπαϊκής Ένωσης</w:t>
      </w:r>
      <w:r w:rsidR="00CD7ED9" w:rsidRPr="00E246BB">
        <w:t xml:space="preserve"> (σειρά L).</w:t>
      </w:r>
    </w:p>
    <w:p w:rsidR="00CD7ED9" w:rsidRPr="00E246BB" w:rsidRDefault="00CD7ED9" w:rsidP="00CD7ED9"/>
    <w:p w:rsidR="00CD7ED9" w:rsidRPr="00E246BB" w:rsidRDefault="00CD7ED9" w:rsidP="00CD7ED9">
      <w:pPr>
        <w:widowControl/>
        <w:rPr>
          <w:rFonts w:ascii="Arial" w:hAnsi="Arial" w:cs="Arial"/>
          <w:b/>
        </w:rPr>
        <w:sectPr w:rsidR="00CD7ED9" w:rsidRPr="00E246BB" w:rsidSect="00E246B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D7ED9" w:rsidRPr="00E246BB" w:rsidRDefault="00F94DE9" w:rsidP="00F94DE9">
      <w:pPr>
        <w:pStyle w:val="ATHeading3"/>
      </w:pPr>
      <w:r>
        <w:lastRenderedPageBreak/>
        <w:t xml:space="preserve">2. Απόφαση του Ευρωπαϊκού Κοινοβουλίου </w:t>
      </w:r>
      <w:r w:rsidR="00D40A31">
        <w:t xml:space="preserve">της 11ης Απριλίου 2024 </w:t>
      </w:r>
      <w:r w:rsidR="00CD7ED9" w:rsidRPr="00E246BB">
        <w:t>σχετικά με το κλείσιμο των λογαριασμών του Οργανισμού Θεμελιωδών Δικαιωμάτων της Ευρωπαϊκής Ένωσης για το οικονομικό έτος 2022</w:t>
      </w:r>
      <w:r>
        <w:t xml:space="preserve"> </w:t>
      </w:r>
      <w:r w:rsidR="00CD7ED9" w:rsidRPr="00E246BB">
        <w:t>(2023/2171(DEC))</w:t>
      </w:r>
    </w:p>
    <w:p w:rsidR="00CD7ED9" w:rsidRPr="00E246BB" w:rsidRDefault="00CD7ED9" w:rsidP="00CD7ED9">
      <w:pPr>
        <w:pStyle w:val="EPComma"/>
      </w:pPr>
      <w:r w:rsidRPr="00E246BB">
        <w:rPr>
          <w:i/>
          <w:iCs/>
        </w:rPr>
        <w:t>Το Ευρωπαϊκό Κοινοβούλιο,</w:t>
      </w:r>
    </w:p>
    <w:p w:rsidR="00CD7ED9" w:rsidRPr="00E246BB" w:rsidRDefault="00CD7ED9" w:rsidP="00F94DE9">
      <w:pPr>
        <w:pStyle w:val="NormalHanging12a"/>
      </w:pPr>
      <w:r w:rsidRPr="00E246BB">
        <w:t>–</w:t>
      </w:r>
      <w:r w:rsidRPr="00E246BB">
        <w:tab/>
        <w:t>έχοντας υπόψη τους οριστικούς ετήσιους λογαριασμούς του Οργανισμού Θεμελιωδών Δικαιωμάτων της Ευρωπαϊκής Ένωσης για το οικονομικό έτος 2022,</w:t>
      </w:r>
    </w:p>
    <w:p w:rsidR="00CD7ED9" w:rsidRPr="00E246BB" w:rsidRDefault="00CD7ED9" w:rsidP="00F94DE9">
      <w:pPr>
        <w:pStyle w:val="NormalHanging12a"/>
      </w:pPr>
      <w:r w:rsidRPr="00E246BB">
        <w:t>–</w:t>
      </w:r>
      <w:r w:rsidRPr="00E246BB">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E246BB">
        <w:rPr>
          <w:rStyle w:val="FootnoteReference"/>
        </w:rPr>
        <w:footnoteReference w:id="6"/>
      </w:r>
      <w:r w:rsidRPr="00E246BB">
        <w:t>,</w:t>
      </w:r>
    </w:p>
    <w:p w:rsidR="00CD7ED9" w:rsidRPr="00E246BB" w:rsidRDefault="00CD7ED9" w:rsidP="00F94DE9">
      <w:pPr>
        <w:pStyle w:val="NormalHanging12a"/>
      </w:pPr>
      <w:r w:rsidRPr="00E246BB">
        <w:t>–</w:t>
      </w:r>
      <w:r w:rsidRPr="00E246BB">
        <w:tab/>
        <w:t>έχοντας υπόψη τη δήλωση αξιοπιστίας</w:t>
      </w:r>
      <w:r w:rsidRPr="00E246BB">
        <w:rPr>
          <w:rStyle w:val="FootnoteReference"/>
        </w:rPr>
        <w:footnoteReference w:id="7"/>
      </w:r>
      <w:r w:rsidRPr="00E246BB">
        <w:t xml:space="preserve"> η οποία βεβαιώνει την ακρίβεια των λογαριασμών και τη νομιμότητα και κανονικότητα των σχετικών πράξεων, την οποία </w:t>
      </w:r>
      <w:proofErr w:type="spellStart"/>
      <w:r w:rsidRPr="00E246BB">
        <w:t>ενεχείρισε</w:t>
      </w:r>
      <w:proofErr w:type="spellEnd"/>
      <w:r w:rsidRPr="00E246BB">
        <w:t xml:space="preserve"> το Ελεγκτικό Συνέδριο για το οικονομικό έτος 2022, σύμφωνα με το άρθρο 287 της Συνθήκης για τη λειτουργία της Ευρωπαϊκής Ένωσης,</w:t>
      </w:r>
    </w:p>
    <w:p w:rsidR="00CD7ED9" w:rsidRPr="00E246BB" w:rsidRDefault="00CD7ED9" w:rsidP="00F94DE9">
      <w:pPr>
        <w:pStyle w:val="NormalHanging12a"/>
      </w:pPr>
      <w:r w:rsidRPr="00E246BB">
        <w:t>–</w:t>
      </w:r>
      <w:r w:rsidRPr="00E246BB">
        <w:tab/>
        <w:t>έχοντας υπόψη τη σύσταση του Συμβουλίου, της 22ας Φεβρουαρίου 2024, σχετικά με την απαλλαγή του Οργανισμού όσον αφορά την εκτέλεση του προϋπολογισμού για το οικονομικό έτος 2022 (</w:t>
      </w:r>
      <w:r w:rsidR="00D40A31" w:rsidRPr="00E246BB">
        <w:t>0</w:t>
      </w:r>
      <w:r w:rsidR="00D40A31">
        <w:t>6180</w:t>
      </w:r>
      <w:r w:rsidRPr="00E246BB">
        <w:t>/2024 – C9</w:t>
      </w:r>
      <w:r w:rsidRPr="00E246BB">
        <w:noBreakHyphen/>
      </w:r>
      <w:r w:rsidR="00D40A31" w:rsidRPr="00E246BB">
        <w:t>0</w:t>
      </w:r>
      <w:r w:rsidR="00D40A31">
        <w:t>109</w:t>
      </w:r>
      <w:r w:rsidRPr="00E246BB">
        <w:t>/2024),</w:t>
      </w:r>
    </w:p>
    <w:p w:rsidR="00CD7ED9" w:rsidRPr="00E246BB" w:rsidRDefault="00CD7ED9" w:rsidP="00F94DE9">
      <w:pPr>
        <w:pStyle w:val="NormalHanging12a"/>
      </w:pPr>
      <w:r w:rsidRPr="00E246BB">
        <w:t>–</w:t>
      </w:r>
      <w:r w:rsidRPr="00E246BB">
        <w:tab/>
        <w:t>έχοντας υπόψη το άρθρο 319 της Συνθήκης για τη λειτουργία της Ευρωπαϊκής Ένωσης,</w:t>
      </w:r>
    </w:p>
    <w:p w:rsidR="00CD7ED9" w:rsidRPr="00E246BB" w:rsidRDefault="00CD7ED9" w:rsidP="00F94DE9">
      <w:pPr>
        <w:pStyle w:val="NormalHanging12a"/>
      </w:pPr>
      <w:r w:rsidRPr="00E246BB">
        <w:t>–</w:t>
      </w:r>
      <w:r w:rsidRPr="00E246B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E246BB">
        <w:rPr>
          <w:rStyle w:val="FootnoteReference"/>
        </w:rPr>
        <w:footnoteReference w:id="8"/>
      </w:r>
      <w:r w:rsidRPr="00E246BB">
        <w:t>, και ιδίως το άρθρο 70,</w:t>
      </w:r>
    </w:p>
    <w:p w:rsidR="00CD7ED9" w:rsidRPr="00E246BB" w:rsidRDefault="00CD7ED9" w:rsidP="00F94DE9">
      <w:pPr>
        <w:pStyle w:val="NormalHanging12a"/>
      </w:pPr>
      <w:r w:rsidRPr="00E246BB">
        <w:t>–</w:t>
      </w:r>
      <w:r w:rsidRPr="00E246BB">
        <w:tab/>
        <w:t>έχοντας υπόψη τον κανονισμό (ΕΚ) αριθ. 168/2007 του Συμβουλίου, της 15ης Φεβρουαρίου 2007, για την ίδρυση Οργανισμού Θεμελιωδών Δικαιωμάτων της Ευρωπαϊκής Ένωσης</w:t>
      </w:r>
      <w:r w:rsidRPr="00E246BB">
        <w:rPr>
          <w:rStyle w:val="FootnoteReference"/>
        </w:rPr>
        <w:footnoteReference w:id="9"/>
      </w:r>
      <w:r w:rsidRPr="00E246BB">
        <w:t>, και ιδίως το άρθρο 21,</w:t>
      </w:r>
    </w:p>
    <w:p w:rsidR="00CD7ED9" w:rsidRPr="00E246BB" w:rsidRDefault="00CD7ED9" w:rsidP="00F94DE9">
      <w:pPr>
        <w:pStyle w:val="NormalHanging12a"/>
      </w:pPr>
      <w:r w:rsidRPr="00E246BB">
        <w:t>–</w:t>
      </w:r>
      <w:r w:rsidRPr="00E246BB">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E246BB">
        <w:rPr>
          <w:rStyle w:val="FootnoteReference"/>
        </w:rPr>
        <w:footnoteReference w:id="10"/>
      </w:r>
      <w:r w:rsidRPr="00E246BB">
        <w:t>, και ιδίως το άρθρο 105,</w:t>
      </w:r>
    </w:p>
    <w:p w:rsidR="00CD7ED9" w:rsidRPr="00E246BB" w:rsidRDefault="00CD7ED9" w:rsidP="00F94DE9">
      <w:pPr>
        <w:pStyle w:val="NormalHanging12a"/>
      </w:pPr>
      <w:r w:rsidRPr="00E246BB">
        <w:t>–</w:t>
      </w:r>
      <w:r w:rsidRPr="00E246BB">
        <w:tab/>
        <w:t>έχοντας υπόψη το άρθρο 100 και το παράρτημα V του Κανονισμού του,</w:t>
      </w:r>
    </w:p>
    <w:p w:rsidR="00CD7ED9" w:rsidRPr="00E246BB" w:rsidRDefault="00CD7ED9" w:rsidP="00F94DE9">
      <w:pPr>
        <w:pStyle w:val="NormalHanging12a"/>
      </w:pPr>
      <w:r w:rsidRPr="00E246BB">
        <w:t>–</w:t>
      </w:r>
      <w:r w:rsidRPr="00E246BB">
        <w:tab/>
        <w:t xml:space="preserve">έχοντας υπόψη τη γνωμοδότηση της Επιτροπής Πολιτικών Ελευθεριών, Δικαιοσύνης </w:t>
      </w:r>
      <w:r w:rsidRPr="00E246BB">
        <w:lastRenderedPageBreak/>
        <w:t>και Εσωτερικών Υποθέσεων,</w:t>
      </w:r>
    </w:p>
    <w:p w:rsidR="00CD7ED9" w:rsidRPr="00E246BB" w:rsidRDefault="00CD7ED9" w:rsidP="00F94DE9">
      <w:pPr>
        <w:pStyle w:val="NormalHanging12a"/>
      </w:pPr>
      <w:r w:rsidRPr="00E246BB">
        <w:t>–</w:t>
      </w:r>
      <w:r w:rsidRPr="00E246BB">
        <w:tab/>
        <w:t>έχοντας υπόψη την έκθεση της Επιτροπής Ελέγχου του Προϋπολογισμού (A9-0112/2024),</w:t>
      </w:r>
    </w:p>
    <w:p w:rsidR="00CD7ED9" w:rsidRPr="00E246BB" w:rsidRDefault="0018576D" w:rsidP="0018576D">
      <w:pPr>
        <w:pStyle w:val="NormalHanging12a"/>
        <w:ind w:hanging="570"/>
      </w:pPr>
      <w:r w:rsidRPr="00E246BB">
        <w:t>1.</w:t>
      </w:r>
      <w:r w:rsidRPr="00E246BB">
        <w:tab/>
      </w:r>
      <w:r w:rsidR="00CD7ED9" w:rsidRPr="00E246BB">
        <w:t>εγκρίνει το κλείσιμο των λογαριασμών του Οργανισμού Θεμελιωδών Δικαιωμάτων της Ευρωπαϊκής Ένωσης για το οικονομικό έτος 2022·</w:t>
      </w:r>
    </w:p>
    <w:p w:rsidR="00CD7ED9" w:rsidRPr="00E246BB" w:rsidRDefault="0018576D" w:rsidP="0018576D">
      <w:pPr>
        <w:pStyle w:val="NormalHanging12a"/>
        <w:ind w:hanging="570"/>
      </w:pPr>
      <w:r w:rsidRPr="00E246BB">
        <w:t>2.</w:t>
      </w:r>
      <w:r w:rsidRPr="00E246BB">
        <w:tab/>
      </w:r>
      <w:r w:rsidR="00CD7ED9" w:rsidRPr="00E246BB">
        <w:t xml:space="preserve">αναθέτει στην Πρόεδρό του να διαβιβάσει την παρούσα απόφαση στον διευθυντή του Οργανισμού Θεμελιωδών Δικαιωμάτων της Ευρωπαϊκής Ένωσης, στο Συμβούλιο, στην Επιτροπή και στο Ελεγκτικό Συνέδριο, και να μεριμνήσει για τη δημοσίευσή της στην </w:t>
      </w:r>
      <w:r w:rsidR="00CD7ED9" w:rsidRPr="00E246BB">
        <w:rPr>
          <w:i/>
          <w:iCs/>
        </w:rPr>
        <w:t>Επίσημη Εφημερίδα της Ευρωπαϊκής Ένωσης</w:t>
      </w:r>
      <w:r w:rsidR="00CD7ED9" w:rsidRPr="00E246BB">
        <w:t xml:space="preserve"> (σειρά L).</w:t>
      </w:r>
    </w:p>
    <w:p w:rsidR="00CD7ED9" w:rsidRPr="00E246BB" w:rsidRDefault="00CD7ED9" w:rsidP="00F94DE9"/>
    <w:p w:rsidR="00CD7ED9" w:rsidRPr="00E246BB" w:rsidRDefault="00CD7ED9" w:rsidP="00CD7ED9">
      <w:pPr>
        <w:widowControl/>
        <w:rPr>
          <w:rFonts w:ascii="Arial" w:hAnsi="Arial" w:cs="Arial"/>
          <w:b/>
        </w:rPr>
        <w:sectPr w:rsidR="00CD7ED9" w:rsidRPr="00E246BB" w:rsidSect="00E246BB">
          <w:footnotePr>
            <w:numRestart w:val="eachPage"/>
          </w:footnotePr>
          <w:endnotePr>
            <w:numFmt w:val="decimal"/>
          </w:endnotePr>
          <w:pgSz w:w="11906" w:h="16838"/>
          <w:pgMar w:top="1134" w:right="1418" w:bottom="1418" w:left="1418" w:header="567" w:footer="567" w:gutter="0"/>
          <w:cols w:space="720"/>
          <w:docGrid w:linePitch="326"/>
        </w:sectPr>
      </w:pPr>
    </w:p>
    <w:p w:rsidR="00CD7ED9" w:rsidRPr="00E246BB" w:rsidRDefault="00F94DE9" w:rsidP="00F94DE9">
      <w:pPr>
        <w:pStyle w:val="ATHeading3"/>
      </w:pPr>
      <w:r>
        <w:lastRenderedPageBreak/>
        <w:t>3. Ψήφισμα του Ευρωπαϊκού Κοινοβουλίου</w:t>
      </w:r>
      <w:r w:rsidR="00D40A31">
        <w:t xml:space="preserve"> της 11ης Απριλίου 2024</w:t>
      </w:r>
      <w:r>
        <w:t xml:space="preserve"> </w:t>
      </w:r>
      <w:r w:rsidR="00CD7ED9" w:rsidRPr="00E246BB">
        <w:t>με τις παρατηρήσεις που αποτελούν αναπόσπαστο μέρος της απόφασης σχετικά με την απαλλαγή όσον αφορά την εκτέλεση του προϋπολογισμού του Οργανισμού Θεμελιωδών Δικαιωμάτων της Ευρωπαϊκής Ένωσης για το οικονομικό έτος 2022</w:t>
      </w:r>
      <w:r>
        <w:t xml:space="preserve"> </w:t>
      </w:r>
      <w:r w:rsidR="00CD7ED9" w:rsidRPr="00E246BB">
        <w:t>(2023/2171(DEC))</w:t>
      </w:r>
    </w:p>
    <w:p w:rsidR="00CD7ED9" w:rsidRPr="00E246BB" w:rsidRDefault="00CD7ED9" w:rsidP="00CD7ED9">
      <w:pPr>
        <w:pStyle w:val="EPComma"/>
      </w:pPr>
      <w:r w:rsidRPr="00E246BB">
        <w:rPr>
          <w:i/>
          <w:iCs/>
        </w:rPr>
        <w:t>Το Ευρωπαϊκό Κοινοβούλιο,</w:t>
      </w:r>
    </w:p>
    <w:p w:rsidR="00CD7ED9" w:rsidRPr="00E246BB" w:rsidRDefault="00CD7ED9" w:rsidP="00F94DE9">
      <w:pPr>
        <w:pStyle w:val="NormalHanging12a"/>
      </w:pPr>
      <w:r w:rsidRPr="00E246BB">
        <w:t>–</w:t>
      </w:r>
      <w:r w:rsidRPr="00E246BB">
        <w:tab/>
        <w:t>έχοντας υπόψη την απόφασή του σχετικά με την απαλλαγή όσον αφορά την εκτέλεση του προϋπολογισμού του Οργανισμού Θεμελιωδών Δικαιωμάτων της Ευρωπαϊκής Ένωσης για το οικονομικό έτος 2022,</w:t>
      </w:r>
    </w:p>
    <w:p w:rsidR="00CD7ED9" w:rsidRPr="00E246BB" w:rsidRDefault="00CD7ED9" w:rsidP="00F94DE9">
      <w:pPr>
        <w:pStyle w:val="NormalHanging12a"/>
      </w:pPr>
      <w:r w:rsidRPr="00E246BB">
        <w:t>–</w:t>
      </w:r>
      <w:r w:rsidRPr="00E246BB">
        <w:tab/>
        <w:t>έχοντας υπόψη το άρθρο 100 και το παράρτημα V του Κανονισμού του,</w:t>
      </w:r>
    </w:p>
    <w:p w:rsidR="00CD7ED9" w:rsidRPr="00E246BB" w:rsidRDefault="00CD7ED9" w:rsidP="00F94DE9">
      <w:pPr>
        <w:pStyle w:val="NormalHanging12a"/>
      </w:pPr>
      <w:r w:rsidRPr="00E246BB">
        <w:t>–</w:t>
      </w:r>
      <w:r w:rsidRPr="00E246BB">
        <w:tab/>
        <w:t>έχοντας υπόψη τη γνωμοδότηση της Επιτροπής Πολιτικών Ελευθεριών, Δικαιοσύνης και Εσωτερικών Υποθέσεων,</w:t>
      </w:r>
    </w:p>
    <w:p w:rsidR="00CD7ED9" w:rsidRPr="00E246BB" w:rsidRDefault="00CD7ED9" w:rsidP="00F94DE9">
      <w:pPr>
        <w:pStyle w:val="NormalHanging12a"/>
      </w:pPr>
      <w:r w:rsidRPr="00E246BB">
        <w:t>–</w:t>
      </w:r>
      <w:r w:rsidRPr="00E246BB">
        <w:tab/>
        <w:t>έχοντας υπόψη την έκθεση της Επιτροπής Ελέγχου του Προϋπολογισμού (A9-0112/2024),</w:t>
      </w:r>
    </w:p>
    <w:p w:rsidR="00CD7ED9" w:rsidRPr="00E246BB" w:rsidRDefault="00CD7ED9" w:rsidP="00F94DE9">
      <w:pPr>
        <w:pStyle w:val="Normal12Hanging"/>
        <w:rPr>
          <w:szCs w:val="24"/>
        </w:rPr>
      </w:pPr>
      <w:r w:rsidRPr="00E246BB">
        <w:t>Α.</w:t>
      </w:r>
      <w:r w:rsidRPr="00E246BB">
        <w:tab/>
        <w:t>λαμβάνοντας υπόψη ότι, σύμφωνα με την κατάσταση εσόδων και δαπανών του</w:t>
      </w:r>
      <w:r w:rsidRPr="00E246BB">
        <w:rPr>
          <w:szCs w:val="24"/>
          <w:vertAlign w:val="superscript"/>
        </w:rPr>
        <w:footnoteReference w:id="11"/>
      </w:r>
      <w:r w:rsidRPr="00E246BB">
        <w:t xml:space="preserve">, ο οριστικός προϋπολογισμός του Οργανισμού Θεμελιωδών Δικαιωμάτων της Ευρωπαϊκής Ένωσης (ο </w:t>
      </w:r>
      <w:r w:rsidR="00D40A31">
        <w:t>«</w:t>
      </w:r>
      <w:r w:rsidRPr="00E246BB">
        <w:t>Οργανισμός») για το οικονομικό έτος 2022 ανήλθε σε 25 857 952 EUR, ποσό που συνιστά αύξηση κατά 4,01 % σε σύγκριση με το 2021· λαμβάνοντας υπόψη ότι ο προϋπολογισμός του Οργανισμού προέρχεται σχεδόν αποκλειστικά από τον προϋπολογισμό της Ένωσης·</w:t>
      </w:r>
    </w:p>
    <w:p w:rsidR="00CD7ED9" w:rsidRPr="00E246BB" w:rsidRDefault="00CD7ED9" w:rsidP="00F94DE9">
      <w:pPr>
        <w:pStyle w:val="Normal12Hanging"/>
        <w:rPr>
          <w:szCs w:val="24"/>
        </w:rPr>
      </w:pPr>
      <w:r w:rsidRPr="00E246BB">
        <w:t>Β.</w:t>
      </w:r>
      <w:r w:rsidRPr="00E246BB">
        <w:tab/>
        <w:t>λαμβάνοντας υπόψη ότι, όσον αφορά τον τομέα των δημόσιων συμβάσεων του Οργανισμού, δεν αναφέρθηκαν ζητήματα που να απαιτούν διορθωτικές ενέργειες για το 2022, ούτε υπάρχουν εν εξελίξει ή εκκρεμή διορθωτικά μέτρα από ελέγχους και αξιολογήσεις προηγούμενων ετών·</w:t>
      </w:r>
    </w:p>
    <w:p w:rsidR="00CD7ED9" w:rsidRPr="00E246BB" w:rsidRDefault="00CD7ED9" w:rsidP="00F94DE9">
      <w:pPr>
        <w:pStyle w:val="Normal12Hanging"/>
        <w:rPr>
          <w:szCs w:val="24"/>
        </w:rPr>
      </w:pPr>
      <w:r w:rsidRPr="00E246BB">
        <w:t>Γ.</w:t>
      </w:r>
      <w:r w:rsidRPr="00E246BB">
        <w:tab/>
        <w:t>λαμβάνοντας υπόψη ότι το Ελεγκτικό Συνέδριο, στην έκθεσή του για τους ετήσιους λογαριασμούς του Οργανισμού για το οικονομικό έτος 2022 («η έκθεση του Ελεγκτικού Συνεδρίου»), δηλώνει πως αποκόμισε εύλογη βεβαιότητα ότι οι ετήσιοι λογαριασμοί του Οργανισμού είναι αξιόπιστοι και ότι οι πράξεις στις οποίες βασίζονται είναι, από κάθε ουσιώδη πλευρά, νόμιμες και κανονικές·</w:t>
      </w:r>
    </w:p>
    <w:p w:rsidR="00CD7ED9" w:rsidRPr="00E246BB" w:rsidRDefault="00CD7ED9" w:rsidP="00F94DE9">
      <w:pPr>
        <w:pStyle w:val="Normal12Hanging"/>
        <w:rPr>
          <w:b/>
          <w:i/>
          <w:szCs w:val="24"/>
        </w:rPr>
      </w:pPr>
      <w:r w:rsidRPr="00E246BB">
        <w:rPr>
          <w:b/>
          <w:i/>
        </w:rPr>
        <w:t>Δημοσιονομική και χρηματοοικονομική διαχείριση</w:t>
      </w:r>
    </w:p>
    <w:p w:rsidR="00CD7ED9" w:rsidRPr="00E246BB" w:rsidRDefault="0018576D" w:rsidP="0018576D">
      <w:pPr>
        <w:pStyle w:val="NormalHanging12a"/>
        <w:ind w:hanging="570"/>
        <w:rPr>
          <w:szCs w:val="24"/>
        </w:rPr>
      </w:pPr>
      <w:r w:rsidRPr="00E246BB">
        <w:rPr>
          <w:szCs w:val="24"/>
        </w:rPr>
        <w:t>1.</w:t>
      </w:r>
      <w:r w:rsidRPr="00E246BB">
        <w:rPr>
          <w:szCs w:val="24"/>
        </w:rPr>
        <w:tab/>
      </w:r>
      <w:r w:rsidR="00CD7ED9" w:rsidRPr="00E246BB">
        <w:t>σημειώνει με ικανοποίηση ότι οι προσπάθειες παρακολούθησης του προϋπολογισμού κατά τη διάρκεια του οικονομικού έτους 2022 είχαν ως αποτέλεσμα ποσοστό εκτέλεσης των πιστώσεων αναλήψεων υποχρεώσεων του τρέχοντος έτους της τάξης του 100,00 % (ίδιο με αυτό του 2021)· σημειώνει ότι το ποσοστό εκτέλεσης των πιστώσεων πληρωμών του τρέχοντος έτους ήταν 73,59 %, που συνιστά ελαφρά αύξηση κατά 2,64 % σε σύγκριση με το 2021·</w:t>
      </w:r>
    </w:p>
    <w:p w:rsidR="00CD7ED9" w:rsidRPr="00E246BB" w:rsidRDefault="0018576D" w:rsidP="0018576D">
      <w:pPr>
        <w:pStyle w:val="NormalHanging12a"/>
        <w:ind w:hanging="570"/>
        <w:rPr>
          <w:szCs w:val="24"/>
        </w:rPr>
      </w:pPr>
      <w:r w:rsidRPr="00E246BB">
        <w:rPr>
          <w:szCs w:val="24"/>
        </w:rPr>
        <w:t>2.</w:t>
      </w:r>
      <w:r w:rsidRPr="00E246BB">
        <w:rPr>
          <w:szCs w:val="24"/>
        </w:rPr>
        <w:tab/>
      </w:r>
      <w:r w:rsidR="00CD7ED9" w:rsidRPr="00E246BB">
        <w:t xml:space="preserve">σημειώνει ότι το 2022 εγκρίθηκαν τρεις τροπολογίες του προϋπολογισμού, με τις οποίες αυξήθηκε ο προϋπολογισμός του Οργανισμού κατά 1 562 781 EUR, και οι </w:t>
      </w:r>
      <w:r w:rsidR="00CD7ED9" w:rsidRPr="00E246BB">
        <w:lastRenderedPageBreak/>
        <w:t>οποίες αφορούν τα ληφθέντα κονδύλια στο πλαίσιο της συμφωνίας συνεργασίας με το γραφείο για τον χρηματοδοτικό μηχανισμό των επιχορηγήσεων του ΕΟΧ και της Νορβηγίας και των συμφωνιών εταιρικής σχέσης με την Εθνική Στατιστική Υπηρεσία της Βουλγαρίας, τον Συνήγορο του Πολίτη της Ελλάδας και την Εισαγγελία της Ρουμανίας, καθώς και την επιδότηση ενοικίου που ελήφθη από τις αυστριακές αρχές και τα εσωτερικά έσοδα για ειδικό προορισμό·</w:t>
      </w:r>
    </w:p>
    <w:p w:rsidR="00CD7ED9" w:rsidRPr="00E246BB" w:rsidRDefault="0018576D" w:rsidP="0018576D">
      <w:pPr>
        <w:pStyle w:val="NormalHanging12a"/>
        <w:ind w:hanging="570"/>
      </w:pPr>
      <w:r w:rsidRPr="00E246BB">
        <w:t>3.</w:t>
      </w:r>
      <w:r w:rsidRPr="00E246BB">
        <w:tab/>
      </w:r>
      <w:r w:rsidR="00CD7ED9" w:rsidRPr="00E246BB">
        <w:t>σημειώνει με ανησυχία ότι, σύμφωνα με την έκθεση του Ελεγκτικού Συνεδρίου, ο Οργανισμός είχε μεταφέρει στο 2023 6,4 εκατομμύρια EUR (26 %) από τις διαθέσιμες πιστώσεις αναλήψεων υποχρεώσεων του 2022, εκ των οποίων 5,9 εκατομμύρια EUR αντιστοιχούν σε πιστώσεις υπό τον τίτλο III σχετικά με επιχειρησιακές δαπάνες (74 % το 2021)· επισημαίνει ότι τα υψηλά επίπεδα μεταφορών πιστώσεων αποτελούν για τον Οργανισμό ζήτημα που παρατηρείται επανειλημμένως από το Ελεγκτικό Συνέδριο επί αρκετά συναπτά οικονομικά έτη, αρχής γενομένης από το 2018· σημειώνει την εκ νέου διατυπωθείσα γνώμη του Ελεγκτικού Συνεδρίου ότι τα υψηλά ποσοστά μεταφορών στο επόμενο οικονομικό έτος αντιβαίνουν στην αρχή της ετήσιας διάρκειας του προϋπολογισμού και είναι ενδεικτικά των διαρθρωτικών προβλημάτων στη διαδικασία και τον κύκλο εκτέλεσης του προϋπολογισμού· σημειώνει, με βάση την απάντηση του Οργανισμού στην παρατήρηση του Ελεγκτικού Συνεδρίου, και με βάση την έκθεση του Οργανισμού με τίτλο «Παρατηρήσεις του Ευρωπαϊκού Κοινοβουλίου σχετικά με την απαλλαγή του Οργανισμού Θεμελιωδών Δικαιωμάτων της Ευρωπαϊκής Ένωσης για το 2021 και μέτρα που έλαβε ο Οργανισμός («η έκθεση παρακολούθησης του Οργανισμού»), τις ακόλουθες παρατηρήσεις σχετικά με το υψηλό επίπεδο μεταφορών πιστώσεων που σχετίζονται με τις επιχειρησιακές δραστηριότητες του Οργανισμού: το ειδικό πλαίσιο εντός του οποίου οι εργασίες του Οργανισμού καθιστούν δύσκολη τη δέσμευση για επιχειρησιακές δαπάνες πολύ νωρίτερα κατά τη διάρκεια του έτους, έχουν πραγματοποιηθεί βελτιώσεις στο εργαλείο ΤΠ MATRIX προκειμένου να υπάρξει στενότερη παρακολούθηση της εκτέλεσης του προϋπολογισμού και έγκαιρη εκτίμηση των μεταφορών (πιστώσεις C8) για το επόμενο έτος, η εκτέλεση του προϋπολογισμού θα πρέπει να αξιολογηθεί λαμβάνοντας υπόψη το τελικό αποτέλεσμα το οποίο κατά τα τελευταία 10 έτη υπερέβη το 99 %· αναγνωρίζει, όπως και τα προηγούμενα έτη, ότι το υψηλό ποσοστό μεταφορών πιστώσεων αποτελεί επίσης συνάρτηση της φύσης των βασικών δραστηριοτήτων του Οργανισμού·</w:t>
      </w:r>
    </w:p>
    <w:p w:rsidR="00CD7ED9" w:rsidRPr="00E246BB" w:rsidRDefault="00CD7ED9" w:rsidP="00F94DE9">
      <w:pPr>
        <w:pStyle w:val="Normal12Hanging"/>
        <w:tabs>
          <w:tab w:val="left" w:pos="567"/>
        </w:tabs>
        <w:rPr>
          <w:b/>
          <w:i/>
          <w:szCs w:val="24"/>
        </w:rPr>
      </w:pPr>
      <w:r w:rsidRPr="00E246BB">
        <w:rPr>
          <w:b/>
          <w:i/>
        </w:rPr>
        <w:t>Επιδόσεις</w:t>
      </w:r>
    </w:p>
    <w:p w:rsidR="00CD7ED9" w:rsidRPr="00E246BB" w:rsidRDefault="0018576D" w:rsidP="0018576D">
      <w:pPr>
        <w:pStyle w:val="Normal12Hanging"/>
        <w:ind w:hanging="570"/>
        <w:rPr>
          <w:szCs w:val="24"/>
        </w:rPr>
      </w:pPr>
      <w:r w:rsidRPr="00E246BB">
        <w:rPr>
          <w:szCs w:val="24"/>
        </w:rPr>
        <w:t>4.</w:t>
      </w:r>
      <w:r w:rsidRPr="00E246BB">
        <w:rPr>
          <w:szCs w:val="24"/>
        </w:rPr>
        <w:tab/>
      </w:r>
      <w:r w:rsidR="00CD7ED9" w:rsidRPr="00E246BB">
        <w:t xml:space="preserve">σημειώνει με ικανοποίηση ότι ο Οργανισμός χρησιμοποιεί σύστημα 25 βασικών δεικτών επιδόσεων (ΒΔΕ) στο πλαίσιο της μέτρησης των επιδόσεών του· επικροτεί το υψηλό ποσοστό επίτευξης σε σχέση με τους ΒΔΕ του το 2022, καθώς ο Οργανισμός υπερέβη σχεδόν όλους τους στόχους που είχαν τεθεί ανά ΒΔΕ, διατηρώντας υψηλό επίπεδο ικανοποίησης των ενδιαφερόμενων μερών όσον αφορά τις εκδηλώσεις του Οργανισμού και τη συνάφεια, τη χρησιμότητα και την αξιοπιστία των αποτελεσμάτων του Οργανισμού και συμβάλλοντας σε υψηλό επίπεδο κατανόησης των θεμελιωδών δικαιωμάτων και τάσεων· επαινεί τις προσπάθειες του Οργανισμού που συνέβαλαν στα επιτεύγματά του το 2022, παρά την </w:t>
      </w:r>
      <w:proofErr w:type="spellStart"/>
      <w:r w:rsidR="00CD7ED9" w:rsidRPr="00E246BB">
        <w:t>επανιεράρχηση</w:t>
      </w:r>
      <w:proofErr w:type="spellEnd"/>
      <w:r w:rsidR="00CD7ED9" w:rsidRPr="00E246BB">
        <w:t xml:space="preserve"> όλων των εν εξελίξει δραστηριοτήτων και ανθρώπινων και οικονομικών πόρων και το γεγονός ότι ορισμένα από τα έργα του Οργανισμού αναβλήθηκαν και </w:t>
      </w:r>
      <w:proofErr w:type="spellStart"/>
      <w:r w:rsidR="00CD7ED9" w:rsidRPr="00E246BB">
        <w:t>επαναπρογραμματίστηκαν</w:t>
      </w:r>
      <w:proofErr w:type="spellEnd"/>
      <w:r w:rsidR="00CD7ED9" w:rsidRPr="00E246BB">
        <w:t>·</w:t>
      </w:r>
    </w:p>
    <w:p w:rsidR="00CD7ED9" w:rsidRPr="00E246BB" w:rsidRDefault="0018576D" w:rsidP="0018576D">
      <w:pPr>
        <w:pStyle w:val="NormalHanging12a"/>
        <w:ind w:hanging="570"/>
      </w:pPr>
      <w:r w:rsidRPr="00E246BB">
        <w:t>5.</w:t>
      </w:r>
      <w:r w:rsidRPr="00E246BB">
        <w:tab/>
      </w:r>
      <w:r w:rsidR="00CD7ED9" w:rsidRPr="00E246BB">
        <w:t xml:space="preserve">σημειώνει με ικανοποίηση τις επιδόσεις του Οργανισμού, ιδίως τα υψηλά αποτελέσματα που παρήχθησαν το 2022, συμπεριλαμβανομένων των δημοσιεύσεων, των συνεδριάσεων, της διοργάνωσης εκδηλώσεων, της τεχνικής βοήθειας και των </w:t>
      </w:r>
      <w:r w:rsidR="00CD7ED9" w:rsidRPr="00E246BB">
        <w:lastRenderedPageBreak/>
        <w:t xml:space="preserve">δραστηριοτήτων ανάπτυξης ικανοτήτων, καθώς και της γραπτής και λεκτικής συμβολής· σημειώνει ότι σε 213 δημοσιεύσεις έγιναν παραπομπές στο έργο του Οργανισμού και ότι το έργο του αναφέρθηκε 4 319 φορές στα μέσα ενημέρωσης το 2022· επαινεί τις δραστηριότητες του Οργανισμού όσον αφορά τη στρατηγική προτεραιότητα 1, «Εντοπισμός τάσεων: συλλογή και ανάλυση συγκρίσιμων δεδομένων και στοιχείων», τις οποίες τα ενδιαφερόμενα μέρη του Οργανισμού θεώρησαν ως τις πλέον συναφείς και ως αυτές που προσθέτουν τη μεγαλύτερη αξία· σημειώνει, στο πλαίσιο αυτό, τα επιτεύγματα του Οργανισμού το 2022, όπως η δημοσίευση της έκθεσης «Οι </w:t>
      </w:r>
      <w:proofErr w:type="spellStart"/>
      <w:r w:rsidR="00CD7ED9" w:rsidRPr="00E246BB">
        <w:t>Ρομά</w:t>
      </w:r>
      <w:proofErr w:type="spellEnd"/>
      <w:r w:rsidR="00CD7ED9" w:rsidRPr="00E246BB">
        <w:t xml:space="preserve"> σε 10 ευρωπαϊκές χώρες» (στην οποία επισημαίνονται, μεταξύ άλλων, οι βελτιώσεις και οι ελλείψεις όσον αφορά την ένταξη των </w:t>
      </w:r>
      <w:proofErr w:type="spellStart"/>
      <w:r w:rsidR="00CD7ED9" w:rsidRPr="00E246BB">
        <w:t>Ρομά</w:t>
      </w:r>
      <w:proofErr w:type="spellEnd"/>
      <w:r w:rsidR="00CD7ED9" w:rsidRPr="00E246BB">
        <w:t>), η έκδοση του δελτίου για το άσυλο και τη μετανάστευση, με έμφαση στην κατάσταση των θεμελιωδών δικαιωμάτων των ατόμων από τρίτες χώρες που έφθασαν σε κράτη μέλη και υποψήφιες προς ένταξη στην Ένωση χώρες κατά το τελευταίο τρίμηνο του 2021, η δημοσίευση της έκθεσης «Μεροληψία στους αλγόριθμους – Τεχνητή νοημοσύνη και διακρίσεις» (με την οποία ο Οργανισμός κατέστη ο πρώτος διεθνής οργανισμός ανθρωπίνων δικαιωμάτων που εξετάζει, μεταξύ άλλων, την μεροληψία στους αλγόριθμους και η οποία έγινε η έκθεση του Οργανισμού με τις περισσότερες μεταφορτώσεις το 2022 κατά τις πρώτες επτά ημέρες μετά τη δημοσίευσή της), καθώς και της έκθεσης «Η προστασία του χώρου της κοινωνίας των πολιτών στην ΕΕ – Βασικά πορίσματα και η γνώμη του FRA», η οποία παρέχει επισκόπηση των κύριων ζητημάτων που άπτονται του χώρου της κοινωνίας των πολιτών σε ολόκληρη την Ένωση· επαινεί, όσον αφορά την τελευταία έκθεση, τον Οργανισμό διότι απέδειξε την ικανότητά του να επηρεάζει τις διαδικασίες χάραξης πολιτικής και τις νομοθετικές διαδικασίες σχετικά με τον χώρο της κοινωνίας των πολιτών, καθώς ο Οργανισμός συμμετείχε σε έργα της τσεχικής Προεδρίας του Συμβουλίου και σε δράσεις της Επιτροπής για το θέμα αυτό το 2022·</w:t>
      </w:r>
    </w:p>
    <w:p w:rsidR="00CD7ED9" w:rsidRPr="00E246BB" w:rsidRDefault="0018576D" w:rsidP="0018576D">
      <w:pPr>
        <w:pStyle w:val="NormalHanging12a"/>
        <w:ind w:hanging="570"/>
      </w:pPr>
      <w:r w:rsidRPr="00E246BB">
        <w:t>6.</w:t>
      </w:r>
      <w:r w:rsidRPr="00E246BB">
        <w:tab/>
      </w:r>
      <w:r w:rsidR="00CD7ED9" w:rsidRPr="00E246BB">
        <w:t>εκφράζει την ικανοποίησή του για την έγκαιρη ανταπόκριση του Οργανισμού σε αναδυόμενα ζητήματα θεμελιωδών δικαιωμάτων, όπως η γενική καθοδήγηση του Οργανισμού στην έκθεσή του με τίτλο «Δημιουργία εθνικών ανεξάρτητων μηχανισμών για την παρακολούθηση της συμμόρφωσης με τα θεμελιώδη δικαιώματα στα εξωτερικά σύνορα της ΕΕ», η οποία παρέχει βοήθεια στα κράτη μέλη για τη δημιουργία ή την ενίσχυση των εθνικών τους μηχανισμών για την παρακολούθηση της συμμόρφωσης με τα θεμελιώδη δικαιώματα και τη διασφάλιση διασφαλίσεων για την ανεξαρτησία του μηχανισμού· υπενθυμίζει ότι το διεθνές δίκαιο απαιτεί μεταχείριση χωρίς διακρίσεις για όλους τους πρόσφυγες·</w:t>
      </w:r>
    </w:p>
    <w:p w:rsidR="00CD7ED9" w:rsidRPr="00E246BB" w:rsidRDefault="0018576D" w:rsidP="0018576D">
      <w:pPr>
        <w:pStyle w:val="Normal12Hanging"/>
        <w:ind w:hanging="570"/>
        <w:rPr>
          <w:szCs w:val="24"/>
        </w:rPr>
      </w:pPr>
      <w:r w:rsidRPr="00E246BB">
        <w:rPr>
          <w:szCs w:val="24"/>
        </w:rPr>
        <w:t>7.</w:t>
      </w:r>
      <w:r w:rsidRPr="00E246BB">
        <w:rPr>
          <w:szCs w:val="24"/>
        </w:rPr>
        <w:tab/>
      </w:r>
      <w:r w:rsidR="00CD7ED9" w:rsidRPr="00E246BB">
        <w:t xml:space="preserve">σημειώνει με ικανοποίηση ότι ο Οργανισμός έλαβε ταχέως μέτρα για να ανταποκριθεί στην κατάσταση των ανθρωπίνων δικαιωμάτων στην Ουκρανία μετά την παράνομη και απρόκλητη εισβολή της Ρωσίας, μέσω διαφόρων σημαντικών δράσεων, όπως η διεξαγωγή διαδικτυακής έρευνας σχετικά με τις εμπειρίες των </w:t>
      </w:r>
      <w:proofErr w:type="spellStart"/>
      <w:r w:rsidR="00CD7ED9" w:rsidRPr="00E246BB">
        <w:t>εκτοπισθέντων</w:t>
      </w:r>
      <w:proofErr w:type="spellEnd"/>
      <w:r w:rsidR="00CD7ED9" w:rsidRPr="00E246BB">
        <w:t xml:space="preserve"> που εγκαταλείπουν την Ουκρανία, η έκδοση δύο δελτίων σχετικά με τις επιπτώσεις στα θεμελιώδη δικαιώματα στα κράτη μέλη όσον αφορά τον πόλεμο στην Ουκρανία, η δημοσίευση πίνακα σχετικά με την εφαρμογή της οδηγίας 20</w:t>
      </w:r>
      <w:r w:rsidR="00081974">
        <w:rPr>
          <w:lang w:val="lv-LV"/>
        </w:rPr>
        <w:t>0</w:t>
      </w:r>
      <w:bookmarkStart w:id="8" w:name="_GoBack"/>
      <w:bookmarkEnd w:id="8"/>
      <w:r w:rsidR="00CD7ED9" w:rsidRPr="00E246BB">
        <w:t>1/55/ΕΚ του Συμβουλίου</w:t>
      </w:r>
      <w:r w:rsidR="00CD7ED9" w:rsidRPr="00E246BB">
        <w:rPr>
          <w:szCs w:val="24"/>
          <w:vertAlign w:val="superscript"/>
        </w:rPr>
        <w:footnoteReference w:id="12"/>
      </w:r>
      <w:r w:rsidR="00CD7ED9" w:rsidRPr="00E246BB">
        <w:t xml:space="preserve"> από 16 κράτη μέλη και έργα συλλογής δεδομένων σχετικά με τις </w:t>
      </w:r>
      <w:r w:rsidR="00CD7ED9" w:rsidRPr="00E246BB">
        <w:lastRenderedPageBreak/>
        <w:t>εμπειρίες των γυναικών που προσπαθούν να ξεφύγουν από τον πόλεμο σε σχέση με τη βία και άλλες παραβιάσεις των ανθρωπίνων δικαιωμάτων·</w:t>
      </w:r>
    </w:p>
    <w:p w:rsidR="00CD7ED9" w:rsidRPr="00E246BB" w:rsidRDefault="0018576D" w:rsidP="0018576D">
      <w:pPr>
        <w:pStyle w:val="NormalHanging12a"/>
        <w:ind w:hanging="570"/>
      </w:pPr>
      <w:r w:rsidRPr="00E246BB">
        <w:t>8.</w:t>
      </w:r>
      <w:r w:rsidRPr="00E246BB">
        <w:tab/>
      </w:r>
      <w:r w:rsidR="00CD7ED9" w:rsidRPr="00E246BB">
        <w:t>αναγνωρίζει τον ρόλο του Οργανισμού στην ενδυνάμωση των εθνικών υποδομών για τα ανθρώπινα δικαιώματα, μέσω της συνεργασίας και της δημιουργίας συνεργειών με τους οργανισμούς ανθρωπίνων δικαιωμάτων και της εταιρικής σχέσης με τα θεσμικά όργανα της κοινωνίας των πολιτών· σημειώνει τη συνεχή καθοδήγηση του Οργανισμού στον τομέα του ασύλου και της μετανάστευσης, με τακτικές επισκοπήσεις προς τα κράτη μέλη όσον αφορά τις ανησυχίες για τα θεμελιώδη δικαιώματα που σχετίζονται με τη μετανάστευση· εκφράζει την ικανοποίησή του για τον ρόλο του Οργανισμού στην προώθηση ενός αφηγήματος βασισμένου στα ανθρώπινα δικαιώματα με την ανάπτυξη αποτελεσματικής επικοινωνίας, τη συμμετοχή στην ανάπτυξη νέων ψηφιακών εφαρμογών και εργαλείων και τη συσπείρωση φορέων ανθρωπίνων δικαιωμάτων για την προώθηση των ευρωπαϊκών αξιών και ελευθεριών·</w:t>
      </w:r>
    </w:p>
    <w:p w:rsidR="00CD7ED9" w:rsidRPr="00E246BB" w:rsidRDefault="0018576D" w:rsidP="0018576D">
      <w:pPr>
        <w:pStyle w:val="NormalHanging12a"/>
        <w:ind w:hanging="570"/>
      </w:pPr>
      <w:r w:rsidRPr="00E246BB">
        <w:t>9.</w:t>
      </w:r>
      <w:r w:rsidRPr="00E246BB">
        <w:tab/>
      </w:r>
      <w:r w:rsidR="00CD7ED9" w:rsidRPr="00E246BB">
        <w:t xml:space="preserve">σημειώνει με μεγάλη ανησυχία ότι για την παρακολούθηση της κατάστασης των θεμελιωδών δικαιωμάτων και του κράτους δικαίου στην Ουγγαρία, ο Οργανισμός έχει αποφασίσει να συνεργαστεί και να βασιστεί σε πληροφορίες του Εθνικού Πανεπιστημίου Δημόσιας Διοίκησης και του Γραφείου του Επιτρόπου Θεμελιωδών Δικαιωμάτων, παρόλο που και τα δύο όργανα έχουν ιστορικό υποστήριξης της επιδείνωσης των θεμελιωδών δικαιωμάτων στην Ουγγαρία· σημειώνει, για παράδειγμα, ότι η Επιτροπή, στην έκθεσή της του 2022 για το κράτος δικαίου, είχε «έντονες ανησυχίες» σχετικά με την ανεξαρτησία του </w:t>
      </w:r>
      <w:proofErr w:type="spellStart"/>
      <w:r w:rsidR="00CD7ED9" w:rsidRPr="00E246BB">
        <w:t>ούγγρου</w:t>
      </w:r>
      <w:proofErr w:type="spellEnd"/>
      <w:r w:rsidR="00CD7ED9" w:rsidRPr="00E246BB">
        <w:t xml:space="preserve"> Επιτρόπου Θεμελιωδών Δικαιωμάτων· εκφράζει, ωστόσο, τη λύπη του για το γεγονός ότι ο Οργανισμός αποφάσισε να μην επανεξετάσει τη συνεργασία με θεσμικά όργανα που προωθούν ουσιαστικά τη δημοκρατική οπισθοδρόμηση, παρόλο που βασικό καθήκον του Οργανισμού θα πρέπει να είναι η συμβολή στην προάσπιση των θεμελιωδών δικαιωμάτων, ιδίως σε προβληματικές περιπτώσεις όπως αυτή της ουγγρικής κυβέρνησης· καλεί τον Οργανισμό να αναστείλει τη συνεργασία του με τα εν λόγω όργανα και να τηρεί ενήμερη την αρμόδια για την απαλλαγή αρχή σχετικά με την πρόοδό του στο ζήτημα αυτό·</w:t>
      </w:r>
    </w:p>
    <w:p w:rsidR="00CD7ED9" w:rsidRPr="00E246BB" w:rsidRDefault="00CD7ED9" w:rsidP="00F94DE9">
      <w:pPr>
        <w:pStyle w:val="Normal12Hanging"/>
        <w:tabs>
          <w:tab w:val="left" w:pos="567"/>
        </w:tabs>
        <w:rPr>
          <w:b/>
          <w:i/>
          <w:szCs w:val="24"/>
        </w:rPr>
      </w:pPr>
      <w:r w:rsidRPr="00E246BB">
        <w:rPr>
          <w:b/>
          <w:i/>
        </w:rPr>
        <w:t>Αποδοτικότητα και βελτιώσεις</w:t>
      </w:r>
    </w:p>
    <w:p w:rsidR="00CD7ED9" w:rsidRPr="00E246BB" w:rsidRDefault="0018576D" w:rsidP="0018576D">
      <w:pPr>
        <w:pStyle w:val="Normal12Hanging"/>
        <w:ind w:hanging="570"/>
        <w:rPr>
          <w:szCs w:val="24"/>
        </w:rPr>
      </w:pPr>
      <w:r w:rsidRPr="00E246BB">
        <w:rPr>
          <w:szCs w:val="24"/>
        </w:rPr>
        <w:t>10.</w:t>
      </w:r>
      <w:r w:rsidRPr="00E246BB">
        <w:rPr>
          <w:szCs w:val="24"/>
        </w:rPr>
        <w:tab/>
      </w:r>
      <w:r w:rsidR="00CD7ED9" w:rsidRPr="00E246BB">
        <w:t xml:space="preserve">σημειώνει ότι το 2022 ο Οργανισμός συνέχισε τη συνεργασία και το έργο από κοινού με το Δίκτυο των Οργανισμών Δικαιοσύνης και Εσωτερικών Υποθέσεων (JHAN) και τους οργανισμούς που το απαρτίζουν, προκειμένου να αντιμετωπιστούν οι προκλήσεις στους κοινούς τομείς εργασιών τους, όπως η εσωτερική ασφάλεια, η μετανάστευση, το οργανωμένο έγκλημα, το άσυλο και τα σύνορα, συμβάλλοντας με εμπειρογνωσία στον τομέα των θεμελιωδών δικαιωμάτων· σημειώνει, στο πλαίσιο αυτό, ιδίως τις συνεργασίες που ανέπτυξε ο Οργανισμός με το Ευρωπαϊκό Ινστιτούτο για την Ισότητα των Φύλων για την προετοιμασία δημοσκόπησης για τη βία κατά των γυναικών, με τον Οργανισμό της Ευρωπαϊκής Ένωσης για το Άσυλο για την επανεξέταση ορισμένων ενοτήτων κατάρτισης και την εκπόνηση φυλλαδίου σχετικά με την προσωρινή προστασία των κηδεμόνων ασυνόδευτων παιδιών, με τον Οργανισμό της Ευρωπαϊκής Ένωσης για την Κατάρτιση στον Τομέα της Επιβολής του Νόμου διευκολύνοντας προγράμματα κατάρτισης σχετικά με τα δεδομένα και την αναφορά για εγκλήματα μίσους και με τον Οργανισμό της Ευρωπαϊκής Ένωσης για τη Συνεργασία στον Τομέα της Ποινικής Δικαιοσύνης για την εκπόνηση του εγχειριδίου για το </w:t>
      </w:r>
      <w:proofErr w:type="spellStart"/>
      <w:r w:rsidR="00CD7ED9" w:rsidRPr="00E246BB">
        <w:t>κυβερνοέγκλημα</w:t>
      </w:r>
      <w:proofErr w:type="spellEnd"/>
      <w:r w:rsidR="00CD7ED9" w:rsidRPr="00E246BB">
        <w:t xml:space="preserve"> και τα θεμελιώδη δικαιώματα· σημειώνει τη συνεργασία του Οργανισμού το 2022 με οργανισμούς και άλλες οντότητες πέραν του JHAN, όπως το Ευρωπαϊκό Ίδρυμα για τη </w:t>
      </w:r>
      <w:r w:rsidR="00CD7ED9" w:rsidRPr="00E246BB">
        <w:lastRenderedPageBreak/>
        <w:t xml:space="preserve">Βελτίωση των Συνθηκών Διαβίωσης και Εργασίας, η Ευρωπαϊκή Αρχή Εργασίας και η </w:t>
      </w:r>
      <w:proofErr w:type="spellStart"/>
      <w:r w:rsidR="00CD7ED9" w:rsidRPr="00E246BB">
        <w:t>Eurostat</w:t>
      </w:r>
      <w:proofErr w:type="spellEnd"/>
      <w:r w:rsidR="00CD7ED9" w:rsidRPr="00E246BB">
        <w:t>· ενθαρρύνει τη διερεύνηση και τον εντοπισμό περαιτέρω συνεργειών προκειμένου να ενισχυθεί η βελτίωση της αποδοτικότητας και να μειωθεί το κόστος·</w:t>
      </w:r>
    </w:p>
    <w:p w:rsidR="00CD7ED9" w:rsidRPr="00E246BB" w:rsidRDefault="0018576D" w:rsidP="0018576D">
      <w:pPr>
        <w:pStyle w:val="Normal12Hanging"/>
        <w:ind w:hanging="570"/>
        <w:rPr>
          <w:szCs w:val="24"/>
        </w:rPr>
      </w:pPr>
      <w:r w:rsidRPr="00E246BB">
        <w:rPr>
          <w:szCs w:val="24"/>
        </w:rPr>
        <w:t>11.</w:t>
      </w:r>
      <w:r w:rsidRPr="00E246BB">
        <w:rPr>
          <w:szCs w:val="24"/>
        </w:rPr>
        <w:tab/>
      </w:r>
      <w:r w:rsidR="00CD7ED9" w:rsidRPr="00E246BB">
        <w:t>σημειώνει, με βάση τις απαντήσεις του στις ερωτήσεις του Κοινοβουλίου με αίτημα γραπτής απάντησης, ότι ο Οργανισμός έχει αναλάβει πρωτοβουλίες για να ενισχύσει την αποδοτικότητά του και τις σχετικές βελτιώσεις, με την αυτοματοποίηση των επαναλαμβανόμενων καθηκόντων, τη χαρτογράφηση και τον ανασχεδιασμό των τρεχουσών επιχειρησιακών διαδικασιών, την επανεξέταση της οργανωτικής δομής με στόχο την καλύτερη χρήση των υφιστάμενων πόρων, τη δημιουργία πλατφορμών συνεργασίας με πιο συστηματικό τρόπο, την απλούστευση των κανόνων και των διαδικασιών που εφαρμόζονται στη διαχείριση των οικονομικών και ανθρώπινων πόρων, καθώς και μέσω ποιοτικών αξιολογήσεων των προσπαθειών για αύξηση της αποδοτικότητας·</w:t>
      </w:r>
    </w:p>
    <w:p w:rsidR="00CD7ED9" w:rsidRPr="00E246BB" w:rsidRDefault="0018576D" w:rsidP="0018576D">
      <w:pPr>
        <w:pStyle w:val="NormalHanging12a"/>
        <w:ind w:hanging="570"/>
      </w:pPr>
      <w:r w:rsidRPr="00E246BB">
        <w:t>12.</w:t>
      </w:r>
      <w:r w:rsidRPr="00E246BB">
        <w:tab/>
      </w:r>
      <w:r w:rsidR="00CD7ED9" w:rsidRPr="00E246BB">
        <w:t xml:space="preserve">εκφράζει ικανοποίηση για το γεγονός ότι το 2022 ο Οργανισμός συνέχισε να αυτοματοποιεί και να </w:t>
      </w:r>
      <w:proofErr w:type="spellStart"/>
      <w:r w:rsidR="00CD7ED9" w:rsidRPr="00E246BB">
        <w:t>εξορθολογίζει</w:t>
      </w:r>
      <w:proofErr w:type="spellEnd"/>
      <w:r w:rsidR="00CD7ED9" w:rsidRPr="00E246BB">
        <w:t xml:space="preserve"> τις διαδικασίες ανθρώπινων πόρων, μεταξύ άλλων επεκτείνοντας τη χρήση του SYSPER· σημειώνει, στο πλαίσιο αυτό, ότι ο Οργανισμός ξεκίνησε να χρησιμοποιεί ένα νέο εργαλείο προσλήψεων που έχει ως στόχο να διευκολύνει τις διαδικασίες επιλογής και να συμβάλλει σε μια πιο φιλική προς τον χρήστη εμπειρία για τους υποψηφίους και για τους ανθρώπινους πόρους και εισήγαγε πρόσθετα εργαλεία δεδομένων για την αυτοματοποίηση πτυχών των διαδικασιών της μισθοδοσίας· σημειώνει επίσης ότι ο Οργανισμός εν τω μεταξύ ενέκρινε το σύστημα ηλεκτρονικής αρχειοθέτησης και διαχείρισης αρχείων (ARES) της Επιτροπής, γεγονός που οδήγησε στην ενσωμάτωση της λύσης EU </w:t>
      </w:r>
      <w:proofErr w:type="spellStart"/>
      <w:r w:rsidR="00CD7ED9" w:rsidRPr="00E246BB">
        <w:t>Sign</w:t>
      </w:r>
      <w:proofErr w:type="spellEnd"/>
      <w:r w:rsidR="00CD7ED9" w:rsidRPr="00E246BB">
        <w:t>, η οποία επιτρέπει τη χρήση της εγκεκριμένης ηλεκτρονικής υπογραφής· επικροτεί την ολοκλήρωση της προετοιμασίας για την εφαρμογή, το 2023, του εργαλείου διαχείρισης των δημόσιων συμβάσεων της Επιτροπής (ηλεκτρονικές δημόσιες συμβάσεις)·</w:t>
      </w:r>
    </w:p>
    <w:p w:rsidR="00CD7ED9" w:rsidRPr="00E246BB" w:rsidRDefault="0018576D" w:rsidP="0018576D">
      <w:pPr>
        <w:pStyle w:val="NormalHanging12a"/>
        <w:ind w:hanging="570"/>
      </w:pPr>
      <w:r w:rsidRPr="00E246BB">
        <w:t>13.</w:t>
      </w:r>
      <w:r w:rsidRPr="00E246BB">
        <w:tab/>
      </w:r>
      <w:r w:rsidR="00CD7ED9" w:rsidRPr="00E246BB">
        <w:t>σημειώνει την προσέγγιση του Οργανισμού για την «επίτευξη περισσότερων αποτελεσμάτων με λιγότερα μέσα», και το γεγονός ότι έχουν ήδη εξοικονομηθεί 350 000 EUR ενώ αναμένεται να εξοικονομηθούν 200 000 EUR χάρη στη χρήση εσωτερικών πόρων για την ανάπτυξη νέων εφαρμογών ΤΠ και τις νέες τεχνολογίες υπολογιστικού νέφους που έχουν βοηθήσει τον Οργανισμό να βελτιστοποιήσει περαιτέρω την υποδομή ΤΠ του· σημειώνει ότι ο Οργανισμός επιδιώκει επίσης την αποδοτική χρήση των πόρων του εγκρίνοντας αιτήσεις της Επιτροπής, μειώνοντας τη θερμοκρασία κατά τη θέρμανση των κτιρίων, χρησιμοποιώντας διαδικασίες χωρίς χαρτί στον χρηματοοικονομικό τομέα και στον τομέα των συμβάσεων και μειώνοντας τις ταχυδρομικές υπηρεσίες και τις υπηρεσίες ταχυμεταφορών, μεταξύ άλλων· ενθαρρύνει τον Οργανισμό να μεταφέρει βέλτιστες πρακτικές στο πλαίσιο αυτό μέσω των διαύλων συνεργασίας του με άλλους αποκεντρωμένους οργανισμούς της ΕΕ·</w:t>
      </w:r>
    </w:p>
    <w:p w:rsidR="00CD7ED9" w:rsidRPr="00E246BB" w:rsidRDefault="0018576D" w:rsidP="0018576D">
      <w:pPr>
        <w:pStyle w:val="Normal12Hanging"/>
        <w:ind w:hanging="570"/>
        <w:rPr>
          <w:szCs w:val="24"/>
        </w:rPr>
      </w:pPr>
      <w:r w:rsidRPr="00E246BB">
        <w:rPr>
          <w:szCs w:val="24"/>
        </w:rPr>
        <w:t>14.</w:t>
      </w:r>
      <w:r w:rsidRPr="00E246BB">
        <w:rPr>
          <w:szCs w:val="24"/>
        </w:rPr>
        <w:tab/>
      </w:r>
      <w:r w:rsidR="00CD7ED9" w:rsidRPr="00E246BB">
        <w:t xml:space="preserve">σημειώνει ότι, σύμφωνα με την έκθεση του Ελεγκτικού Συνεδρίου, ο Οργανισμός δεν συγκαταλέγεται μεταξύ των οργανισμών που έχουν καταρτίσει επιχειρησιακά σχέδια για τη βελτίωση της ενεργειακής απόδοσης και της κλιματικής ουδετερότητας των δραστηριοτήτων τους, έχουν ενσωματώσει στις ετήσιες εκθέσεις δραστηριοτήτων τους κάποια μορφή αναφοράς περιβαλλοντικών στοιχείων και έχουν λάβει καταχώριση στο EMAS· σημειώνει, ωστόσο, με βάση τις απαντήσεις του Οργανισμού στις ερωτήσεις του Κοινοβουλίου με αίτημα γραπτής απάντησης, ότι η πιστοποίηση EMAS προβλέπεται μόλις ο Οργανισμός </w:t>
      </w:r>
      <w:proofErr w:type="spellStart"/>
      <w:r w:rsidR="00CD7ED9" w:rsidRPr="00E246BB">
        <w:t>μετεγκατασταθεί</w:t>
      </w:r>
      <w:proofErr w:type="spellEnd"/>
      <w:r w:rsidR="00CD7ED9" w:rsidRPr="00E246BB">
        <w:t xml:space="preserve"> στις νέες εγκαταστάσεις του, οι οποίες θα τηρούν επίσης τις απαιτήσεις της Ευρωπαϊκής Πράσινης Συμφωνίας· εξαίρει </w:t>
      </w:r>
      <w:r w:rsidR="00CD7ED9" w:rsidRPr="00E246BB">
        <w:lastRenderedPageBreak/>
        <w:t>τον Οργανισμό για την εισαγωγή πράσινων κριτηρίων για τις δημόσιες συμβάσεις που συνδέονται με περιβαλλοντικές και κοινωνικές απαιτήσεις, καθώς και κριτηρίων επιλογής και ανάθεσης εντός των εγγενών ορίων που προκύπτουν από το γεγονός ότι ο Οργανισμός συνάπτει συμβάσεις κυρίως για υπηρεσίες·</w:t>
      </w:r>
    </w:p>
    <w:p w:rsidR="00CD7ED9" w:rsidRPr="00E246BB" w:rsidRDefault="00CD7ED9" w:rsidP="00F94DE9">
      <w:pPr>
        <w:pStyle w:val="NormalHanging12a"/>
        <w:tabs>
          <w:tab w:val="left" w:pos="567"/>
        </w:tabs>
        <w:rPr>
          <w:b/>
          <w:i/>
          <w:szCs w:val="24"/>
        </w:rPr>
      </w:pPr>
      <w:r w:rsidRPr="00E246BB">
        <w:rPr>
          <w:b/>
          <w:i/>
        </w:rPr>
        <w:t>Πολιτική προσωπικού</w:t>
      </w:r>
    </w:p>
    <w:p w:rsidR="00CD7ED9" w:rsidRPr="00E246BB" w:rsidRDefault="0018576D" w:rsidP="0018576D">
      <w:pPr>
        <w:pStyle w:val="Normal12Hanging"/>
        <w:ind w:hanging="570"/>
        <w:rPr>
          <w:szCs w:val="24"/>
        </w:rPr>
      </w:pPr>
      <w:r w:rsidRPr="00E246BB">
        <w:rPr>
          <w:szCs w:val="24"/>
        </w:rPr>
        <w:t>15.</w:t>
      </w:r>
      <w:r w:rsidRPr="00E246BB">
        <w:rPr>
          <w:szCs w:val="24"/>
        </w:rPr>
        <w:tab/>
      </w:r>
      <w:r w:rsidR="00CD7ED9" w:rsidRPr="00E246BB">
        <w:t xml:space="preserve">σημειώνει ότι, στις 31 Δεκεμβρίου 2022, το ποσοστό εκτέλεσης του πίνακα προσωπικού ήταν 94 % και ότι καλύπτονταν οι 68 από τις 72 θέσεις έκτακτων υπαλλήλων που είχαν εγκριθεί στο πλαίσιο του προϋπολογισμού της Ένωσης (ίδιος αριθμός εγκεκριμένων θέσεων με το 2021)· σημειώνει, επιπλέον, ότι το 2022 εργάστηκαν για τον Οργανισμό 28,4 συμβασιούχοι υπάλληλοι ως ισοδύναμα πλήρους απασχόλησης (ΙΠΑ) και 9 αποσπασμένοι εθνικοί εμπειρογνώμονες ΙΠΑ (μεταξύ των οποίων και ένα ΙΠΑ άνευ κόστους)· σημειώνει χαμηλό ποσοστό εναλλαγής (1,9 %) το 2022· παρατηρεί, επίσης, ότι το 2022 ο Οργανισμός συνέχισε να αυτοματοποιεί και να </w:t>
      </w:r>
      <w:proofErr w:type="spellStart"/>
      <w:r w:rsidR="00CD7ED9" w:rsidRPr="00E246BB">
        <w:t>εξορθολογίζει</w:t>
      </w:r>
      <w:proofErr w:type="spellEnd"/>
      <w:r w:rsidR="00CD7ED9" w:rsidRPr="00E246BB">
        <w:t xml:space="preserve"> τις διαδικασίες ανθρώπινων πόρων, προκειμένου να επιτύχει περαιτέρω αποδοτικότητα·</w:t>
      </w:r>
    </w:p>
    <w:p w:rsidR="00CD7ED9" w:rsidRPr="00E246BB" w:rsidRDefault="0018576D" w:rsidP="0018576D">
      <w:pPr>
        <w:pStyle w:val="Normal12Hanging"/>
        <w:ind w:hanging="570"/>
      </w:pPr>
      <w:r w:rsidRPr="00E246BB">
        <w:t>16.</w:t>
      </w:r>
      <w:r w:rsidRPr="00E246BB">
        <w:tab/>
      </w:r>
      <w:r w:rsidR="00CD7ED9" w:rsidRPr="00E246BB">
        <w:t>σημειώνει με ικανοποίηση την ισόρροπη εκπροσώπηση των φύλων μεταξύ των ανώτερων και των μεσαίων διευθυντικών στελεχών του Οργανισμού, με 3 άνδρες (50 %) και 3 γυναίκες (50 %) σε επίπεδο διοικητικού συμβουλίου (ΔΣ), με 33 από τα 65 μέλη να είναι γυναίκες (51 %), και στο συνολικό προσωπικό του Οργανισμού, με 57 από τα 105 μέλη (54 %) να είναι γυναίκες· σημειώνει ότι η ισόρροπη εκπροσώπηση των φύλων είναι ένας από τους βασικούς στόχους του Οργανισμού όσον αφορά την καταπολέμηση των διακρίσεων και διατηρεί ιδιαίτερη έμφαση στο έργο των οργάνων του, όπως η Ομάδα για την Ισότητα και τη Διαφορετικότητα, η οποία εργάζεται για την προώθηση της καταπολέμησης των διακρίσεων λόγω φύλου σε όλες τις πτυχές των διαδικασιών ανθρώπινων πόρων στον Οργανισμό·</w:t>
      </w:r>
    </w:p>
    <w:p w:rsidR="00CD7ED9" w:rsidRPr="00E246BB" w:rsidRDefault="0018576D" w:rsidP="0018576D">
      <w:pPr>
        <w:pStyle w:val="NormalHanging12a"/>
        <w:ind w:hanging="570"/>
      </w:pPr>
      <w:r w:rsidRPr="00E246BB">
        <w:t>17.</w:t>
      </w:r>
      <w:r w:rsidRPr="00E246BB">
        <w:tab/>
      </w:r>
      <w:r w:rsidR="00CD7ED9" w:rsidRPr="00E246BB">
        <w:t>σημειώνει ότι ο Οργανισμός απασχολούσε προσωπικό από 23 κράτη μέλη την 1η Οκτωβρίου 2022· εκφράζει την ικανοποίησή του για τις προσπάθειες του Οργανισμού να επιτύχει γεωγραφική ισορροπία· σημειώνει ότι, στο πλαίσιο της στρατηγικής του Οργανισμού για την ισότητα ευκαιριών και την καταπολέμηση των διακρίσεων, η προώθηση της πολυμορφίας, συμπεριλαμβανομένης της γεωγραφικής ισορροπίας, αποτελεί μέρος των πρωταρχικών στόχων στις διαδικασίες ανθρώπινων πόρων, όπως οι προσλήψεις και η επιλογή·</w:t>
      </w:r>
    </w:p>
    <w:p w:rsidR="00CD7ED9" w:rsidRPr="00E246BB" w:rsidRDefault="0018576D" w:rsidP="0018576D">
      <w:pPr>
        <w:pStyle w:val="Normal12Hanging"/>
        <w:ind w:hanging="570"/>
        <w:rPr>
          <w:szCs w:val="24"/>
        </w:rPr>
      </w:pPr>
      <w:r w:rsidRPr="00E246BB">
        <w:rPr>
          <w:szCs w:val="24"/>
        </w:rPr>
        <w:t>18.</w:t>
      </w:r>
      <w:r w:rsidRPr="00E246BB">
        <w:rPr>
          <w:szCs w:val="24"/>
        </w:rPr>
        <w:tab/>
      </w:r>
      <w:r w:rsidR="00CD7ED9" w:rsidRPr="00E246BB">
        <w:t>παρατηρεί ότι ο Οργανισμός έχει λάβει διάφορα μέτρα για την ενσωμάτωση των ατόμων με αναπηρία, παρέχοντας ειδικές διευθετήσεις, βελτιώνοντας τις εγκαταστάσεις του για να διευκολύνει την προσβασιμότητα, επιτρέποντας την κατ’ εξαίρεση τηλεργασία και διοργανώνοντας τακτική κατάρτιση του προσωπικού για την ευαισθητοποίηση του προσωπικού σε θέματα αναπηρίας· εκφράζει την ικανοποίησή του για τις προσπάθειες του Οργανισμού να προσελκύσει αιτήσεις πρακτικής άσκησης από υποψηφίους με αναπηρία· σημειώνει ότι ο Οργανισμός καταρτίζει επίσης πολιτική για τη στήριξη της αναπηρίας·</w:t>
      </w:r>
    </w:p>
    <w:p w:rsidR="00CD7ED9" w:rsidRPr="00E246BB" w:rsidRDefault="0018576D" w:rsidP="0018576D">
      <w:pPr>
        <w:pStyle w:val="Normal12Hanging"/>
        <w:ind w:hanging="570"/>
        <w:rPr>
          <w:szCs w:val="24"/>
        </w:rPr>
      </w:pPr>
      <w:r w:rsidRPr="00E246BB">
        <w:rPr>
          <w:szCs w:val="24"/>
        </w:rPr>
        <w:t>19.</w:t>
      </w:r>
      <w:r w:rsidRPr="00E246BB">
        <w:rPr>
          <w:szCs w:val="24"/>
        </w:rPr>
        <w:tab/>
      </w:r>
      <w:r w:rsidR="00CD7ED9" w:rsidRPr="00E246BB">
        <w:t>σημειώνει ότι ο Οργανισμός υποστηρίζει την ευεξία του προσωπικού του παρέχοντας υπηρεσίες ψυχολογικής υποστήριξης, ενθαρρύνοντας τη σωματική άσκηση μέσω ενός νέου συστήματος που εγκρίθηκε το 2022, το οποίο προβλέπει χρηματοδοτική συνεισφορά για αθλητικές συνδρομές, και εγκρίνοντας τους κανόνες της Επιτροπής για την υβριδική εργασία·</w:t>
      </w:r>
    </w:p>
    <w:p w:rsidR="00CD7ED9" w:rsidRPr="00E246BB" w:rsidRDefault="00CD7ED9" w:rsidP="00F94DE9">
      <w:pPr>
        <w:pStyle w:val="Normal12Hanging"/>
        <w:tabs>
          <w:tab w:val="left" w:pos="567"/>
        </w:tabs>
        <w:rPr>
          <w:szCs w:val="24"/>
        </w:rPr>
      </w:pPr>
      <w:r w:rsidRPr="00E246BB">
        <w:rPr>
          <w:b/>
          <w:i/>
        </w:rPr>
        <w:lastRenderedPageBreak/>
        <w:t>Πρόληψη και διαχείριση συγκρούσεων συμφερόντων και διαφάνεια</w:t>
      </w:r>
    </w:p>
    <w:p w:rsidR="00CD7ED9" w:rsidRPr="00E246BB" w:rsidRDefault="0018576D" w:rsidP="0018576D">
      <w:pPr>
        <w:pStyle w:val="NormalHanging12a"/>
        <w:ind w:hanging="570"/>
        <w:rPr>
          <w:szCs w:val="24"/>
        </w:rPr>
      </w:pPr>
      <w:r w:rsidRPr="00E246BB">
        <w:rPr>
          <w:szCs w:val="24"/>
        </w:rPr>
        <w:t>20.</w:t>
      </w:r>
      <w:r w:rsidRPr="00E246BB">
        <w:rPr>
          <w:szCs w:val="24"/>
        </w:rPr>
        <w:tab/>
      </w:r>
      <w:r w:rsidR="00CD7ED9" w:rsidRPr="00E246BB">
        <w:t>σημειώνει ότι τα βιογραφικά σημειώματα και οι δηλώσεις συμφερόντων των μελών του διοικητικού συμβουλίου και της διοικητικής ομάδας δημοσιεύονται στον ιστότοπο του Οργανισμού· σημειώνει ότι, σύμφωνα με την έκθεση παρακολούθησης του Οργανισμού, ο Οργανισμός αποφάσισε να μην προβαίνει πλέον σε δημοσίευση στον ιστότοπό του όσον αφορά πληροφορίες για τους εσωτερικούς εμπειρογνώμονες·</w:t>
      </w:r>
    </w:p>
    <w:p w:rsidR="00CD7ED9" w:rsidRPr="00E246BB" w:rsidRDefault="0018576D" w:rsidP="0018576D">
      <w:pPr>
        <w:pStyle w:val="NormalHanging12a"/>
        <w:ind w:hanging="570"/>
        <w:rPr>
          <w:szCs w:val="24"/>
        </w:rPr>
      </w:pPr>
      <w:r w:rsidRPr="00E246BB">
        <w:rPr>
          <w:szCs w:val="24"/>
        </w:rPr>
        <w:t>21.</w:t>
      </w:r>
      <w:r w:rsidRPr="00E246BB">
        <w:rPr>
          <w:szCs w:val="24"/>
        </w:rPr>
        <w:tab/>
      </w:r>
      <w:r w:rsidR="00CD7ED9" w:rsidRPr="00E246BB">
        <w:t>εκφράζει την ικανοποίησή του για το έργο που πραγματοποίησε ο Οργανισμός το 2022 για την αναθεώρηση/επικαιροποίηση των δηλώσεων συμφερόντων όλου του προσωπικού, με αποτέλεσμα την έκδοση ορισμένων προληπτικών συστάσεων· σημειώνει, επιπλέον, ότι ο Οργανισμός παρέχει υποχρεωτική κατάρτιση στο προσωπικό για θέματα δεοντολογίας και ακεραιότητας και παρέχει καθοδήγηση για την αξιολόγηση των εξωτερικών δραστηριοτήτων· σημειώνει, όσον αφορά την παρακολούθηση της συμμόρφωσης του πρώην προσωπικού του Οργανισμού με τις ισχύουσες αποφάσεις όσον αφορά τη μεταπήδηση στον ιδιωτικό τομέα και τους σχετικούς περιορισμούς, ότι ο Οργανισμός αξιολογεί το ενδεχόμενο διενέργειας τυχαίων ελέγχων· καλεί, επιπλέον, τον Οργανισμό να υποβάλει έκθεση στην αρμόδια για την απαλλαγή αρχή σχετικά με την πρόοδο που έχει σημειωθεί στο ζήτημα αυτό·</w:t>
      </w:r>
    </w:p>
    <w:p w:rsidR="00CD7ED9" w:rsidRPr="00E246BB" w:rsidRDefault="0018576D" w:rsidP="0018576D">
      <w:pPr>
        <w:pStyle w:val="NormalHanging12a"/>
        <w:ind w:hanging="570"/>
        <w:rPr>
          <w:szCs w:val="24"/>
        </w:rPr>
      </w:pPr>
      <w:r w:rsidRPr="00E246BB">
        <w:rPr>
          <w:szCs w:val="24"/>
        </w:rPr>
        <w:t>22.</w:t>
      </w:r>
      <w:r w:rsidRPr="00E246BB">
        <w:rPr>
          <w:szCs w:val="24"/>
        </w:rPr>
        <w:tab/>
      </w:r>
      <w:r w:rsidR="00CD7ED9" w:rsidRPr="00E246BB">
        <w:t xml:space="preserve">σημειώνει ότι το 2022 ο Οργανισμός εντόπισε δυνητικό κίνδυνο εικαζόμενης σύγκρουσης συμφερόντων μέλους του ΔΣ σε σχέση με σύμβαση έργου που έχει υπογραφεί από τον Οργανισμό και χρηματοδοτηθεί από τις επιχορηγήσεις του ΕΟΧ και της Νορβηγίας· σημειώνει ότι, κατόπιν αξιολόγησης, συνήχθη το συμπέρασμα ότι η κατάσταση δεν συνιστούσε πραγματική σύγκρουση συμφερόντων· εκφράζει, ωστόσο, την ικανοποίησή του για τα μέτρα που ελήφθησαν με σκοπό τον μετριασμό αυτών των κινδύνων, μεταξύ άλλων το αίτημα να </w:t>
      </w:r>
      <w:proofErr w:type="spellStart"/>
      <w:r w:rsidR="00CD7ED9" w:rsidRPr="00E246BB">
        <w:t>επικαιροποιήσει</w:t>
      </w:r>
      <w:proofErr w:type="spellEnd"/>
      <w:r w:rsidR="00CD7ED9" w:rsidRPr="00E246BB">
        <w:t xml:space="preserve"> το ενδιαφερόμενο μέλος του ΔΣ τη δήλωση συμφερόντων του πριν από την επόμενη συνεδρίαση του ΔΣ, καθώς και το αίτημα προς το εν λόγω μέλος να απέχει από κάθε απόφαση που λαμβάνει το ΔΣ σε σχέση με το συγκεκριμένο έργο·</w:t>
      </w:r>
    </w:p>
    <w:p w:rsidR="00CD7ED9" w:rsidRPr="00E246BB" w:rsidRDefault="00CD7ED9" w:rsidP="00F94DE9">
      <w:pPr>
        <w:pStyle w:val="Normal12Hanging"/>
        <w:tabs>
          <w:tab w:val="left" w:pos="567"/>
        </w:tabs>
        <w:rPr>
          <w:b/>
          <w:i/>
          <w:szCs w:val="24"/>
        </w:rPr>
      </w:pPr>
      <w:r w:rsidRPr="00E246BB">
        <w:rPr>
          <w:b/>
          <w:i/>
        </w:rPr>
        <w:t>Εσωτερικός έλεγχος</w:t>
      </w:r>
    </w:p>
    <w:p w:rsidR="00CD7ED9" w:rsidRPr="00E246BB" w:rsidRDefault="0018576D" w:rsidP="0018576D">
      <w:pPr>
        <w:pStyle w:val="NormalHanging12a"/>
        <w:ind w:hanging="570"/>
        <w:rPr>
          <w:szCs w:val="24"/>
        </w:rPr>
      </w:pPr>
      <w:r w:rsidRPr="00E246BB">
        <w:rPr>
          <w:szCs w:val="24"/>
        </w:rPr>
        <w:t>23.</w:t>
      </w:r>
      <w:r w:rsidRPr="00E246BB">
        <w:rPr>
          <w:szCs w:val="24"/>
        </w:rPr>
        <w:tab/>
      </w:r>
      <w:r w:rsidR="00CD7ED9" w:rsidRPr="00E246BB">
        <w:t>σημειώνει ότι ο Οργανισμός αξιολόγησε το 2022 τα συστήματα εσωτερικού ελέγχου του και κατέληξε στο συμπέρασμα ότι είναι αποτελεσματικά και ότι οι συνιστώσες και οι αρχές υφίστανται και λειτουργούν εν γένει ικανοποιητικά, με ορισμένες ήσσονος σημασίας ελλείψεις που συνδέονται με τις αρχές 5, 13 και 14 σε σχέση με την έγκαιρη ολοκλήρωση της εκπόνησης της έκθεσης επαγγελματικής εξέλιξης, καθώς και την ανάγκη βελτίωσης της στρατηγικής για τη διαχείριση των ενδιαφερόμενων μερών όσον αφορά την εσωτερική και εξωτερική επικοινωνία·</w:t>
      </w:r>
    </w:p>
    <w:p w:rsidR="00CD7ED9" w:rsidRPr="00E246BB" w:rsidRDefault="0018576D" w:rsidP="0018576D">
      <w:pPr>
        <w:pStyle w:val="NormalHanging12a"/>
        <w:ind w:hanging="570"/>
        <w:rPr>
          <w:szCs w:val="24"/>
        </w:rPr>
      </w:pPr>
      <w:r w:rsidRPr="00E246BB">
        <w:rPr>
          <w:szCs w:val="24"/>
        </w:rPr>
        <w:t>24.</w:t>
      </w:r>
      <w:r w:rsidRPr="00E246BB">
        <w:rPr>
          <w:szCs w:val="24"/>
        </w:rPr>
        <w:tab/>
      </w:r>
      <w:r w:rsidR="00CD7ED9" w:rsidRPr="00E246BB">
        <w:t xml:space="preserve">σημειώνει ότι το σχέδιο δράσης, όσον αφορά τη στρατηγική του Οργανισμού για την καταπολέμηση της απάτης που </w:t>
      </w:r>
      <w:proofErr w:type="spellStart"/>
      <w:r w:rsidR="00CD7ED9" w:rsidRPr="00E246BB">
        <w:t>επικαιροποιήθηκε</w:t>
      </w:r>
      <w:proofErr w:type="spellEnd"/>
      <w:r w:rsidR="00CD7ED9" w:rsidRPr="00E246BB">
        <w:t xml:space="preserve"> το 2021, βρίσκεται στο στάδιο της υλοποίησης, με όλες τις προβλεπόμενες δράσεις, μεταξύ των οποίων περιλαμβάνονται ειδική αξιολόγηση του κινδύνου απάτης, ευαισθητοποίηση του προσωπικού σχετικά με τους κανόνες για την πρόληψη απάτης και την καταγγελία δυσλειτουργιών, και η έγκαιρη επικαιροποίηση του νομικού πλαισίου·</w:t>
      </w:r>
    </w:p>
    <w:p w:rsidR="00CD7ED9" w:rsidRPr="00E246BB" w:rsidRDefault="00CD7ED9" w:rsidP="00F94DE9">
      <w:pPr>
        <w:pStyle w:val="Normal12Hanging"/>
        <w:tabs>
          <w:tab w:val="left" w:pos="567"/>
        </w:tabs>
        <w:rPr>
          <w:b/>
          <w:i/>
          <w:szCs w:val="24"/>
        </w:rPr>
      </w:pPr>
      <w:r w:rsidRPr="00E246BB">
        <w:rPr>
          <w:b/>
          <w:i/>
        </w:rPr>
        <w:t>Λοιπ</w:t>
      </w:r>
      <w:r w:rsidR="0018576D">
        <w:rPr>
          <w:b/>
          <w:i/>
        </w:rPr>
        <w:t>ές παρατηρήσεις</w:t>
      </w:r>
    </w:p>
    <w:p w:rsidR="00CD7ED9" w:rsidRPr="00E246BB" w:rsidRDefault="0018576D" w:rsidP="0018576D">
      <w:pPr>
        <w:pStyle w:val="Normal12Hanging"/>
        <w:ind w:hanging="570"/>
        <w:rPr>
          <w:szCs w:val="24"/>
        </w:rPr>
      </w:pPr>
      <w:r w:rsidRPr="00E246BB">
        <w:rPr>
          <w:szCs w:val="24"/>
        </w:rPr>
        <w:t>25.</w:t>
      </w:r>
      <w:r w:rsidRPr="00E246BB">
        <w:rPr>
          <w:szCs w:val="24"/>
        </w:rPr>
        <w:tab/>
      </w:r>
      <w:r w:rsidR="00CD7ED9" w:rsidRPr="00E246BB">
        <w:t xml:space="preserve">εκφράζει την ικανοποίησή του για τις προσπάθειες του Οργανισμού να αυξήσει τη </w:t>
      </w:r>
      <w:r w:rsidR="00CD7ED9" w:rsidRPr="00E246BB">
        <w:lastRenderedPageBreak/>
        <w:t>δημόσια προβολή και τη διαδικτυακή παρουσία του· επαινεί τα βελτιωμένα συστήματα μέτρησης του Οργανισμού όσον αφορά τη χρήση διαφόρων πλατφορμών κοινωνικής δικτύωσης το 2022· σημειώνει ότι το 2022 ο Οργανισμός ανέπτυξε εκστρατεία στα μέσα κοινωνικής δικτύωσης με τίτλο «</w:t>
      </w:r>
      <w:proofErr w:type="spellStart"/>
      <w:r w:rsidR="00CD7ED9" w:rsidRPr="00E246BB">
        <w:t>Our</w:t>
      </w:r>
      <w:proofErr w:type="spellEnd"/>
      <w:r w:rsidR="00CD7ED9" w:rsidRPr="00E246BB">
        <w:t xml:space="preserve"> </w:t>
      </w:r>
      <w:proofErr w:type="spellStart"/>
      <w:r w:rsidR="00CD7ED9" w:rsidRPr="00E246BB">
        <w:t>Data</w:t>
      </w:r>
      <w:proofErr w:type="spellEnd"/>
      <w:r w:rsidR="00CD7ED9" w:rsidRPr="00E246BB">
        <w:t xml:space="preserve">, </w:t>
      </w:r>
      <w:proofErr w:type="spellStart"/>
      <w:r w:rsidR="00CD7ED9" w:rsidRPr="00E246BB">
        <w:t>Your</w:t>
      </w:r>
      <w:proofErr w:type="spellEnd"/>
      <w:r w:rsidR="00CD7ED9" w:rsidRPr="00E246BB">
        <w:t xml:space="preserve"> </w:t>
      </w:r>
      <w:proofErr w:type="spellStart"/>
      <w:r w:rsidR="00CD7ED9" w:rsidRPr="00E246BB">
        <w:t>Ally</w:t>
      </w:r>
      <w:proofErr w:type="spellEnd"/>
      <w:r w:rsidR="00CD7ED9" w:rsidRPr="00E246BB">
        <w:t>» (Τα δεδομένα μας σύμμαχός σας) για να ενημερώσει τους νέους σχετικά με δεδομένα όσον αφορά τη νεολαία που μπορούν να χρησιμοποιήσουν στο έργο τους για την προάσπιση δικαιωμάτων· σημειώνει περαιτέρω ότι το 2022 ο Οργανισμός (συν)διοργάνωσε 134 συνεδριάσεις και εκδηλώσεις, συμπεριλαμβανομένων εργαστηρίων και διαδικτυακών σεμιναρίων, και τη διεξαγωγή του τέταρτου διαλόγου για τα θεμελιώδη δικαιώματα στο Παρίσι, σε συνεργασία με τη γαλλική Προεδρία του Συμβουλίου, την Αντιπροσωπεία της Επιτροπής και το Γραφείο Συνδέσμου του Κοινοβουλίου στη Γαλλία και τον Δήμο του Παρισιού, καθώς και την πρώτη στο είδος της συνάντηση φορέων με ηγετική παρουσία και εμπειρογνωμόνων στον τομέα των ανθρωπίνων δικαιωμάτων με τίτλο «Θέτοντας τα ανθρώπινα δικαιώματα στο επίκεντρο του μέλλοντος της Ευρώπης», στην οποία συμμετείχαν 60 διαφορετικά ενδιαφερόμενα μέρη·</w:t>
      </w:r>
    </w:p>
    <w:p w:rsidR="00CD7ED9" w:rsidRPr="00E246BB" w:rsidRDefault="00CD7ED9" w:rsidP="00CD7ED9">
      <w:pPr>
        <w:pStyle w:val="NormalCenter12a"/>
      </w:pPr>
      <w:r w:rsidRPr="00E246BB">
        <w:t>°</w:t>
      </w:r>
    </w:p>
    <w:p w:rsidR="00CD7ED9" w:rsidRPr="00E246BB" w:rsidRDefault="00CD7ED9" w:rsidP="00CD7ED9">
      <w:pPr>
        <w:pStyle w:val="NormalCenter12a"/>
      </w:pPr>
      <w:r w:rsidRPr="00E246BB">
        <w:t>°</w:t>
      </w:r>
      <w:r w:rsidRPr="00E246BB">
        <w:tab/>
        <w:t>°</w:t>
      </w:r>
    </w:p>
    <w:p w:rsidR="00CD7ED9" w:rsidRPr="00E246BB" w:rsidRDefault="0018576D" w:rsidP="0018576D">
      <w:pPr>
        <w:pStyle w:val="NormalHanging12a"/>
        <w:ind w:hanging="570"/>
      </w:pPr>
      <w:r w:rsidRPr="00E246BB">
        <w:t>26.</w:t>
      </w:r>
      <w:r w:rsidRPr="00E246BB">
        <w:tab/>
      </w:r>
      <w:r w:rsidR="00CD7ED9" w:rsidRPr="00E246BB">
        <w:t xml:space="preserve">παραπέμπει, όσον αφορά άλλες παρατηρήσεις οριζόντιου χαρακτήρα που συνοδεύουν την απόφαση απαλλαγής, στο ψήφισμά του της </w:t>
      </w:r>
      <w:r w:rsidR="00D4055E">
        <w:t xml:space="preserve">11ης Απριλίου 2024 </w:t>
      </w:r>
      <w:r w:rsidR="00CD7ED9" w:rsidRPr="00E246BB">
        <w:rPr>
          <w:rStyle w:val="FootnoteReference"/>
        </w:rPr>
        <w:footnoteReference w:id="13"/>
      </w:r>
      <w:r w:rsidR="00CD7ED9" w:rsidRPr="00E246BB">
        <w:t xml:space="preserve"> σχετικά με τις επιδόσεις, τη χρηματοοικονομική διαχείριση και τον έλεγχο των οργανισμών.</w:t>
      </w:r>
    </w:p>
    <w:p w:rsidR="00E365E1" w:rsidRPr="00E246BB" w:rsidRDefault="00E365E1" w:rsidP="00D934C4">
      <w:bookmarkStart w:id="9" w:name="TextBodyEnd"/>
      <w:bookmarkEnd w:id="9"/>
    </w:p>
    <w:sectPr w:rsidR="00E365E1" w:rsidRPr="00E246BB" w:rsidSect="00E246B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4C4" w:rsidRPr="00E246BB" w:rsidRDefault="00D934C4">
      <w:r w:rsidRPr="00E246BB">
        <w:separator/>
      </w:r>
    </w:p>
  </w:endnote>
  <w:endnote w:type="continuationSeparator" w:id="0">
    <w:p w:rsidR="00D934C4" w:rsidRPr="00E246BB" w:rsidRDefault="00D934C4">
      <w:r w:rsidRPr="00E246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ED9" w:rsidRPr="00E246BB" w:rsidRDefault="00CD7ED9" w:rsidP="007C59DA">
    <w:pPr>
      <w:pStyle w:val="EPFooter"/>
    </w:pPr>
    <w:r w:rsidRPr="00E246BB">
      <w:t>PE</w:t>
    </w:r>
    <w:r w:rsidRPr="00E246BB">
      <w:rPr>
        <w:rStyle w:val="HideTWBExt"/>
      </w:rPr>
      <w:t>&lt;NoPE&gt;</w:t>
    </w:r>
    <w:r w:rsidRPr="00E246BB">
      <w:t>753.542</w:t>
    </w:r>
    <w:r w:rsidRPr="00E246BB">
      <w:rPr>
        <w:rStyle w:val="HideTWBExt"/>
      </w:rPr>
      <w:t>&lt;/NoPE&gt;&lt;Version&gt;</w:t>
    </w:r>
    <w:r w:rsidRPr="00E246BB">
      <w:t>v02-00</w:t>
    </w:r>
    <w:r w:rsidRPr="00E246BB">
      <w:rPr>
        <w:rStyle w:val="HideTWBExt"/>
      </w:rPr>
      <w:t>&lt;/Version&gt;</w:t>
    </w:r>
    <w:r w:rsidRPr="00E246BB">
      <w:tab/>
    </w:r>
    <w:r w:rsidRPr="00E246BB">
      <w:fldChar w:fldCharType="begin"/>
    </w:r>
    <w:r w:rsidRPr="00E246BB">
      <w:instrText xml:space="preserve"> PAGE  \* MERGEFORMAT </w:instrText>
    </w:r>
    <w:r w:rsidRPr="00E246BB">
      <w:fldChar w:fldCharType="separate"/>
    </w:r>
    <w:r w:rsidRPr="00E246BB">
      <w:rPr>
        <w:noProof/>
      </w:rPr>
      <w:t>4</w:t>
    </w:r>
    <w:r w:rsidRPr="00E246BB">
      <w:fldChar w:fldCharType="end"/>
    </w:r>
    <w:r w:rsidRPr="00E246BB">
      <w:t>/</w:t>
    </w:r>
    <w:fldSimple w:instr=" NUMPAGES  \* MERGEFORMAT ">
      <w:r w:rsidRPr="00E246BB">
        <w:rPr>
          <w:noProof/>
        </w:rPr>
        <w:t>4</w:t>
      </w:r>
    </w:fldSimple>
    <w:r w:rsidRPr="00E246BB">
      <w:tab/>
    </w:r>
    <w:r w:rsidRPr="00E246BB">
      <w:rPr>
        <w:rStyle w:val="HideTWBExt"/>
      </w:rPr>
      <w:t>&lt;PathFdR&gt;</w:t>
    </w:r>
    <w:r w:rsidRPr="00E246BB">
      <w:t>RR\1298898EL.docx</w:t>
    </w:r>
    <w:r w:rsidRPr="00E246BB">
      <w:rPr>
        <w:rStyle w:val="HideTWBExt"/>
      </w:rPr>
      <w:t>&lt;/PathFdR&gt;</w:t>
    </w:r>
  </w:p>
  <w:p w:rsidR="00CD7ED9" w:rsidRPr="00E246BB" w:rsidRDefault="00CD7ED9" w:rsidP="007C59DA">
    <w:pPr>
      <w:pStyle w:val="EPFooter2"/>
    </w:pPr>
    <w:r w:rsidRPr="00E246BB">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ED9" w:rsidRPr="00E246BB" w:rsidRDefault="00CD7ED9" w:rsidP="007C59DA">
    <w:pPr>
      <w:pStyle w:val="EPFooter"/>
    </w:pPr>
    <w:r w:rsidRPr="00E246BB">
      <w:rPr>
        <w:rStyle w:val="HideTWBExt"/>
      </w:rPr>
      <w:t>&lt;PathFdR&gt;</w:t>
    </w:r>
    <w:r w:rsidRPr="00E246BB">
      <w:t>RR\1298898EL.docx</w:t>
    </w:r>
    <w:r w:rsidRPr="00E246BB">
      <w:rPr>
        <w:rStyle w:val="HideTWBExt"/>
      </w:rPr>
      <w:t>&lt;/PathFdR&gt;</w:t>
    </w:r>
    <w:r w:rsidRPr="00E246BB">
      <w:tab/>
    </w:r>
    <w:r w:rsidRPr="00E246BB">
      <w:tab/>
      <w:t>PE</w:t>
    </w:r>
    <w:r w:rsidRPr="00E246BB">
      <w:rPr>
        <w:rStyle w:val="HideTWBExt"/>
      </w:rPr>
      <w:t>&lt;NoPE&gt;</w:t>
    </w:r>
    <w:r w:rsidRPr="00E246BB">
      <w:t>753.542</w:t>
    </w:r>
    <w:r w:rsidRPr="00E246BB">
      <w:rPr>
        <w:rStyle w:val="HideTWBExt"/>
      </w:rPr>
      <w:t>&lt;/NoPE&gt;&lt;Version&gt;</w:t>
    </w:r>
    <w:r w:rsidRPr="00E246BB">
      <w:t>v02-00</w:t>
    </w:r>
    <w:r w:rsidRPr="00E246BB">
      <w:rPr>
        <w:rStyle w:val="HideTWBExt"/>
      </w:rPr>
      <w:t>&lt;/Version&gt;</w:t>
    </w:r>
  </w:p>
  <w:p w:rsidR="00CD7ED9" w:rsidRPr="00E246BB" w:rsidRDefault="00CD7ED9" w:rsidP="007C59DA">
    <w:pPr>
      <w:pStyle w:val="EPFooter2"/>
    </w:pPr>
    <w:r w:rsidRPr="00E246BB">
      <w:t>EL</w:t>
    </w:r>
    <w:r w:rsidRPr="00E246BB">
      <w:tab/>
    </w:r>
    <w:r w:rsidRPr="00E246BB">
      <w:rPr>
        <w:b w:val="0"/>
        <w:i/>
        <w:color w:val="C0C0C0"/>
        <w:sz w:val="22"/>
      </w:rPr>
      <w:t>Ενωμένη στην πολυμορφία</w:t>
    </w:r>
    <w:r w:rsidRPr="00E246BB">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6B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6B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6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4C4" w:rsidRPr="00E246BB" w:rsidRDefault="00D934C4">
      <w:r w:rsidRPr="00E246BB">
        <w:separator/>
      </w:r>
    </w:p>
  </w:footnote>
  <w:footnote w:type="continuationSeparator" w:id="0">
    <w:p w:rsidR="00D934C4" w:rsidRPr="00E246BB" w:rsidRDefault="00D934C4">
      <w:r w:rsidRPr="00E246BB">
        <w:continuationSeparator/>
      </w:r>
    </w:p>
  </w:footnote>
  <w:footnote w:id="1">
    <w:p w:rsidR="00CD7ED9" w:rsidRPr="00E246BB" w:rsidRDefault="00CD7ED9" w:rsidP="00E246BB">
      <w:pPr>
        <w:pStyle w:val="FootnoteText"/>
        <w:ind w:left="567" w:hanging="567"/>
        <w:rPr>
          <w:sz w:val="24"/>
          <w:lang w:val="el-GR"/>
        </w:rPr>
      </w:pPr>
      <w:r w:rsidRPr="00E246BB">
        <w:rPr>
          <w:rStyle w:val="FootnoteReference"/>
          <w:sz w:val="24"/>
          <w:lang w:val="el-GR"/>
        </w:rPr>
        <w:footnoteRef/>
      </w:r>
      <w:r w:rsidR="00E246BB" w:rsidRPr="00E246BB">
        <w:rPr>
          <w:sz w:val="24"/>
          <w:lang w:val="el-GR"/>
        </w:rPr>
        <w:t xml:space="preserve"> </w:t>
      </w:r>
      <w:r w:rsidR="00E246BB" w:rsidRPr="00E246BB">
        <w:rPr>
          <w:sz w:val="24"/>
          <w:lang w:val="el-GR"/>
        </w:rPr>
        <w:tab/>
      </w:r>
      <w:r w:rsidRPr="00E246BB">
        <w:rPr>
          <w:sz w:val="24"/>
          <w:lang w:val="el-GR"/>
        </w:rPr>
        <w:t>ΕΕ C, C/2023/594, 27.10.2023.</w:t>
      </w:r>
    </w:p>
  </w:footnote>
  <w:footnote w:id="2">
    <w:p w:rsidR="00CD7ED9" w:rsidRPr="00E246BB" w:rsidRDefault="00CD7ED9" w:rsidP="00E246BB">
      <w:pPr>
        <w:pStyle w:val="FootnoteText"/>
        <w:ind w:left="567" w:hanging="567"/>
        <w:rPr>
          <w:sz w:val="24"/>
          <w:lang w:val="el-GR"/>
        </w:rPr>
      </w:pPr>
      <w:r w:rsidRPr="00E246BB">
        <w:rPr>
          <w:rStyle w:val="FootnoteReference"/>
          <w:sz w:val="24"/>
          <w:lang w:val="el-GR"/>
        </w:rPr>
        <w:footnoteRef/>
      </w:r>
      <w:r w:rsidR="00E246BB" w:rsidRPr="00E246BB">
        <w:rPr>
          <w:sz w:val="24"/>
          <w:lang w:val="el-GR"/>
        </w:rPr>
        <w:t xml:space="preserve"> </w:t>
      </w:r>
      <w:r w:rsidR="00E246BB" w:rsidRPr="00E246BB">
        <w:rPr>
          <w:sz w:val="24"/>
          <w:lang w:val="el-GR"/>
        </w:rPr>
        <w:tab/>
      </w:r>
      <w:r w:rsidRPr="00E246BB">
        <w:rPr>
          <w:sz w:val="24"/>
          <w:lang w:val="el-GR"/>
        </w:rPr>
        <w:t>ΕΕ C, C/2023/112, 12.10.2023.</w:t>
      </w:r>
    </w:p>
  </w:footnote>
  <w:footnote w:id="3">
    <w:p w:rsidR="00CD7ED9" w:rsidRPr="00E246BB" w:rsidRDefault="00CD7ED9" w:rsidP="00E246BB">
      <w:pPr>
        <w:pStyle w:val="FootnoteText"/>
        <w:ind w:left="567" w:hanging="567"/>
        <w:rPr>
          <w:sz w:val="24"/>
          <w:lang w:val="el-GR"/>
        </w:rPr>
      </w:pPr>
      <w:r w:rsidRPr="00E246BB">
        <w:rPr>
          <w:rStyle w:val="FootnoteReference"/>
          <w:sz w:val="24"/>
          <w:lang w:val="el-GR"/>
        </w:rPr>
        <w:footnoteRef/>
      </w:r>
      <w:r w:rsidR="00E246BB" w:rsidRPr="00E246BB">
        <w:rPr>
          <w:sz w:val="24"/>
          <w:lang w:val="el-GR"/>
        </w:rPr>
        <w:t xml:space="preserve"> </w:t>
      </w:r>
      <w:r w:rsidR="00E246BB" w:rsidRPr="00E246BB">
        <w:rPr>
          <w:sz w:val="24"/>
          <w:lang w:val="el-GR"/>
        </w:rPr>
        <w:tab/>
      </w:r>
      <w:r w:rsidRPr="00E246BB">
        <w:rPr>
          <w:sz w:val="24"/>
          <w:lang w:val="el-GR"/>
        </w:rPr>
        <w:t>ΕΕ L 193 της 30.7.2018, σ. 1.</w:t>
      </w:r>
    </w:p>
  </w:footnote>
  <w:footnote w:id="4">
    <w:p w:rsidR="00CD7ED9" w:rsidRPr="00E246BB" w:rsidRDefault="00CD7ED9" w:rsidP="00E246BB">
      <w:pPr>
        <w:pStyle w:val="FootnoteText"/>
        <w:ind w:left="567" w:hanging="567"/>
        <w:rPr>
          <w:sz w:val="24"/>
          <w:lang w:val="el-GR"/>
        </w:rPr>
      </w:pPr>
      <w:r w:rsidRPr="00E246BB">
        <w:rPr>
          <w:rStyle w:val="FootnoteReference"/>
          <w:sz w:val="24"/>
          <w:lang w:val="el-GR"/>
        </w:rPr>
        <w:footnoteRef/>
      </w:r>
      <w:r w:rsidR="00E246BB" w:rsidRPr="00E246BB">
        <w:rPr>
          <w:sz w:val="24"/>
          <w:lang w:val="el-GR"/>
        </w:rPr>
        <w:t xml:space="preserve"> </w:t>
      </w:r>
      <w:r w:rsidR="00E246BB" w:rsidRPr="00E246BB">
        <w:rPr>
          <w:sz w:val="24"/>
          <w:lang w:val="el-GR"/>
        </w:rPr>
        <w:tab/>
      </w:r>
      <w:r w:rsidRPr="00E246BB">
        <w:rPr>
          <w:sz w:val="24"/>
          <w:lang w:val="el-GR"/>
        </w:rPr>
        <w:t>ΕΕ L 53 της 22.2.2007, σ. 1.</w:t>
      </w:r>
    </w:p>
  </w:footnote>
  <w:footnote w:id="5">
    <w:p w:rsidR="00CD7ED9" w:rsidRPr="00E246BB" w:rsidRDefault="00CD7ED9" w:rsidP="00E246BB">
      <w:pPr>
        <w:pStyle w:val="FootnoteText"/>
        <w:ind w:left="567" w:hanging="567"/>
        <w:rPr>
          <w:sz w:val="24"/>
          <w:szCs w:val="24"/>
          <w:lang w:val="el-GR"/>
        </w:rPr>
      </w:pPr>
      <w:r w:rsidRPr="00E246BB">
        <w:rPr>
          <w:rStyle w:val="FootnoteReference"/>
          <w:sz w:val="24"/>
          <w:lang w:val="el-GR"/>
        </w:rPr>
        <w:footnoteRef/>
      </w:r>
      <w:r w:rsidR="00E246BB" w:rsidRPr="00E246BB">
        <w:rPr>
          <w:sz w:val="24"/>
          <w:lang w:val="el-GR"/>
        </w:rPr>
        <w:t xml:space="preserve"> </w:t>
      </w:r>
      <w:r w:rsidR="00E246BB" w:rsidRPr="00E246BB">
        <w:rPr>
          <w:sz w:val="24"/>
          <w:lang w:val="el-GR"/>
        </w:rPr>
        <w:tab/>
      </w:r>
      <w:r w:rsidRPr="00E246BB">
        <w:rPr>
          <w:sz w:val="24"/>
          <w:lang w:val="el-GR"/>
        </w:rPr>
        <w:t>ΕΕ L 122 της 10.5.2019, σ. 1.</w:t>
      </w:r>
    </w:p>
  </w:footnote>
  <w:footnote w:id="6">
    <w:p w:rsidR="00CD7ED9" w:rsidRPr="00E246BB" w:rsidRDefault="00CD7ED9" w:rsidP="00E246BB">
      <w:pPr>
        <w:pStyle w:val="FootnoteText"/>
        <w:ind w:left="567" w:hanging="567"/>
        <w:rPr>
          <w:sz w:val="24"/>
          <w:lang w:val="el-GR"/>
        </w:rPr>
      </w:pPr>
      <w:r w:rsidRPr="00E246BB">
        <w:rPr>
          <w:rStyle w:val="FootnoteReference"/>
          <w:sz w:val="24"/>
          <w:lang w:val="el-GR"/>
        </w:rPr>
        <w:footnoteRef/>
      </w:r>
      <w:r w:rsidR="00E246BB" w:rsidRPr="00E246BB">
        <w:rPr>
          <w:sz w:val="24"/>
          <w:lang w:val="el-GR"/>
        </w:rPr>
        <w:t xml:space="preserve"> </w:t>
      </w:r>
      <w:r w:rsidR="00E246BB" w:rsidRPr="00E246BB">
        <w:rPr>
          <w:sz w:val="24"/>
          <w:lang w:val="el-GR"/>
        </w:rPr>
        <w:tab/>
      </w:r>
      <w:r w:rsidRPr="00E246BB">
        <w:rPr>
          <w:sz w:val="24"/>
          <w:lang w:val="el-GR"/>
        </w:rPr>
        <w:t>ΕΕ C, C/2023/594, 27.10.2023.</w:t>
      </w:r>
    </w:p>
  </w:footnote>
  <w:footnote w:id="7">
    <w:p w:rsidR="00CD7ED9" w:rsidRPr="00E246BB" w:rsidRDefault="00CD7ED9" w:rsidP="00E246BB">
      <w:pPr>
        <w:pStyle w:val="FootnoteText"/>
        <w:ind w:left="567" w:hanging="567"/>
        <w:rPr>
          <w:sz w:val="24"/>
          <w:lang w:val="el-GR"/>
        </w:rPr>
      </w:pPr>
      <w:r w:rsidRPr="00E246BB">
        <w:rPr>
          <w:rStyle w:val="FootnoteReference"/>
          <w:sz w:val="24"/>
          <w:lang w:val="el-GR"/>
        </w:rPr>
        <w:footnoteRef/>
      </w:r>
      <w:r w:rsidR="00E246BB" w:rsidRPr="00E246BB">
        <w:rPr>
          <w:sz w:val="24"/>
          <w:lang w:val="el-GR"/>
        </w:rPr>
        <w:t xml:space="preserve"> </w:t>
      </w:r>
      <w:r w:rsidR="00E246BB" w:rsidRPr="00E246BB">
        <w:rPr>
          <w:sz w:val="24"/>
          <w:lang w:val="el-GR"/>
        </w:rPr>
        <w:tab/>
      </w:r>
      <w:r w:rsidRPr="00E246BB">
        <w:rPr>
          <w:sz w:val="24"/>
          <w:lang w:val="el-GR"/>
        </w:rPr>
        <w:t>ΕΕ C, C/2023/112, 12.10.2023.</w:t>
      </w:r>
    </w:p>
  </w:footnote>
  <w:footnote w:id="8">
    <w:p w:rsidR="00CD7ED9" w:rsidRPr="00E246BB" w:rsidRDefault="00CD7ED9" w:rsidP="00E246BB">
      <w:pPr>
        <w:pStyle w:val="FootnoteText"/>
        <w:ind w:left="567" w:hanging="567"/>
        <w:rPr>
          <w:sz w:val="24"/>
          <w:lang w:val="el-GR"/>
        </w:rPr>
      </w:pPr>
      <w:r w:rsidRPr="00E246BB">
        <w:rPr>
          <w:rStyle w:val="FootnoteReference"/>
          <w:sz w:val="24"/>
          <w:lang w:val="el-GR"/>
        </w:rPr>
        <w:footnoteRef/>
      </w:r>
      <w:r w:rsidR="00E246BB" w:rsidRPr="00E246BB">
        <w:rPr>
          <w:sz w:val="24"/>
          <w:lang w:val="el-GR"/>
        </w:rPr>
        <w:t xml:space="preserve"> </w:t>
      </w:r>
      <w:r w:rsidR="00E246BB" w:rsidRPr="00E246BB">
        <w:rPr>
          <w:sz w:val="24"/>
          <w:lang w:val="el-GR"/>
        </w:rPr>
        <w:tab/>
      </w:r>
      <w:r w:rsidRPr="00E246BB">
        <w:rPr>
          <w:sz w:val="24"/>
          <w:lang w:val="el-GR"/>
        </w:rPr>
        <w:t>ΕΕ L 193 της 30.7.2018, σ. 1.</w:t>
      </w:r>
    </w:p>
  </w:footnote>
  <w:footnote w:id="9">
    <w:p w:rsidR="00CD7ED9" w:rsidRPr="00E246BB" w:rsidRDefault="00CD7ED9" w:rsidP="00E246BB">
      <w:pPr>
        <w:pStyle w:val="FootnoteText"/>
        <w:ind w:left="567" w:hanging="567"/>
        <w:rPr>
          <w:sz w:val="24"/>
          <w:lang w:val="el-GR"/>
        </w:rPr>
      </w:pPr>
      <w:r w:rsidRPr="00E246BB">
        <w:rPr>
          <w:rStyle w:val="FootnoteReference"/>
          <w:sz w:val="24"/>
          <w:lang w:val="el-GR"/>
        </w:rPr>
        <w:footnoteRef/>
      </w:r>
      <w:r w:rsidR="00E246BB" w:rsidRPr="00E246BB">
        <w:rPr>
          <w:sz w:val="24"/>
          <w:lang w:val="el-GR"/>
        </w:rPr>
        <w:t xml:space="preserve"> </w:t>
      </w:r>
      <w:r w:rsidR="00E246BB" w:rsidRPr="00E246BB">
        <w:rPr>
          <w:sz w:val="24"/>
          <w:lang w:val="el-GR"/>
        </w:rPr>
        <w:tab/>
      </w:r>
      <w:r w:rsidRPr="00E246BB">
        <w:rPr>
          <w:sz w:val="24"/>
          <w:lang w:val="el-GR"/>
        </w:rPr>
        <w:t>ΕΕ L 53 της 22.2.2007, σ. 1.</w:t>
      </w:r>
    </w:p>
  </w:footnote>
  <w:footnote w:id="10">
    <w:p w:rsidR="00CD7ED9" w:rsidRPr="00E246BB" w:rsidRDefault="00CD7ED9" w:rsidP="00E246BB">
      <w:pPr>
        <w:pStyle w:val="FootnoteText"/>
        <w:ind w:left="567" w:hanging="567"/>
        <w:rPr>
          <w:sz w:val="24"/>
          <w:szCs w:val="24"/>
          <w:lang w:val="el-GR"/>
        </w:rPr>
      </w:pPr>
      <w:r w:rsidRPr="00E246BB">
        <w:rPr>
          <w:rStyle w:val="FootnoteReference"/>
          <w:sz w:val="24"/>
          <w:lang w:val="el-GR"/>
        </w:rPr>
        <w:footnoteRef/>
      </w:r>
      <w:r w:rsidR="00E246BB" w:rsidRPr="00E246BB">
        <w:rPr>
          <w:sz w:val="24"/>
          <w:lang w:val="el-GR"/>
        </w:rPr>
        <w:t xml:space="preserve"> </w:t>
      </w:r>
      <w:r w:rsidR="00E246BB" w:rsidRPr="00E246BB">
        <w:rPr>
          <w:sz w:val="24"/>
          <w:lang w:val="el-GR"/>
        </w:rPr>
        <w:tab/>
      </w:r>
      <w:r w:rsidRPr="00E246BB">
        <w:rPr>
          <w:sz w:val="24"/>
          <w:lang w:val="el-GR"/>
        </w:rPr>
        <w:t>ΕΕ L 122 της 10.5.2019, σ. 1.</w:t>
      </w:r>
    </w:p>
  </w:footnote>
  <w:footnote w:id="11">
    <w:p w:rsidR="00CD7ED9" w:rsidRPr="00E246BB" w:rsidRDefault="00CD7ED9" w:rsidP="00E246BB">
      <w:pPr>
        <w:pStyle w:val="FootnoteText"/>
        <w:ind w:left="567" w:hanging="567"/>
        <w:rPr>
          <w:sz w:val="24"/>
          <w:lang w:val="el-GR"/>
        </w:rPr>
      </w:pPr>
      <w:r w:rsidRPr="00E246BB">
        <w:rPr>
          <w:rStyle w:val="FootnoteReference"/>
          <w:sz w:val="24"/>
          <w:lang w:val="el-GR"/>
        </w:rPr>
        <w:footnoteRef/>
      </w:r>
      <w:r w:rsidR="00E246BB" w:rsidRPr="00E246BB">
        <w:rPr>
          <w:sz w:val="24"/>
          <w:lang w:val="el-GR"/>
        </w:rPr>
        <w:t xml:space="preserve"> </w:t>
      </w:r>
      <w:r w:rsidR="00E246BB" w:rsidRPr="00E246BB">
        <w:rPr>
          <w:sz w:val="24"/>
          <w:lang w:val="el-GR"/>
        </w:rPr>
        <w:tab/>
      </w:r>
      <w:r w:rsidRPr="00E246BB">
        <w:rPr>
          <w:sz w:val="24"/>
          <w:lang w:val="el-GR"/>
        </w:rPr>
        <w:t>ΕΕ C 38 της 31.1.2023, σ. 189.</w:t>
      </w:r>
    </w:p>
  </w:footnote>
  <w:footnote w:id="12">
    <w:p w:rsidR="00CD7ED9" w:rsidRPr="00E246BB" w:rsidRDefault="00CD7ED9" w:rsidP="00E246BB">
      <w:pPr>
        <w:ind w:left="567" w:hanging="567"/>
      </w:pPr>
      <w:r w:rsidRPr="00E246BB">
        <w:rPr>
          <w:rStyle w:val="FootnoteReference"/>
        </w:rPr>
        <w:footnoteRef/>
      </w:r>
      <w:r w:rsidR="00E246BB" w:rsidRPr="00E246BB">
        <w:t xml:space="preserve"> </w:t>
      </w:r>
      <w:r w:rsidR="00E246BB" w:rsidRPr="00E246BB">
        <w:tab/>
      </w:r>
      <w:r w:rsidRPr="00E246BB">
        <w:t xml:space="preserve">Οδηγία 2001/55/ΕΚ του Συμβουλίου, της 20ής Ιουλίου 2001, σχετικά με τις ελάχιστες προδιαγραφές παροχής προσωρινής προστασίας σε περίπτωση μαζικής εισροής </w:t>
      </w:r>
      <w:proofErr w:type="spellStart"/>
      <w:r w:rsidRPr="00E246BB">
        <w:t>εκτοπισθέντων</w:t>
      </w:r>
      <w:proofErr w:type="spellEnd"/>
      <w:r w:rsidRPr="00E246BB">
        <w:t xml:space="preserve">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w:t>
      </w:r>
    </w:p>
  </w:footnote>
  <w:footnote w:id="13">
    <w:p w:rsidR="00CD7ED9" w:rsidRPr="00E246BB" w:rsidRDefault="00CD7ED9" w:rsidP="00E246BB">
      <w:pPr>
        <w:pStyle w:val="FootnoteText"/>
        <w:ind w:left="567" w:hanging="567"/>
        <w:rPr>
          <w:sz w:val="24"/>
          <w:lang w:val="el-GR"/>
        </w:rPr>
      </w:pPr>
      <w:r w:rsidRPr="00E246BB">
        <w:rPr>
          <w:rStyle w:val="FootnoteReference"/>
          <w:sz w:val="24"/>
          <w:lang w:val="el-GR"/>
        </w:rPr>
        <w:footnoteRef/>
      </w:r>
      <w:r w:rsidR="00E246BB" w:rsidRPr="00E246BB">
        <w:rPr>
          <w:sz w:val="24"/>
          <w:lang w:val="el-GR"/>
        </w:rPr>
        <w:t xml:space="preserve"> </w:t>
      </w:r>
      <w:r w:rsidR="00E246BB" w:rsidRPr="00E246BB">
        <w:rPr>
          <w:sz w:val="24"/>
          <w:lang w:val="el-GR"/>
        </w:rPr>
        <w:tab/>
      </w:r>
      <w:r w:rsidRPr="00E246BB">
        <w:rPr>
          <w:sz w:val="24"/>
          <w:lang w:val="el-GR"/>
        </w:rPr>
        <w:t>Κείμενα που εγκρίθηκαν, P9_TA(2024)0</w:t>
      </w:r>
      <w:r w:rsidR="0018576D">
        <w:rPr>
          <w:sz w:val="24"/>
          <w:lang w:val="el-GR"/>
        </w:rPr>
        <w:t>280</w:t>
      </w:r>
      <w:r w:rsidRPr="00E246BB">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6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6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6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341C8"/>
    <w:multiLevelType w:val="hybridMultilevel"/>
    <w:tmpl w:val="889650A0"/>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C6D5539"/>
    <w:multiLevelType w:val="hybridMultilevel"/>
    <w:tmpl w:val="7FC40D4E"/>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CE72C03"/>
    <w:multiLevelType w:val="hybridMultilevel"/>
    <w:tmpl w:val="71181F38"/>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124462A"/>
    <w:multiLevelType w:val="hybridMultilevel"/>
    <w:tmpl w:val="FE7EAF5A"/>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1B0327"/>
    <w:multiLevelType w:val="hybridMultilevel"/>
    <w:tmpl w:val="4148BF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62B62D32"/>
    <w:multiLevelType w:val="hybridMultilevel"/>
    <w:tmpl w:val="0858998C"/>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6"/>
  </w:num>
  <w:num w:numId="45">
    <w:abstractNumId w:val="15"/>
  </w:num>
  <w:num w:numId="46">
    <w:abstractNumId w:val="10"/>
  </w:num>
  <w:num w:numId="47">
    <w:abstractNumId w:val="12"/>
  </w:num>
  <w:num w:numId="48">
    <w:abstractNumId w:val="17"/>
  </w:num>
  <w:num w:numId="49">
    <w:abstractNumId w:val="13"/>
  </w:num>
  <w:num w:numId="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EL"/>
    <w:docVar w:name="dvnumam" w:val="0"/>
    <w:docVar w:name="dvpe" w:val="753.542"/>
    <w:docVar w:name="dvrapporteur" w:val="Εισηγητής: "/>
    <w:docVar w:name="dvtitre" w:val="Απόφαση του Ευρωπαϊκού Κοινοβουλίου σχετικά με την απαλλαγή όσον αφορά την εκτέλεση του προϋπολογισμού του Οργανισμού Θεμελιωδών Δικαιωμάτων της Ευρωπαϊκής Ένωσης για το οικονομικό έτος 2022(2023/2171(DEC))"/>
  </w:docVars>
  <w:rsids>
    <w:rsidRoot w:val="00D934C4"/>
    <w:rsid w:val="00002272"/>
    <w:rsid w:val="00064002"/>
    <w:rsid w:val="000677B9"/>
    <w:rsid w:val="00081974"/>
    <w:rsid w:val="000831BA"/>
    <w:rsid w:val="000A42CC"/>
    <w:rsid w:val="000E7DD9"/>
    <w:rsid w:val="0010095E"/>
    <w:rsid w:val="00125B37"/>
    <w:rsid w:val="0018576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ED9"/>
    <w:rsid w:val="00CF071A"/>
    <w:rsid w:val="00D058B8"/>
    <w:rsid w:val="00D4055E"/>
    <w:rsid w:val="00D40A31"/>
    <w:rsid w:val="00D56C11"/>
    <w:rsid w:val="00D834A0"/>
    <w:rsid w:val="00D872DF"/>
    <w:rsid w:val="00D91E21"/>
    <w:rsid w:val="00D934C4"/>
    <w:rsid w:val="00DA7FCD"/>
    <w:rsid w:val="00E246BB"/>
    <w:rsid w:val="00E365E1"/>
    <w:rsid w:val="00E820A4"/>
    <w:rsid w:val="00EB006A"/>
    <w:rsid w:val="00EB4772"/>
    <w:rsid w:val="00ED169E"/>
    <w:rsid w:val="00ED4235"/>
    <w:rsid w:val="00F04346"/>
    <w:rsid w:val="00F075DC"/>
    <w:rsid w:val="00F149E9"/>
    <w:rsid w:val="00F5134D"/>
    <w:rsid w:val="00F74202"/>
    <w:rsid w:val="00F87713"/>
    <w:rsid w:val="00F94DE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8AB356"/>
  <w15:chartTrackingRefBased/>
  <w15:docId w15:val="{552B78AC-F521-4F89-9A71-39D5A2E1E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D7ED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D7ED9"/>
    <w:pPr>
      <w:spacing w:before="480" w:after="240"/>
    </w:pPr>
  </w:style>
  <w:style w:type="paragraph" w:customStyle="1" w:styleId="PageHeading">
    <w:name w:val="PageHeading"/>
    <w:basedOn w:val="Normal"/>
    <w:rsid w:val="00CD7ED9"/>
    <w:pPr>
      <w:keepNext/>
      <w:spacing w:after="480"/>
      <w:jc w:val="center"/>
    </w:pPr>
    <w:rPr>
      <w:rFonts w:ascii="Arial" w:hAnsi="Arial" w:cs="Arial"/>
      <w:b/>
    </w:rPr>
  </w:style>
  <w:style w:type="paragraph" w:customStyle="1" w:styleId="NormalBold">
    <w:name w:val="NormalBold"/>
    <w:basedOn w:val="Normal"/>
    <w:rsid w:val="00CD7ED9"/>
    <w:rPr>
      <w:b/>
    </w:rPr>
  </w:style>
  <w:style w:type="paragraph" w:customStyle="1" w:styleId="NormalHanging12a">
    <w:name w:val="NormalHanging12a"/>
    <w:basedOn w:val="Normal"/>
    <w:link w:val="NormalHanging12aChar"/>
    <w:rsid w:val="00CD7ED9"/>
    <w:pPr>
      <w:spacing w:after="240"/>
      <w:ind w:left="567" w:hanging="567"/>
    </w:pPr>
  </w:style>
  <w:style w:type="paragraph" w:customStyle="1" w:styleId="NormalCenter12a">
    <w:name w:val="NormalCenter12a"/>
    <w:basedOn w:val="Normal"/>
    <w:rsid w:val="00CD7ED9"/>
    <w:pPr>
      <w:spacing w:after="240"/>
      <w:jc w:val="center"/>
    </w:pPr>
  </w:style>
  <w:style w:type="paragraph" w:styleId="Header">
    <w:name w:val="header"/>
    <w:basedOn w:val="Normal"/>
    <w:link w:val="HeaderChar"/>
    <w:rsid w:val="00CD7ED9"/>
    <w:pPr>
      <w:tabs>
        <w:tab w:val="center" w:pos="4513"/>
        <w:tab w:val="right" w:pos="9026"/>
      </w:tabs>
    </w:pPr>
  </w:style>
  <w:style w:type="character" w:customStyle="1" w:styleId="HeaderChar">
    <w:name w:val="Header Char"/>
    <w:basedOn w:val="DefaultParagraphFont"/>
    <w:link w:val="Header"/>
    <w:rsid w:val="00CD7ED9"/>
    <w:rPr>
      <w:sz w:val="24"/>
      <w:lang w:val="el-GR"/>
    </w:rPr>
  </w:style>
  <w:style w:type="paragraph" w:customStyle="1" w:styleId="EPFooter">
    <w:name w:val="EPFooter"/>
    <w:basedOn w:val="Normal"/>
    <w:rsid w:val="00CD7ED9"/>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CD7ED9"/>
    <w:rPr>
      <w:sz w:val="24"/>
      <w:lang w:val="el-GR"/>
    </w:rPr>
  </w:style>
  <w:style w:type="paragraph" w:customStyle="1" w:styleId="Normal12Hanging">
    <w:name w:val="Normal12Hanging"/>
    <w:basedOn w:val="Normal"/>
    <w:rsid w:val="00CD7ED9"/>
    <w:pPr>
      <w:spacing w:after="240"/>
      <w:ind w:left="567" w:hanging="567"/>
    </w:pPr>
  </w:style>
  <w:style w:type="paragraph" w:styleId="Footer">
    <w:name w:val="footer"/>
    <w:basedOn w:val="Normal"/>
    <w:link w:val="FooterChar"/>
    <w:rsid w:val="00F94DE9"/>
    <w:pPr>
      <w:tabs>
        <w:tab w:val="center" w:pos="4513"/>
        <w:tab w:val="right" w:pos="9026"/>
      </w:tabs>
    </w:pPr>
  </w:style>
  <w:style w:type="character" w:customStyle="1" w:styleId="FooterChar">
    <w:name w:val="Footer Char"/>
    <w:basedOn w:val="DefaultParagraphFont"/>
    <w:link w:val="Footer"/>
    <w:rsid w:val="00F94DE9"/>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ACC6D-698E-40DC-AE34-AC2CB1EE5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4312</Words>
  <Characters>25918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Karina Pesa</cp:lastModifiedBy>
  <cp:revision>3</cp:revision>
  <cp:lastPrinted>2004-11-19T15:42:00Z</cp:lastPrinted>
  <dcterms:created xsi:type="dcterms:W3CDTF">2024-04-11T11:09:00Z</dcterms:created>
  <dcterms:modified xsi:type="dcterms:W3CDTF">2024-10-31T07:42:00Z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A9-0112/2024</vt:lpwstr>
  </property>
  <property fmtid="{D5CDD505-2E9C-101B-9397-08002B2CF9AE}" pid="4" name="&lt;Type&gt;">
    <vt:lpwstr>RR</vt:lpwstr>
  </property>
</Properties>
</file>