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6D4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B6D43" w:rsidRDefault="00033C02" w:rsidP="0010095E">
            <w:pPr>
              <w:pStyle w:val="EPName"/>
            </w:pPr>
            <w:r w:rsidRPr="004B6D43">
              <w:t>Europski parlament</w:t>
            </w:r>
          </w:p>
          <w:p w:rsidR="00751A4A" w:rsidRPr="004B6D4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6D4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4B6D43" w:rsidRDefault="00187494" w:rsidP="0010095E">
            <w:pPr>
              <w:pStyle w:val="EPLogo"/>
            </w:pPr>
            <w:r w:rsidRPr="004B6D4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B6D43" w:rsidRDefault="00D058B8" w:rsidP="004C5D52">
      <w:pPr>
        <w:pStyle w:val="LineTop"/>
      </w:pPr>
    </w:p>
    <w:p w:rsidR="00680577" w:rsidRPr="004B6D43" w:rsidRDefault="00033C02" w:rsidP="00680577">
      <w:pPr>
        <w:pStyle w:val="EPBodyTA1"/>
      </w:pPr>
      <w:r w:rsidRPr="004B6D43">
        <w:t>USVOJENI TEKSTOVI</w:t>
      </w:r>
    </w:p>
    <w:p w:rsidR="00D058B8" w:rsidRPr="004B6D43" w:rsidRDefault="00D058B8" w:rsidP="00D058B8">
      <w:pPr>
        <w:pStyle w:val="LineBottom"/>
      </w:pPr>
    </w:p>
    <w:p w:rsidR="00033C02" w:rsidRPr="004B6D43" w:rsidRDefault="00033C02" w:rsidP="00033C02">
      <w:pPr>
        <w:pStyle w:val="ATHeading1"/>
      </w:pPr>
      <w:bookmarkStart w:id="0" w:name="TANumber"/>
      <w:r w:rsidRPr="004B6D43">
        <w:t>P9_TA(2024)0</w:t>
      </w:r>
      <w:r w:rsidR="005C0B1B">
        <w:t>240</w:t>
      </w:r>
      <w:bookmarkEnd w:id="0"/>
    </w:p>
    <w:p w:rsidR="00033C02" w:rsidRPr="004B6D43" w:rsidRDefault="00033C02" w:rsidP="00033C02">
      <w:pPr>
        <w:pStyle w:val="ATHeading2"/>
      </w:pPr>
      <w:bookmarkStart w:id="1" w:name="title"/>
      <w:r w:rsidRPr="004B6D43">
        <w:t>Razrješnica za 2022.: Agencija Europske unije za temeljna prava</w:t>
      </w:r>
      <w:bookmarkEnd w:id="1"/>
    </w:p>
    <w:p w:rsidR="00033C02" w:rsidRPr="004B6D43" w:rsidRDefault="00033C02" w:rsidP="00033C02">
      <w:pPr>
        <w:rPr>
          <w:i/>
          <w:vanish/>
        </w:rPr>
      </w:pPr>
      <w:r w:rsidRPr="004B6D43">
        <w:rPr>
          <w:i/>
        </w:rPr>
        <w:fldChar w:fldCharType="begin"/>
      </w:r>
      <w:r w:rsidRPr="004B6D43">
        <w:rPr>
          <w:i/>
        </w:rPr>
        <w:instrText xml:space="preserve"> TC"(</w:instrText>
      </w:r>
      <w:bookmarkStart w:id="2" w:name="DocNumber"/>
      <w:r w:rsidRPr="004B6D43">
        <w:rPr>
          <w:i/>
        </w:rPr>
        <w:instrText>A9-0112/2024</w:instrText>
      </w:r>
      <w:bookmarkEnd w:id="2"/>
      <w:r w:rsidRPr="004B6D43">
        <w:rPr>
          <w:i/>
        </w:rPr>
        <w:instrText xml:space="preserve"> - Izvjestitelj: Petri Sarvamaa)"\l3 \n&gt; \* MERGEFORMAT </w:instrText>
      </w:r>
      <w:r w:rsidRPr="004B6D43">
        <w:rPr>
          <w:i/>
        </w:rPr>
        <w:fldChar w:fldCharType="end"/>
      </w:r>
    </w:p>
    <w:p w:rsidR="00033C02" w:rsidRPr="004B6D43" w:rsidRDefault="00033C02" w:rsidP="00033C02">
      <w:pPr>
        <w:rPr>
          <w:vanish/>
        </w:rPr>
      </w:pPr>
      <w:bookmarkStart w:id="3" w:name="Commission"/>
      <w:r w:rsidRPr="004B6D43">
        <w:rPr>
          <w:vanish/>
        </w:rPr>
        <w:t>Odbor za proračunski nadzor</w:t>
      </w:r>
      <w:bookmarkEnd w:id="3"/>
    </w:p>
    <w:p w:rsidR="00033C02" w:rsidRPr="004B6D43" w:rsidRDefault="00033C02" w:rsidP="00033C02">
      <w:pPr>
        <w:rPr>
          <w:vanish/>
        </w:rPr>
      </w:pPr>
      <w:bookmarkStart w:id="4" w:name="PE"/>
      <w:r w:rsidRPr="004B6D43">
        <w:rPr>
          <w:vanish/>
        </w:rPr>
        <w:t>PE753.542</w:t>
      </w:r>
      <w:bookmarkEnd w:id="4"/>
    </w:p>
    <w:p w:rsidR="00033C02" w:rsidRPr="004B6D43" w:rsidRDefault="004B6D43" w:rsidP="00033C02">
      <w:pPr>
        <w:pStyle w:val="ATHeading3"/>
      </w:pPr>
      <w:bookmarkStart w:id="5" w:name="Sujet"/>
      <w:r w:rsidRPr="004B6D43">
        <w:t xml:space="preserve">1. </w:t>
      </w:r>
      <w:r w:rsidR="00033C02" w:rsidRPr="004B6D43">
        <w:t>Od</w:t>
      </w:r>
      <w:r w:rsidRPr="004B6D43">
        <w:t>luka Europskog parlamenta od 11</w:t>
      </w:r>
      <w:r w:rsidR="00033C02" w:rsidRPr="004B6D43">
        <w:t xml:space="preserve">. </w:t>
      </w:r>
      <w:r w:rsidRPr="004B6D43">
        <w:t xml:space="preserve">travnja </w:t>
      </w:r>
      <w:r w:rsidR="00033C02" w:rsidRPr="004B6D43">
        <w:t>2024. o razrješnici za izvršenje proračuna Agencije Europske unije za temeljna prava za financijsku godinu 2022.</w:t>
      </w:r>
      <w:bookmarkEnd w:id="5"/>
      <w:r w:rsidR="00033C02" w:rsidRPr="004B6D43">
        <w:t xml:space="preserve"> </w:t>
      </w:r>
      <w:bookmarkStart w:id="6" w:name="References"/>
      <w:r w:rsidR="00033C02" w:rsidRPr="004B6D43">
        <w:t>(2023/2171(DEC))</w:t>
      </w:r>
      <w:bookmarkEnd w:id="6"/>
    </w:p>
    <w:p w:rsidR="002A493E" w:rsidRPr="004B6D43" w:rsidRDefault="002A493E" w:rsidP="002A493E">
      <w:pPr>
        <w:pStyle w:val="EPComma"/>
      </w:pPr>
      <w:bookmarkStart w:id="7" w:name="TextBodyBegin"/>
      <w:bookmarkEnd w:id="7"/>
      <w:r w:rsidRPr="004B6D43">
        <w:rPr>
          <w:i/>
        </w:rPr>
        <w:t>Europski parlament</w:t>
      </w:r>
      <w:r w:rsidRPr="004B6D43">
        <w:t>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završnu godišnju računovodstvenu dokumentaciju Agencije Europske unije za temeljna prava za financijsku godinu 2022.,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godišnje izvješće Revizorskog suda o agencijama EU-a za financijsku godinu 2022., kojemu su priloženi odgovori agencija</w:t>
      </w:r>
      <w:r w:rsidRPr="004B6D43">
        <w:rPr>
          <w:rStyle w:val="FootnoteReference"/>
        </w:rPr>
        <w:footnoteReference w:id="1"/>
      </w:r>
      <w:r w:rsidRPr="004B6D43">
        <w:t>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izjavu o jamstvu</w:t>
      </w:r>
      <w:r w:rsidRPr="004B6D43">
        <w:rPr>
          <w:rStyle w:val="FootnoteReference"/>
        </w:rPr>
        <w:footnoteReference w:id="2"/>
      </w:r>
      <w:r w:rsidRPr="004B6D43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preporuku Vijeća od 22. veljače 2024. o razrješnici koju Agencija treba dobiti za izvršenje proračuna za financijsku godinu 2022. (0</w:t>
      </w:r>
      <w:r w:rsidR="00D800BA">
        <w:t>618</w:t>
      </w:r>
      <w:r w:rsidRPr="004B6D43">
        <w:t>0/2024 – C9</w:t>
      </w:r>
      <w:r w:rsidRPr="004B6D43">
        <w:noBreakHyphen/>
        <w:t>0</w:t>
      </w:r>
      <w:r w:rsidR="00D800BA">
        <w:t>109</w:t>
      </w:r>
      <w:r w:rsidRPr="004B6D43">
        <w:t>/2024),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članak 319. Ugovora o funkcioniranju Europske unije,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4B6D43">
        <w:rPr>
          <w:rStyle w:val="FootnoteReference"/>
        </w:rPr>
        <w:footnoteReference w:id="3"/>
      </w:r>
      <w:r w:rsidRPr="004B6D43">
        <w:t>, a posebno njezin članak 70.,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Uredbu Vijeća (EZ) br.</w:t>
      </w:r>
      <w:r w:rsidR="00B81BB3">
        <w:t xml:space="preserve"> </w:t>
      </w:r>
      <w:r w:rsidRPr="004B6D43">
        <w:t>168/2007 od 15. veljače 2007. o osnivanju Agencije Europske unije za temeljna prava</w:t>
      </w:r>
      <w:r w:rsidRPr="004B6D43">
        <w:rPr>
          <w:rStyle w:val="FootnoteReference"/>
        </w:rPr>
        <w:footnoteReference w:id="4"/>
      </w:r>
      <w:r w:rsidRPr="004B6D43">
        <w:t>, a posebno njezin članak 21.,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 xml:space="preserve">uzimajući u obzir Delegiranu uredbu Komisije (EU) 2019/715 od 18. prosinca 2018. o </w:t>
      </w:r>
      <w:r w:rsidRPr="004B6D43">
        <w:lastRenderedPageBreak/>
        <w:t xml:space="preserve">okvirnoj financijskoj uredbi za tijela osnovana na temelju Ugovora o funkcioniranju Europske unije i Ugovora o </w:t>
      </w:r>
      <w:proofErr w:type="spellStart"/>
      <w:r w:rsidRPr="004B6D43">
        <w:t>Euratomu</w:t>
      </w:r>
      <w:proofErr w:type="spellEnd"/>
      <w:r w:rsidRPr="004B6D43">
        <w:t xml:space="preserve"> na koja se upućuje u članku 70. Uredbe (EU, Euratom) 2018/1046 Europskog parlamenta i Vijeća</w:t>
      </w:r>
      <w:r w:rsidRPr="004B6D43">
        <w:rPr>
          <w:rStyle w:val="FootnoteReference"/>
        </w:rPr>
        <w:footnoteReference w:id="5"/>
      </w:r>
      <w:r w:rsidRPr="004B6D43">
        <w:t>, a posebno njezin članak 105.,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članak 100. Poslovnika i Prilog V. Poslovniku,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mišljenje Odbora za građanske slobode, pravosuđe i unutarnje poslove,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izvješće Odbora za proračunski nadzor (A9</w:t>
      </w:r>
      <w:r w:rsidRPr="004B6D43">
        <w:noBreakHyphen/>
        <w:t>0112/2024),</w:t>
      </w:r>
    </w:p>
    <w:p w:rsidR="002A493E" w:rsidRPr="004B6D43" w:rsidRDefault="002A493E" w:rsidP="002A493E">
      <w:pPr>
        <w:pStyle w:val="NormalHanging12a"/>
      </w:pPr>
      <w:r w:rsidRPr="004B6D43">
        <w:t>1.</w:t>
      </w:r>
      <w:r w:rsidRPr="004B6D43">
        <w:tab/>
        <w:t>daje razrješnicu direktor</w:t>
      </w:r>
      <w:r w:rsidR="003F4E82">
        <w:t>ici</w:t>
      </w:r>
      <w:r w:rsidRPr="004B6D43">
        <w:t xml:space="preserve"> Agencije Europske unije za temeljna prava za izvršenje proračuna Agencije za financijsku godinu 2022.;</w:t>
      </w:r>
    </w:p>
    <w:p w:rsidR="002A493E" w:rsidRPr="004B6D43" w:rsidRDefault="002A493E" w:rsidP="002A493E">
      <w:pPr>
        <w:pStyle w:val="NormalHanging12a"/>
      </w:pPr>
      <w:r w:rsidRPr="004B6D43">
        <w:t>2.</w:t>
      </w:r>
      <w:r w:rsidRPr="004B6D43">
        <w:tab/>
        <w:t>iznosi svoje primjedbe u Rezoluciji u nastavku;</w:t>
      </w:r>
    </w:p>
    <w:p w:rsidR="002A493E" w:rsidRPr="004B6D43" w:rsidRDefault="002A493E" w:rsidP="002A493E">
      <w:pPr>
        <w:pStyle w:val="NormalHanging12a"/>
      </w:pPr>
      <w:r w:rsidRPr="004B6D43">
        <w:t>3.</w:t>
      </w:r>
      <w:r w:rsidRPr="004B6D43">
        <w:tab/>
        <w:t>nalaže svojoj predsjednici da ovu Odluku i Rezoluciju, koja je njezin sastavni dio, proslijedi direktor</w:t>
      </w:r>
      <w:r w:rsidR="003F4E82">
        <w:t>ici</w:t>
      </w:r>
      <w:r w:rsidRPr="004B6D43">
        <w:t xml:space="preserve"> Agencije Europske unije za temeljna prava, Vijeću, Komisiji i Revizorskom sudu te da ih da na objavu u </w:t>
      </w:r>
      <w:r w:rsidRPr="004B6D43">
        <w:rPr>
          <w:i/>
        </w:rPr>
        <w:t>Službenom listu Europske unije</w:t>
      </w:r>
      <w:r w:rsidRPr="004B6D43">
        <w:t xml:space="preserve"> (serija L).</w:t>
      </w:r>
    </w:p>
    <w:p w:rsidR="002A493E" w:rsidRPr="004B6D43" w:rsidRDefault="002A493E" w:rsidP="002A493E"/>
    <w:p w:rsidR="002A493E" w:rsidRPr="004B6D43" w:rsidRDefault="002A493E" w:rsidP="002A493E">
      <w:pPr>
        <w:pStyle w:val="PageHeading"/>
        <w:sectPr w:rsidR="002A493E" w:rsidRPr="004B6D43" w:rsidSect="00F11F8E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A493E" w:rsidRPr="004B6D43" w:rsidRDefault="004B6D43" w:rsidP="004B6D43">
      <w:pPr>
        <w:pStyle w:val="PageHeading"/>
        <w:jc w:val="left"/>
        <w:rPr>
          <w:rFonts w:ascii="Times New Roman" w:hAnsi="Times New Roman" w:cs="Times New Roman"/>
        </w:rPr>
      </w:pPr>
      <w:bookmarkStart w:id="8" w:name="_Toc161988875"/>
      <w:r w:rsidRPr="004B6D43">
        <w:rPr>
          <w:rFonts w:ascii="Times New Roman" w:hAnsi="Times New Roman" w:cs="Times New Roman"/>
        </w:rPr>
        <w:lastRenderedPageBreak/>
        <w:t xml:space="preserve">2. </w:t>
      </w:r>
      <w:r>
        <w:rPr>
          <w:rFonts w:ascii="Times New Roman" w:hAnsi="Times New Roman" w:cs="Times New Roman"/>
        </w:rPr>
        <w:t>Odluka E</w:t>
      </w:r>
      <w:r w:rsidRPr="004B6D43">
        <w:rPr>
          <w:rFonts w:ascii="Times New Roman" w:hAnsi="Times New Roman" w:cs="Times New Roman"/>
        </w:rPr>
        <w:t>uropskog parlamenta</w:t>
      </w:r>
      <w:bookmarkEnd w:id="8"/>
      <w:r w:rsidRPr="004B6D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 11. travnja 2024. </w:t>
      </w:r>
      <w:r w:rsidR="002A493E" w:rsidRPr="004B6D43">
        <w:rPr>
          <w:rFonts w:ascii="Times New Roman" w:hAnsi="Times New Roman" w:cs="Times New Roman"/>
        </w:rPr>
        <w:t>o zaključenju poslovnih knjiga Agencije Europske unije za temeljna prava za financijsku godinu 2022.</w:t>
      </w:r>
      <w:r w:rsidRPr="004B6D43">
        <w:rPr>
          <w:rFonts w:ascii="Times New Roman" w:hAnsi="Times New Roman" w:cs="Times New Roman"/>
        </w:rPr>
        <w:t xml:space="preserve"> </w:t>
      </w:r>
      <w:r w:rsidR="002A493E" w:rsidRPr="004B6D43">
        <w:rPr>
          <w:rFonts w:ascii="Times New Roman" w:hAnsi="Times New Roman" w:cs="Times New Roman"/>
        </w:rPr>
        <w:t>(2023/2171(DEC))</w:t>
      </w:r>
    </w:p>
    <w:p w:rsidR="002A493E" w:rsidRPr="004B6D43" w:rsidRDefault="002A493E" w:rsidP="002A493E">
      <w:pPr>
        <w:pStyle w:val="EPComma"/>
      </w:pPr>
      <w:r w:rsidRPr="004B6D43">
        <w:rPr>
          <w:i/>
        </w:rPr>
        <w:t>Europski parlament</w:t>
      </w:r>
      <w:r w:rsidRPr="004B6D43">
        <w:t>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završnu godišnju računovodstvenu dokumentaciju Agencije Europske unije za temeljna prava za financijsku godinu 2022.,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godišnje izvješće Revizorskog suda o agencijama EU-a za financijsku godinu 2022., kojemu su priloženi odgovori agencija</w:t>
      </w:r>
      <w:r w:rsidRPr="004B6D43">
        <w:rPr>
          <w:rStyle w:val="FootnoteReference"/>
        </w:rPr>
        <w:footnoteReference w:id="6"/>
      </w:r>
      <w:r w:rsidRPr="004B6D43">
        <w:t>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izjavu o jamstvu</w:t>
      </w:r>
      <w:r w:rsidRPr="004B6D43">
        <w:rPr>
          <w:rStyle w:val="FootnoteReference"/>
        </w:rPr>
        <w:footnoteReference w:id="7"/>
      </w:r>
      <w:r w:rsidRPr="004B6D43">
        <w:t xml:space="preserve"> u pogledu pouzdanosti računovodstvene dokumentacije te zakonitosti i pravilnosti temeljnih transakcija koju je u skladu s člankom 287. Ugovora o funkcioniranju Europske unije Revizorski sud podnio za financijsku godinu 2022.,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preporuku Vijeća od 22. veljače 2024. o razrješnici koju Agencija treba dobiti za izvršenje proračuna za financijsku godinu 2022. (0</w:t>
      </w:r>
      <w:r w:rsidR="00D800BA">
        <w:t>618</w:t>
      </w:r>
      <w:r w:rsidRPr="004B6D43">
        <w:t>0/2024 – C9</w:t>
      </w:r>
      <w:r w:rsidRPr="004B6D43">
        <w:noBreakHyphen/>
        <w:t>0</w:t>
      </w:r>
      <w:r w:rsidR="00D800BA">
        <w:t>109</w:t>
      </w:r>
      <w:r w:rsidRPr="004B6D43">
        <w:t>/2024),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članak 319. Ugovora o funkcioniranju Europske unije,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Uredbu (EU, Euratom) 2018/1046 Europskog parlamenta i Vijeća od 18. srpnja 2018. o financijskim pravilima koja se primjenjuju na opći proračun Unije, o izmjeni uredaba (EU) br. 1296/2013, (EU) br. 1301/2013, (EU) br. 1303/2013, (EU) br. 1304/2013, (EU) br. 1309/2013, (EU) br. 1316/2013, (EU) br. 223/2014, (EU) br. 283/2014 i Odluke br. 541/2014/EU te o stavljanju izvan snage Uredbe (EU, Euratom) br. 966/2012</w:t>
      </w:r>
      <w:r w:rsidRPr="004B6D43">
        <w:rPr>
          <w:rStyle w:val="FootnoteReference"/>
        </w:rPr>
        <w:footnoteReference w:id="8"/>
      </w:r>
      <w:r w:rsidRPr="004B6D43">
        <w:t>, a posebno njezin članak 70.,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Uredbu Vijeća (EZ) br.</w:t>
      </w:r>
      <w:r w:rsidR="00B81BB3">
        <w:t xml:space="preserve"> </w:t>
      </w:r>
      <w:r w:rsidRPr="004B6D43">
        <w:t>168/2007 od 15. veljače 2007. o osnivanju Agencije Europske unije za temeljna prava</w:t>
      </w:r>
      <w:r w:rsidRPr="004B6D43">
        <w:rPr>
          <w:rStyle w:val="FootnoteReference"/>
        </w:rPr>
        <w:footnoteReference w:id="9"/>
      </w:r>
      <w:r w:rsidRPr="004B6D43">
        <w:t>, a posebno njezin članak 21.,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 xml:space="preserve">uzimajući u obzir Delegiranu uredbu Komisije (EU) 2019/715 od 18. prosinca 2018. o okvirnoj financijskoj uredbi za tijela osnovana na temelju Ugovora o funkcioniranju Europske unije i Ugovora o </w:t>
      </w:r>
      <w:proofErr w:type="spellStart"/>
      <w:r w:rsidRPr="004B6D43">
        <w:t>Euratomu</w:t>
      </w:r>
      <w:proofErr w:type="spellEnd"/>
      <w:r w:rsidRPr="004B6D43">
        <w:t xml:space="preserve"> na koja se upućuje u članku 70. Uredbe (EU, Euratom) 2018/1046 Europskog parlamenta i Vijeća</w:t>
      </w:r>
      <w:r w:rsidRPr="004B6D43">
        <w:rPr>
          <w:rStyle w:val="FootnoteReference"/>
        </w:rPr>
        <w:footnoteReference w:id="10"/>
      </w:r>
      <w:r w:rsidRPr="004B6D43">
        <w:t>, a posebno njezin članak 105.,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članak 100. Poslovnika i Prilog V. Poslovniku,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mišljenje Odbora za građanske slobode, pravosuđe i unutarnje poslove,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izvješće Odbora za proračunski nadzor (A9</w:t>
      </w:r>
      <w:r w:rsidRPr="004B6D43">
        <w:noBreakHyphen/>
        <w:t>0112/2024),</w:t>
      </w:r>
    </w:p>
    <w:p w:rsidR="002A493E" w:rsidRPr="004B6D43" w:rsidRDefault="002A493E" w:rsidP="002A493E">
      <w:pPr>
        <w:pStyle w:val="NormalHanging12a"/>
      </w:pPr>
      <w:r w:rsidRPr="004B6D43">
        <w:t>1.</w:t>
      </w:r>
      <w:r w:rsidRPr="004B6D43">
        <w:tab/>
        <w:t xml:space="preserve">odobrava zaključenje poslovnih knjiga Agencije Europske unije za temeljna prava za </w:t>
      </w:r>
      <w:r w:rsidRPr="004B6D43">
        <w:lastRenderedPageBreak/>
        <w:t>financijsku godinu 2022.;</w:t>
      </w:r>
    </w:p>
    <w:p w:rsidR="002A493E" w:rsidRPr="004B6D43" w:rsidRDefault="002A493E" w:rsidP="002A493E">
      <w:pPr>
        <w:pStyle w:val="NormalHanging12a"/>
      </w:pPr>
      <w:r w:rsidRPr="004B6D43">
        <w:t>2.</w:t>
      </w:r>
      <w:r w:rsidRPr="004B6D43">
        <w:tab/>
        <w:t>nalaže svojoj predsjednici da ovu Odluku proslijedi direktor</w:t>
      </w:r>
      <w:r w:rsidR="003F4E82">
        <w:t>ici</w:t>
      </w:r>
      <w:r w:rsidRPr="004B6D43">
        <w:t xml:space="preserve"> Agencije Europske unije za temeljna prava, Vijeću, Komisiji i Revizorskom sudu te da je da na objavu u </w:t>
      </w:r>
      <w:r w:rsidRPr="004B6D43">
        <w:rPr>
          <w:i/>
        </w:rPr>
        <w:t>Službenom listu Europske unije</w:t>
      </w:r>
      <w:r w:rsidRPr="004B6D43">
        <w:t xml:space="preserve"> (serija L).</w:t>
      </w:r>
    </w:p>
    <w:p w:rsidR="002A493E" w:rsidRPr="004B6D43" w:rsidRDefault="002A493E" w:rsidP="002A493E"/>
    <w:p w:rsidR="002A493E" w:rsidRPr="004B6D43" w:rsidRDefault="002A493E" w:rsidP="002A493E">
      <w:pPr>
        <w:pStyle w:val="PageHeading"/>
        <w:sectPr w:rsidR="002A493E" w:rsidRPr="004B6D43" w:rsidSect="00F11F8E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2A493E" w:rsidRPr="004B6D43" w:rsidRDefault="004B6D43" w:rsidP="004B6D43">
      <w:pPr>
        <w:pStyle w:val="PageHeading"/>
        <w:jc w:val="left"/>
        <w:rPr>
          <w:rFonts w:ascii="Times New Roman" w:hAnsi="Times New Roman" w:cs="Times New Roman"/>
        </w:rPr>
      </w:pPr>
      <w:bookmarkStart w:id="10" w:name="_Toc161988876"/>
      <w:r w:rsidRPr="004B6D43">
        <w:rPr>
          <w:rFonts w:ascii="Times New Roman" w:hAnsi="Times New Roman" w:cs="Times New Roman"/>
        </w:rPr>
        <w:lastRenderedPageBreak/>
        <w:t xml:space="preserve">3. </w:t>
      </w:r>
      <w:r>
        <w:rPr>
          <w:rFonts w:ascii="Times New Roman" w:hAnsi="Times New Roman" w:cs="Times New Roman"/>
        </w:rPr>
        <w:t>Rezolucija E</w:t>
      </w:r>
      <w:r w:rsidRPr="004B6D43">
        <w:rPr>
          <w:rFonts w:ascii="Times New Roman" w:hAnsi="Times New Roman" w:cs="Times New Roman"/>
        </w:rPr>
        <w:t>uropskog parlamenta</w:t>
      </w:r>
      <w:bookmarkEnd w:id="10"/>
      <w:r w:rsidRPr="004B6D4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od 11. travnja 2024. </w:t>
      </w:r>
      <w:r w:rsidR="002A493E" w:rsidRPr="004B6D43">
        <w:rPr>
          <w:rFonts w:ascii="Times New Roman" w:hAnsi="Times New Roman" w:cs="Times New Roman"/>
        </w:rPr>
        <w:t>s primjedbama koje su sastavni dio Odluke o razrješnici za izvršenje proračuna Agencije Europske unije za temeljna prava za financijsku godinu 2022.</w:t>
      </w:r>
      <w:r w:rsidRPr="004B6D43">
        <w:rPr>
          <w:rFonts w:ascii="Times New Roman" w:hAnsi="Times New Roman" w:cs="Times New Roman"/>
        </w:rPr>
        <w:t xml:space="preserve"> </w:t>
      </w:r>
      <w:r w:rsidR="002A493E" w:rsidRPr="004B6D43">
        <w:rPr>
          <w:rFonts w:ascii="Times New Roman" w:hAnsi="Times New Roman" w:cs="Times New Roman"/>
        </w:rPr>
        <w:t>(2023/2171(DEC))</w:t>
      </w:r>
    </w:p>
    <w:p w:rsidR="002A493E" w:rsidRPr="004B6D43" w:rsidRDefault="002A493E" w:rsidP="002A493E">
      <w:pPr>
        <w:pStyle w:val="EPComma"/>
      </w:pPr>
      <w:r w:rsidRPr="004B6D43">
        <w:rPr>
          <w:i/>
        </w:rPr>
        <w:t>Europski parlament</w:t>
      </w:r>
      <w:r w:rsidRPr="004B6D43">
        <w:t>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svoju Odluku o razrješnici za izvršenje proračuna Agencije Europske unije za temeljna prava za financijsku godinu 2022.,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članak 100. Poslovnika i Prilog V. Poslovniku,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mišljenje Odbora za građanske slobode, pravosuđe i unutarnje poslove,</w:t>
      </w:r>
    </w:p>
    <w:p w:rsidR="002A493E" w:rsidRPr="004B6D43" w:rsidRDefault="002A493E" w:rsidP="002A493E">
      <w:pPr>
        <w:pStyle w:val="NormalHanging12a"/>
      </w:pPr>
      <w:r w:rsidRPr="004B6D43">
        <w:t>–</w:t>
      </w:r>
      <w:r w:rsidRPr="004B6D43">
        <w:tab/>
        <w:t>uzimajući u obzir izvješće Odbora za proračunski nadzor (A9</w:t>
      </w:r>
      <w:r w:rsidRPr="004B6D43">
        <w:noBreakHyphen/>
        <w:t>0112/2024),</w:t>
      </w:r>
    </w:p>
    <w:p w:rsidR="002A493E" w:rsidRPr="004B6D43" w:rsidRDefault="002A493E" w:rsidP="002A493E">
      <w:pPr>
        <w:pStyle w:val="Normal12Hanging"/>
        <w:rPr>
          <w:szCs w:val="24"/>
        </w:rPr>
      </w:pPr>
      <w:r w:rsidRPr="004B6D43">
        <w:t>A.</w:t>
      </w:r>
      <w:r w:rsidRPr="004B6D43">
        <w:tab/>
        <w:t>budući da je, prema njezinu izvještaju o prihodima i rashodima</w:t>
      </w:r>
      <w:r w:rsidRPr="004B6D43">
        <w:rPr>
          <w:szCs w:val="24"/>
          <w:vertAlign w:val="superscript"/>
        </w:rPr>
        <w:footnoteReference w:id="11"/>
      </w:r>
      <w:r w:rsidRPr="004B6D43">
        <w:t>, konačni proračun Agencije Europske unije za temeljna prava („Agencija”) za financijsku godinu 2022. iznosio 25 857 952 EUR, što predstavlja povećanje od 4,01 % u odnosu na 2021.; budući da proračun Agencije gotovo isključivo čine proračunska sredstva Unije;</w:t>
      </w:r>
    </w:p>
    <w:p w:rsidR="002A493E" w:rsidRPr="004B6D43" w:rsidRDefault="002A493E" w:rsidP="002A493E">
      <w:pPr>
        <w:pStyle w:val="Normal12Hanging"/>
        <w:rPr>
          <w:szCs w:val="24"/>
        </w:rPr>
      </w:pPr>
      <w:r w:rsidRPr="004B6D43">
        <w:t>B.</w:t>
      </w:r>
      <w:r w:rsidRPr="004B6D43">
        <w:tab/>
        <w:t>budući da u pogledu sektora javne nabave Agencije za 2022. nisu prijavljeni problemi zbog kojih bi bile potrebne korektivne mjere te da nema ni tekućih ni nedovršenih korektivnih mjera iz revizija i procjena iz prethodnih godina;</w:t>
      </w:r>
    </w:p>
    <w:p w:rsidR="002A493E" w:rsidRPr="004B6D43" w:rsidRDefault="002A493E" w:rsidP="002A493E">
      <w:pPr>
        <w:pStyle w:val="Normal12Hanging"/>
        <w:rPr>
          <w:szCs w:val="24"/>
        </w:rPr>
      </w:pPr>
      <w:r w:rsidRPr="004B6D43">
        <w:t>C.</w:t>
      </w:r>
      <w:r w:rsidRPr="004B6D43">
        <w:tab/>
        <w:t>budući da je Revizorski sud u svojem izvješću o godišnjoj računovodstvenoj dokumentaciji Agencije za financijsku godinu 2022. („izvješće Revizorskog suda”) izjavio da je dobio razumno jamstvo da je godišnja računovodstvena dokumentacija Agencije pouzdana te da su povezane transakcije zakonite i pravilne u svim značajnim aspektima;</w:t>
      </w:r>
    </w:p>
    <w:p w:rsidR="002A493E" w:rsidRPr="004B6D43" w:rsidRDefault="002A493E" w:rsidP="002A493E">
      <w:pPr>
        <w:pStyle w:val="Normal12Hanging"/>
        <w:rPr>
          <w:b/>
          <w:i/>
          <w:szCs w:val="24"/>
        </w:rPr>
      </w:pPr>
      <w:r w:rsidRPr="004B6D43">
        <w:rPr>
          <w:b/>
          <w:i/>
        </w:rPr>
        <w:t>Upravljanje proračunom i financijama</w:t>
      </w:r>
    </w:p>
    <w:p w:rsidR="002A493E" w:rsidRPr="004B6D43" w:rsidRDefault="002A493E" w:rsidP="002A493E">
      <w:pPr>
        <w:pStyle w:val="NormalHanging12a"/>
        <w:tabs>
          <w:tab w:val="left" w:pos="567"/>
        </w:tabs>
        <w:rPr>
          <w:szCs w:val="24"/>
        </w:rPr>
      </w:pPr>
      <w:r w:rsidRPr="004B6D43">
        <w:t>1.</w:t>
      </w:r>
      <w:r w:rsidRPr="004B6D43">
        <w:tab/>
        <w:t>sa zadovoljstvom prima na znanje da je praćenje proračuna tijekom financijske godine 2022. rezultiralo stopom izvršenja proračuna od 100,00 % za odobrena sredstva za preuzimanje obveza za tu godinu, što je ista stopa kao i 2021.; konstatira da je stopa izvršenja odobrenih sredstava za plaćanje za tekuću godinu iznosila 73,59 %, što je blago povećanje od 2,64 % u odnosu na 2021.;</w:t>
      </w:r>
    </w:p>
    <w:p w:rsidR="002A493E" w:rsidRPr="004B6D43" w:rsidRDefault="002A493E" w:rsidP="002A493E">
      <w:pPr>
        <w:pStyle w:val="NormalHanging12a"/>
        <w:tabs>
          <w:tab w:val="left" w:pos="567"/>
        </w:tabs>
        <w:rPr>
          <w:szCs w:val="24"/>
        </w:rPr>
      </w:pPr>
      <w:r w:rsidRPr="004B6D43">
        <w:t>2.</w:t>
      </w:r>
      <w:r w:rsidRPr="004B6D43">
        <w:tab/>
        <w:t>konstatira da su 2022. usvojene tri izmjene proračuna kojima se proračun Agencije povećao za 1 562 781 EUR, što se odnosi na sredstva primljena u okviru sporazuma o suradnji s Uredom za financijski mehanizam EGP-a i Norveške i sporazumima o partnerstvu s bugarskim Nacionalnim zavodom za statistiku, grčkim pučkim pravobraniteljem i uredom rumunjskog državnog odvjetnika, kao i na subvencije za najam koje su primile austrijske vlasti i unutarnje namjenske prihode;</w:t>
      </w:r>
    </w:p>
    <w:p w:rsidR="002A493E" w:rsidRPr="004B6D43" w:rsidRDefault="002A493E" w:rsidP="002A493E">
      <w:pPr>
        <w:pStyle w:val="NormalHanging12a"/>
      </w:pPr>
      <w:r w:rsidRPr="004B6D43">
        <w:t>3.</w:t>
      </w:r>
      <w:r w:rsidRPr="004B6D43">
        <w:tab/>
        <w:t xml:space="preserve">sa zabrinutošću prima na znanje navode iz izvješća Revizorskog suda da je Agencija od dostupnih odobrenih sredstava za preuzimanje obveza iz 2022. u 2023. prenijela 6,4 milijuna EUR (26 %), od čega se iznos od 5,9 milijuna EUR odnosi na odobrena </w:t>
      </w:r>
      <w:r w:rsidRPr="004B6D43">
        <w:lastRenderedPageBreak/>
        <w:t>sredstva u okviru glave III. odnosno na operativne rashode (2021.: 74 %); ističe da su visoke razine prijenosa sredstava opetovani problem Agencije na koje Revizorski sud upozorava već nekoliko financijskih godina zaredom, počevši od 2018.; prima na znanje ponovljeno mišljenje Revizorskog suda da je visoka stopa prijenosa sredstava u suprotnosti s proračunskim načelom jedne godine i da upućuje na strukturne probleme u izvršenju proračuna i ciklusu provedbe; na temelju odgovora Agencije na opažanje Revizorskog suda te iz izvješća Agencije naslovljenog „Opažanja Europskog parlamenta o razrješnici Agenciji Europske unije za temeljna prava za 2021. i mjere koje je poduzela Agencija („izvješće Agencije o poduzetim daljnjim mjerama”) prima na znanje sljedeća opažanja o visokoj razini prijenosa sredstava povezanih s operativnim aktivnostima Agencije: zbog posebnog okvira u kojem Agencija radi teško je preuzeti obveze za operativne rashode mnogo ranije tijekom godine; u informatički alat MATRIX uvedena su poboljšanja kako bi se omogućilo pomnije praćenje izvršenja proračuna i rana procjena prijenosa sredstava (krediti C8) u sljedeću godinu; izvršenje proračuna trebalo bi procijeniti uzimajući u obzir konačnu realizaciju koja je u posljednjih 10 godina bila veća od 99 % potvrđuje, kao i prethodnih godina, da je visoka stopa prijenosa sredstava ujedno posljedica naravi osnovne djelatnosti Agencije;</w:t>
      </w:r>
    </w:p>
    <w:p w:rsidR="002A493E" w:rsidRPr="004B6D43" w:rsidRDefault="002A493E" w:rsidP="002A493E">
      <w:pPr>
        <w:pStyle w:val="Normal12Hanging"/>
        <w:tabs>
          <w:tab w:val="left" w:pos="567"/>
        </w:tabs>
        <w:rPr>
          <w:b/>
          <w:i/>
          <w:szCs w:val="24"/>
        </w:rPr>
      </w:pPr>
      <w:r w:rsidRPr="004B6D43">
        <w:rPr>
          <w:b/>
          <w:i/>
        </w:rPr>
        <w:t>Uspješnost</w:t>
      </w:r>
    </w:p>
    <w:p w:rsidR="002A493E" w:rsidRPr="004B6D43" w:rsidRDefault="002A493E" w:rsidP="002A493E">
      <w:pPr>
        <w:pStyle w:val="Normal12Hanging"/>
        <w:tabs>
          <w:tab w:val="left" w:pos="567"/>
        </w:tabs>
        <w:rPr>
          <w:szCs w:val="24"/>
        </w:rPr>
      </w:pPr>
      <w:r w:rsidRPr="004B6D43">
        <w:t>4.</w:t>
      </w:r>
      <w:r w:rsidRPr="004B6D43">
        <w:tab/>
        <w:t>sa zadovoljstvom prima na znanje da se Agencija u okviru mjerenja uspješnosti koristi sustavom od 25 ključnih pokazatelja uspješnosti; pohvaljuje visoku stopu dostignutih vrijednosti tijekom 2022. u pogledu ključnih pokazatelja uspješnosti, pri čemu je Agencija premašila gotovo sve ciljne vrijednosti postavljene za pojedinačne pokazatelje, zadržavajući visoku razinu zadovoljstva dionika u pogledu događanja koja Agencija organizira te relevantnosti, korisnosti i pouzdanosti onoga na čemu Agencija radi te doprinoseći visokoj razini razumijevanja temeljnih prava i tendencija u tom području; pohvaljuje trud Agencije koji je doprinio njezinim postignućima 2022. unatoč preslagivanju prioriteta u pogledu svih tekućih aktivnosti te ljudskih i financijskih resursa te odgodi i reorganizaciji nekih projekata Agencije;</w:t>
      </w:r>
    </w:p>
    <w:p w:rsidR="002A493E" w:rsidRPr="004B6D43" w:rsidRDefault="002A493E" w:rsidP="002A493E">
      <w:pPr>
        <w:pStyle w:val="NormalHanging12a"/>
      </w:pPr>
      <w:r w:rsidRPr="004B6D43">
        <w:t>5.</w:t>
      </w:r>
      <w:r w:rsidRPr="004B6D43">
        <w:tab/>
        <w:t xml:space="preserve">sa zadovoljstvom prima na znanje rezultate Agencije, što se za 2022. očituje u velikom broju publikacija, sastanaka i organiziranih događanja, kao i u pruženoj tehničkoj pomoći i aktivnostima izgradnje kapaciteta te iznošenju pismenih i usmenih primjedbi; prima na znanje da je tijekom 2022. rad Agencije spomenut u 213 publikacija i 4319 puta u medijima; pohvaljuje aktivnosti Agencije u pogledu strateškog prioriteta 1. „Prepoznavanje trendova: prikupljanje i analiziranje usporedivih podataka i dokaza”, koje su dionici Agencije ocijenili najrelevantnijima i najdragocjenijima; u tom kontekstu prima na znanje postignuća Agencije tijekom 2022., kao što su objava izvješća „Romi u 10 europskih zemalja”, u kojem su, među ostalim, istaknuta poboljšanja i nedostaci u integraciji Roma, bilten o azilu i migracijama s naglaskom na stanju temeljnih prava osoba koje su došle u države članice i zemlje kandidatkinje za članstvo u Uniji iz trećih zemalja tijekom posljednjeg tromjesečja 2021., izvješće „Pristranost algoritama. Umjetna inteligencija i diskriminacija”, zahvaljujući kojem je Agencija postala prva međunarodna organizacija za ljudska prava koja se, među ostalim, pozabavila problematikom pristranosti algoritama, a u prvih sedam dana nakon objave postalo je izvješće Agencije koje se tijekom 2022. najviše preuzimalo, kao i izvješće „Zaštita prostora za građansko djelovanje u EU-u – ključni nalazi i mišljenja Agencije Europske unije za temeljna prava”, u kojem se daje pregled glavnih problema u vezi s prostorom za građansko djelovanje na razini cijele Unije; u pogledu potonjeg izvješća, pohvaljuje činjenicu da je Agencija dokazala da može utjecati na političke i </w:t>
      </w:r>
      <w:r w:rsidRPr="004B6D43">
        <w:lastRenderedPageBreak/>
        <w:t>zakonodavne postupke o prostoru za građansko djelovanje i da je Agencija tijekom 2022. sudjelovala u projektima češkog predsjedništva Vijeća i Komisije u tom području;</w:t>
      </w:r>
    </w:p>
    <w:p w:rsidR="002A493E" w:rsidRPr="004B6D43" w:rsidRDefault="002A493E" w:rsidP="002A493E">
      <w:pPr>
        <w:pStyle w:val="NormalHanging12a"/>
      </w:pPr>
      <w:r w:rsidRPr="004B6D43">
        <w:t>6.</w:t>
      </w:r>
      <w:r w:rsidRPr="004B6D43">
        <w:tab/>
        <w:t>pozdravlja pravodoban odgovor Agencije na nova pitanja koja se otvaraju u području temeljnih prava, kao što su opće smjernice Agencije iz njezina izvješća „Uspostava neovisnih nacionalnih mehanizama za praćenje poštovanja temeljnih prava na vanjskim granicama EU-a” i pružanje pomoći državama članicama u uspostavi ili jačanju njihovih nacionalnih mehanizama za praćenje poštovanja temeljnih prava i osiguravanje mjera za zaštitu neovisnosti tih mehanizama; podsjeća da se prema međunarodnom pravu sa svim izbjeglicama mora postupati bez diskriminiranja;</w:t>
      </w:r>
    </w:p>
    <w:p w:rsidR="002A493E" w:rsidRPr="004B6D43" w:rsidRDefault="002A493E" w:rsidP="002A493E">
      <w:pPr>
        <w:pStyle w:val="Normal12Hanging"/>
        <w:tabs>
          <w:tab w:val="left" w:pos="567"/>
        </w:tabs>
        <w:rPr>
          <w:szCs w:val="24"/>
        </w:rPr>
      </w:pPr>
      <w:r w:rsidRPr="004B6D43">
        <w:t>7.</w:t>
      </w:r>
      <w:r w:rsidRPr="004B6D43">
        <w:tab/>
        <w:t>sa zadovoljstvom konstatira da je Agencija brzo poduzela mjere kako bi odgovorila na stanje ljudskih prava u Ukrajini nakon nezakonite i ničim izazvane ruske invazije, i to u vidu nekoliko važnih mjera, kao što su internetska anketa o iskustvima raseljenih osoba koje su pobjegle iz Ukrajine, dva biltena o posljedicama rata u Ukrajini na temeljna prava u državama članicama, objava tablice</w:t>
      </w:r>
      <w:r w:rsidR="00B81BB3">
        <w:t xml:space="preserve"> o provedbi Direktive Vijeća 200</w:t>
      </w:r>
      <w:r w:rsidRPr="004B6D43">
        <w:t>1/55/EZ</w:t>
      </w:r>
      <w:r w:rsidRPr="004B6D43">
        <w:rPr>
          <w:szCs w:val="24"/>
          <w:vertAlign w:val="superscript"/>
        </w:rPr>
        <w:footnoteReference w:id="12"/>
      </w:r>
      <w:r w:rsidRPr="004B6D43">
        <w:t xml:space="preserve"> u 16 država članica i projekti prikupljanja podataka o iskustvima žena koje su pobjegle od rata u vezi s nasiljem i drugim kršenjima ljudskih prava;</w:t>
      </w:r>
    </w:p>
    <w:p w:rsidR="002A493E" w:rsidRPr="004B6D43" w:rsidRDefault="002A493E" w:rsidP="002A493E">
      <w:pPr>
        <w:pStyle w:val="NormalHanging12a"/>
        <w:ind w:left="560" w:hanging="560"/>
      </w:pPr>
      <w:r w:rsidRPr="004B6D43">
        <w:t>8.</w:t>
      </w:r>
      <w:r w:rsidRPr="004B6D43">
        <w:tab/>
        <w:t>prepoznaje ulogu Agencije u osnaživanju nacionalne infrastrukture za ljudska prava suradnjom i stvaranjem sinergije s institucijama za ljudska prava te partnerstvima s institucijama civilnog društva; primjećuje da Agencija kontinuirano pruža smjernice u području azila i migracija te obavlja redovite preglede nad pitanjima u području temeljnih prava u vezi s migracijama koja se upućuju državama članicama; pozdravlja ulogu Agencije u poticanju diskursa koji se temelji na ljudskim pravima razvojem učinkovite komunikacije, sudjelovanjem u razvoju novih digitalnih aplikacija i alata te okupljanjem aktera u području ljudskih prava radi promicanja europskih vrijednosti i sloboda;</w:t>
      </w:r>
    </w:p>
    <w:p w:rsidR="002A493E" w:rsidRPr="004B6D43" w:rsidRDefault="002A493E" w:rsidP="002A493E">
      <w:pPr>
        <w:pStyle w:val="NormalHanging12a"/>
      </w:pPr>
      <w:r w:rsidRPr="004B6D43">
        <w:t>9.</w:t>
      </w:r>
      <w:r w:rsidRPr="004B6D43">
        <w:tab/>
        <w:t>s velikom zabrinutošću primjećuje da je Agencija u svrhu praćenja stanja temeljnih prava i vladavine prava u Mađarskoj odlučila surađivati s Nacionalnim sveučilištem javnih službi i Uredom povjerenika za temeljna prava i oslanjati se na informacije koje su joj oni dali, iako su obje institucije već podržale nazadovanja u pogledu stanja temeljnih prava u Mađarskoj; konstatira, na primjer, da je Komisija u svojem Izvješću o vladavini prava za 2022. izrazila „ozbiljnu zabrinutost” u pogledu neovisnosti mađarskog povjerenika za temeljna prava; žali zbog toga što je Agencija ipak odlučila da neće preispitati suradnju s institucijama koje u osnovi promiču nazadovanje demokracije, iako bi glavna zadaća Agencije trebala biti doprinos obrani temeljnih prava, posebno u problematičnim slučajevima kao što je onaj mađarske vlade; poziva Agenciju da obustavi suradnju s tim institucijama i da tijelo nadležno za davanje razrješnice obavještava o napretku u tom pogledu;</w:t>
      </w:r>
    </w:p>
    <w:p w:rsidR="002A493E" w:rsidRPr="004B6D43" w:rsidRDefault="002A493E" w:rsidP="002A493E">
      <w:pPr>
        <w:pStyle w:val="Normal12Hanging"/>
        <w:tabs>
          <w:tab w:val="left" w:pos="567"/>
        </w:tabs>
        <w:rPr>
          <w:b/>
          <w:i/>
          <w:szCs w:val="24"/>
        </w:rPr>
      </w:pPr>
      <w:r w:rsidRPr="004B6D43">
        <w:rPr>
          <w:b/>
          <w:i/>
        </w:rPr>
        <w:t>Učinkovitost i rezultati u tom području</w:t>
      </w:r>
    </w:p>
    <w:p w:rsidR="002A493E" w:rsidRPr="004B6D43" w:rsidRDefault="002A493E" w:rsidP="002A493E">
      <w:pPr>
        <w:pStyle w:val="Normal12Hanging"/>
        <w:tabs>
          <w:tab w:val="left" w:pos="567"/>
        </w:tabs>
        <w:rPr>
          <w:szCs w:val="24"/>
        </w:rPr>
      </w:pPr>
      <w:r w:rsidRPr="004B6D43">
        <w:t>10.</w:t>
      </w:r>
      <w:r w:rsidRPr="004B6D43">
        <w:tab/>
        <w:t xml:space="preserve">konstatira da je Agencija tijekom 2022. nastavila suradnju s Mrežom agencija za </w:t>
      </w:r>
      <w:r w:rsidRPr="004B6D43">
        <w:lastRenderedPageBreak/>
        <w:t xml:space="preserve">pravosuđe i unutarnje poslove (JHAN) i agencijama koje ta mreža okuplja kako bi odgovorila na izazove u zajedničkim područjima rada, kao što su unutarnja sigurnost, migracije, organizirani kriminal, azil i granice, doprinoseći stručnim znanjem o temeljnim pravima; u tom kontekstu posebno prima na znanje suradnju Agencije tijekom 2022. s Europskim institutom za ravnopravnost spolova na pripremi ankete o nasilju nad ženama, s Agencijom Europske unije za azil na preispitivanju nekih modula osposobljavanja i sastavljanju brošure o privremenoj zaštiti skrbnika djece bez pratnje, s Agencijom Europske unije za osposobljavanje u području izvršavanja zakonodavstva u vidu </w:t>
      </w:r>
      <w:proofErr w:type="spellStart"/>
      <w:r w:rsidRPr="004B6D43">
        <w:t>moderiranja</w:t>
      </w:r>
      <w:proofErr w:type="spellEnd"/>
      <w:r w:rsidRPr="004B6D43">
        <w:t xml:space="preserve"> tečajeva o podacima i izvješćivanju o zločinima iz mržnje i s Agencijom Europske unije za suradnju u kaznenom pravosuđu na izradi priručnika o </w:t>
      </w:r>
      <w:proofErr w:type="spellStart"/>
      <w:r w:rsidRPr="004B6D43">
        <w:t>kiberkriminalu</w:t>
      </w:r>
      <w:proofErr w:type="spellEnd"/>
      <w:r w:rsidRPr="004B6D43">
        <w:t xml:space="preserve"> i temeljnim pravima; prima na znanje suradnju Agencije tijekom 2022. i s agencijama i drugim subjektima izvan JHAN-a, kao što su Europska zaklada za poboljšanje životnih i radnih uvjeta, Europsko nadzorno tijelo za rad i </w:t>
      </w:r>
      <w:proofErr w:type="spellStart"/>
      <w:r w:rsidRPr="004B6D43">
        <w:t>Eurostat</w:t>
      </w:r>
      <w:proofErr w:type="spellEnd"/>
      <w:r w:rsidRPr="004B6D43">
        <w:t>; potiče istraživanje i pronalaženje mogućnosti za dodatnu sinergiju kako bi se povećala učinkovitost i smanjili troškovi;</w:t>
      </w:r>
    </w:p>
    <w:p w:rsidR="002A493E" w:rsidRPr="004B6D43" w:rsidRDefault="002A493E" w:rsidP="002A493E">
      <w:pPr>
        <w:pStyle w:val="Normal12Hanging"/>
        <w:tabs>
          <w:tab w:val="left" w:pos="567"/>
        </w:tabs>
        <w:rPr>
          <w:szCs w:val="24"/>
        </w:rPr>
      </w:pPr>
      <w:r w:rsidRPr="004B6D43">
        <w:t>11.</w:t>
      </w:r>
      <w:r w:rsidRPr="004B6D43">
        <w:tab/>
        <w:t xml:space="preserve">iz odgovora Agencije na pismena pitanja Parlamenta primjećuje da je Agencija poduzela inicijative kako bi povećala učinkovitost i rezultate u tom području, i to automatizacijom zadaća koje se ponavljaju, </w:t>
      </w:r>
      <w:proofErr w:type="spellStart"/>
      <w:r w:rsidRPr="004B6D43">
        <w:t>mapiranjem</w:t>
      </w:r>
      <w:proofErr w:type="spellEnd"/>
      <w:r w:rsidRPr="004B6D43">
        <w:t xml:space="preserve"> i preoblikovanjem trenutačnih poslovnih procesa, revizijom organizacijske strukture kako bi se bolje iskoristili postojeći resursi, sustavnijem uspostavom platformi za suradnju, pojednostavnjenjem pravila i postupaka koji se primjenjuju na upravljanje financijskim i ljudskim resursima, kao i kvalitativnim evaluacijama nastojanja da se poveća učinkovitost;</w:t>
      </w:r>
    </w:p>
    <w:p w:rsidR="002A493E" w:rsidRPr="004B6D43" w:rsidRDefault="002A493E" w:rsidP="002A493E">
      <w:pPr>
        <w:pStyle w:val="NormalHanging12a"/>
      </w:pPr>
      <w:r w:rsidRPr="004B6D43">
        <w:t>12.</w:t>
      </w:r>
      <w:r w:rsidRPr="004B6D43">
        <w:tab/>
        <w:t xml:space="preserve">pozdravlja to što je Agencija tijekom 2022. nastavila automatizirati i pojednostavnjivati kadrovske postupke, među ostalim proširenjem primjene alata SYSPER; u tom kontekstu konstatira da je Agencija uvela novi alat za postupak zapošljavanja kako bi olakšala odabir i omogućila ugodnije korisničko iskustvo za kandidate i kadrovsku službu, kao i da je uvela dodatne podatkovne alate za automatizaciju određenih aspekata obrade plaća; također konstatira da je Agencija u međuvremenu uvela Komisijin sustav za elektroničko arhiviranje i upravljanje dokumentacijom (ARES), što je rezultiralo integracijom rješenja EU </w:t>
      </w:r>
      <w:proofErr w:type="spellStart"/>
      <w:r w:rsidRPr="004B6D43">
        <w:t>Sign</w:t>
      </w:r>
      <w:proofErr w:type="spellEnd"/>
      <w:r w:rsidRPr="004B6D43">
        <w:t xml:space="preserve"> kojim se omogućuje upotreba kvalificiranog elektroničkog potpisa; pohvaljuje dovršetak priprema za uvođenje Komisijina alata za upravljanje javnom nabavom (e-nabava) tijekom 2023.;</w:t>
      </w:r>
    </w:p>
    <w:p w:rsidR="002A493E" w:rsidRPr="004B6D43" w:rsidRDefault="002A493E" w:rsidP="002A493E">
      <w:pPr>
        <w:pStyle w:val="NormalHanging12a"/>
      </w:pPr>
      <w:r w:rsidRPr="004B6D43">
        <w:t>13.</w:t>
      </w:r>
      <w:r w:rsidRPr="004B6D43">
        <w:tab/>
        <w:t>prima na znanje da Agencija primjenjuje načelo „više rezultata uz manje resursa”, na temelju kojeg je već ostvarena ušteda od 350 000 EUR, a očekuje se ušteda još 200 000 EUR zahvaljujući upotrebi internih resursa za razvoj novih informatičkih aplikacija i novih tehnologija u digitalnom oblaku koje su Agenciji pomogle da dodatno optimizira informatičku infrastrukturu; konstatira da zbog nastojanja da učinkovito koristi resurse Agencija također uvodi Komisijine aplikacije, smanjuje temperaturu grijanja zgrada, provodi elektroničke postupke u području financija i sklapanja ugovora te smanjuje opseg poštanskih i kurirskih usluga, među ostalim; potiče Agenciju da u tom pogledu širi najbolje prakse putem svojih kanala za suradnju s drugim decentraliziranim agencijama EU-a;</w:t>
      </w:r>
    </w:p>
    <w:p w:rsidR="002A493E" w:rsidRPr="004B6D43" w:rsidRDefault="002A493E" w:rsidP="002A493E">
      <w:pPr>
        <w:pStyle w:val="Normal12Hanging"/>
        <w:tabs>
          <w:tab w:val="left" w:pos="567"/>
        </w:tabs>
        <w:rPr>
          <w:szCs w:val="24"/>
        </w:rPr>
      </w:pPr>
      <w:r w:rsidRPr="004B6D43">
        <w:t>14.</w:t>
      </w:r>
      <w:r w:rsidRPr="004B6D43">
        <w:tab/>
        <w:t xml:space="preserve">prima na znanje navode iz izvješća Revizorskog suda da Agencija ne pripada onim agencijama koje su izradile poslovne planove za povećanje energetske učinkovitosti i klimatske neutralnosti svojeg poslovanja, uključile neki oblik izvješćivanja o okolišu u svoja godišnja izvješća o radu i primile registraciju u sustavu EMAS; međutim, na temelju odgovora Agencije na pismena pitanja Parlamenta konstatira da se certifikacija </w:t>
      </w:r>
      <w:r w:rsidRPr="004B6D43">
        <w:lastRenderedPageBreak/>
        <w:t>EMAS-a očekuje nakon što Agencija preseli u svoje nove prostorije, što će također biti u skladu sa zahtjevima europskog zelenog plana; pohvaljuje Agenciju zbog uvođenje zelenih kriterija javne nabave u vezi s okolišnim i socijalnim zahtjevima te kriterija odabira i dodjelu unutar prirodnih granica činjenice da Agencija uglavnom nabavlja usluge;</w:t>
      </w:r>
    </w:p>
    <w:p w:rsidR="002A493E" w:rsidRPr="004B6D43" w:rsidRDefault="002A493E" w:rsidP="002A493E">
      <w:pPr>
        <w:pStyle w:val="NormalHanging12a"/>
        <w:tabs>
          <w:tab w:val="left" w:pos="567"/>
        </w:tabs>
        <w:rPr>
          <w:b/>
          <w:i/>
          <w:szCs w:val="24"/>
        </w:rPr>
      </w:pPr>
      <w:r w:rsidRPr="004B6D43">
        <w:rPr>
          <w:b/>
          <w:i/>
        </w:rPr>
        <w:t>Kadrovska politika</w:t>
      </w:r>
    </w:p>
    <w:p w:rsidR="002A493E" w:rsidRPr="004B6D43" w:rsidRDefault="002A493E" w:rsidP="002A493E">
      <w:pPr>
        <w:pStyle w:val="Normal12Hanging"/>
        <w:tabs>
          <w:tab w:val="left" w:pos="567"/>
        </w:tabs>
        <w:rPr>
          <w:szCs w:val="24"/>
        </w:rPr>
      </w:pPr>
      <w:r w:rsidRPr="004B6D43">
        <w:t>15.</w:t>
      </w:r>
      <w:r w:rsidRPr="004B6D43">
        <w:tab/>
        <w:t>konstatira da je na dan 31. prosinca 2022. stopa provedbe plana radnih mjesta iznosila 94 % , tj. da je bilo zaposleno 68 privremenih djelatnika od njih ukupno 72 koji su odobreni u okviru proračuna Unije (isti broj odobrenih radnih mjesta kao i 2021.); također konstatira da su 2022. u Agenciji u ekvivalentu punog radnog vremena radila 28,4 ugovorna djelatnika te 9 upućenih nacionalnih stručnjaka (uključujući jednoga bez troškova); konstatira da je stopa fluktuacije tijekom 2022. bila niska (1,9 %); također primjećuje da je Agencija tijekom 2022. nastavila automatizirati i pojednostavnjivati kadrovske postupke kako bi dodatno povećala učinkovitost;</w:t>
      </w:r>
    </w:p>
    <w:p w:rsidR="002A493E" w:rsidRPr="004B6D43" w:rsidRDefault="002A493E" w:rsidP="002A493E">
      <w:pPr>
        <w:pStyle w:val="Normal12Hanging"/>
        <w:tabs>
          <w:tab w:val="left" w:pos="567"/>
        </w:tabs>
      </w:pPr>
      <w:r w:rsidRPr="004B6D43">
        <w:t>16.</w:t>
      </w:r>
      <w:r w:rsidRPr="004B6D43">
        <w:tab/>
        <w:t>sa zadovoljstvom prima na znanje rodnu ravnotežu među članovima višeg i srednjeg rukovodstva Agencije, s 3 muškarca (50 %) i 3 žene (50 %), na razini upravnog odbora, u kojem su od 65 članova njih 33 žene (51 %), te na razini cjelokupnog osoblja Agencije, u kojem su od 105 članova njih 57 žene (54 %); konstatira da je rodna ravnoteža jedan od glavnih ciljeva Agencije u pogledu nediskriminacije te da se tom pitanju i dalje pridaje posebna pozornost u radu njezinih tijela, kao što je Skupina za ravnopravnost i raznolikost, koja radi na promicanju rodne nediskriminacije u svim aspektima postupaka povezanih s ljudskim resursima u Agenciji;</w:t>
      </w:r>
    </w:p>
    <w:p w:rsidR="002A493E" w:rsidRPr="004B6D43" w:rsidRDefault="002A493E" w:rsidP="002A493E">
      <w:pPr>
        <w:pStyle w:val="NormalHanging12a"/>
      </w:pPr>
      <w:r w:rsidRPr="004B6D43">
        <w:t>17.</w:t>
      </w:r>
      <w:r w:rsidRPr="004B6D43">
        <w:tab/>
        <w:t>konstatira da je Agencija na dan 1. listopada 2022. zapošljavala osoblje iz 23 države članice; pozdravlja napore koje Agencija ulaže u postizanje geografske ravnoteže; konstatira da, je u okviru strategije Agencije za jednake mogućnosti i nediskriminaciju, promicanje raznolikosti, uključujući geografsku ravnotežu, dio općih ciljeva u svim kadrovskim postupcima, kao što su zapošljavanje i odabir;</w:t>
      </w:r>
    </w:p>
    <w:p w:rsidR="002A493E" w:rsidRPr="004B6D43" w:rsidRDefault="002A493E" w:rsidP="002A493E">
      <w:pPr>
        <w:pStyle w:val="Normal12Hanging"/>
        <w:tabs>
          <w:tab w:val="left" w:pos="567"/>
        </w:tabs>
        <w:rPr>
          <w:szCs w:val="24"/>
        </w:rPr>
      </w:pPr>
      <w:r w:rsidRPr="004B6D43">
        <w:t>18.</w:t>
      </w:r>
      <w:r w:rsidRPr="004B6D43">
        <w:tab/>
        <w:t>primjećuje da je Agencija poduzela nekoliko mjera za integraciju osoba s invaliditetom u vidu prilagodbi radnog mjesta, unapređenja poslovnih prostora radi lakše pristupačnosti, odobravanja posebnog aranžmana rada na daljinu i organizacije redovitog osposobljavanja osoblja radi senzibilizacije o invaliditetu; pozdravlja nastojanja Agencije da privuče prijave za stažiranje kandidata s invaliditetom; konstatira da Agencija također radi na usvajanju politike potpore osobama s invaliditetom;</w:t>
      </w:r>
    </w:p>
    <w:p w:rsidR="002A493E" w:rsidRPr="004B6D43" w:rsidRDefault="002A493E" w:rsidP="002A493E">
      <w:pPr>
        <w:pStyle w:val="Normal12Hanging"/>
        <w:tabs>
          <w:tab w:val="left" w:pos="567"/>
        </w:tabs>
        <w:rPr>
          <w:szCs w:val="24"/>
        </w:rPr>
      </w:pPr>
      <w:r w:rsidRPr="004B6D43">
        <w:t>19.</w:t>
      </w:r>
      <w:r w:rsidRPr="004B6D43">
        <w:tab/>
        <w:t>konstatira da Agencija podržava dobrobit svojeg osoblja tako što osigurava usluge psihološke potpore i potiče tjelesnu aktivnost u okviru novog programa donesenog 2022. kojim se pruža financijski doprinos za članarine za sportske aktivnosti te tako što je usvojila Komisijina pravila o hibridnom načinu rada;</w:t>
      </w:r>
    </w:p>
    <w:p w:rsidR="002A493E" w:rsidRPr="004B6D43" w:rsidRDefault="002A493E" w:rsidP="002A493E">
      <w:pPr>
        <w:pStyle w:val="Normal12Hanging"/>
        <w:tabs>
          <w:tab w:val="left" w:pos="567"/>
        </w:tabs>
        <w:rPr>
          <w:szCs w:val="24"/>
        </w:rPr>
      </w:pPr>
      <w:r w:rsidRPr="004B6D43">
        <w:rPr>
          <w:b/>
          <w:i/>
        </w:rPr>
        <w:t>Sprečavanje i postupanje u slučaju sukoba interesa te transparentnost</w:t>
      </w:r>
    </w:p>
    <w:p w:rsidR="002A493E" w:rsidRPr="004B6D43" w:rsidRDefault="002A493E" w:rsidP="002A493E">
      <w:pPr>
        <w:pStyle w:val="NormalHanging12a"/>
        <w:tabs>
          <w:tab w:val="left" w:pos="567"/>
        </w:tabs>
        <w:rPr>
          <w:szCs w:val="24"/>
        </w:rPr>
      </w:pPr>
      <w:r w:rsidRPr="004B6D43">
        <w:t>20.</w:t>
      </w:r>
      <w:r w:rsidRPr="004B6D43">
        <w:tab/>
        <w:t>konstatira da su životopisi i izjave o financijskim interesima članova upravnog odbora i rukovodstva objavljeni na internetskim stranicama Agencije; na temelju izvješća Agencije o poduzetim daljnjim mjerama konstatira da je Agencija odlučila da na svojim internetskim stranicama više neće objavljivati informacije o internim stručnjacima;</w:t>
      </w:r>
    </w:p>
    <w:p w:rsidR="002A493E" w:rsidRPr="004B6D43" w:rsidRDefault="002A493E" w:rsidP="002A493E">
      <w:pPr>
        <w:pStyle w:val="NormalHanging12a"/>
        <w:tabs>
          <w:tab w:val="left" w:pos="567"/>
        </w:tabs>
        <w:rPr>
          <w:szCs w:val="24"/>
        </w:rPr>
      </w:pPr>
      <w:r w:rsidRPr="004B6D43">
        <w:lastRenderedPageBreak/>
        <w:t>21.</w:t>
      </w:r>
      <w:r w:rsidRPr="004B6D43">
        <w:tab/>
        <w:t>pozdravlja činjenicu da je Agencija 2022. provela preispitivanje/ažuriranje izjava o financijskim interesima svih članova osoblja, zbog čega su sastavljene određene preventivne preporuke; također konstatira da Agencija pruža obvezno osposobljavanje osoblja o etici i integritetu te daje smjernice za procjenu vanjskih aktivnosti; u pogledu praćenja mjere u kojoj se bivše osoblje Agencije pridržava primjenjivih odluka u vezi s pojavom „rotirajućih vrata” i povezanim ograničenjima, konstatira da Agencija procjenjuje mogućnost provedbe nasumičnih kontrola; poziva Agenciju da tijelo nadležno za davanje razrješnice izvijesti o napretku postignutom u tom području;</w:t>
      </w:r>
    </w:p>
    <w:p w:rsidR="002A493E" w:rsidRPr="004B6D43" w:rsidRDefault="002A493E" w:rsidP="002A493E">
      <w:pPr>
        <w:pStyle w:val="NormalHanging12a"/>
        <w:tabs>
          <w:tab w:val="left" w:pos="567"/>
        </w:tabs>
        <w:rPr>
          <w:szCs w:val="24"/>
        </w:rPr>
      </w:pPr>
      <w:r w:rsidRPr="004B6D43">
        <w:t>22.</w:t>
      </w:r>
      <w:r w:rsidRPr="004B6D43">
        <w:tab/>
        <w:t>konstatira da je Agencija 2022. utvrdila potencijalni rizik od percipiranog sukoba interesa jednog člana upravnog odbora u vezi s jednim ugovorom o projektu koji je Agencija sklopila i koji se financira bespovratnim sredstvima EEA-e/Norveške; konstatira da je nakon procjene zaključeno da ta situacija ne predstavlja stvarni sukob interesa; svejedno pozdravlja mjere poduzete za ublažavanje takvih rizika, među ostalim inicijativu da se prije sljedećeg sastanka upravnog odbora zatraži ažuriranje izjave o financijskim interesima dotičnog člana upravnog odbora, kao i da se taj član izuzme iz donošenja svih odluke upravnog odbora povezanih s predmetnim projektom;</w:t>
      </w:r>
    </w:p>
    <w:p w:rsidR="002A493E" w:rsidRPr="004B6D43" w:rsidRDefault="002A493E" w:rsidP="002A493E">
      <w:pPr>
        <w:pStyle w:val="Normal12Hanging"/>
        <w:tabs>
          <w:tab w:val="left" w:pos="567"/>
        </w:tabs>
        <w:rPr>
          <w:b/>
          <w:i/>
          <w:szCs w:val="24"/>
        </w:rPr>
      </w:pPr>
      <w:r w:rsidRPr="004B6D43">
        <w:rPr>
          <w:b/>
          <w:i/>
        </w:rPr>
        <w:t>Unutarnja kontrola</w:t>
      </w:r>
    </w:p>
    <w:p w:rsidR="002A493E" w:rsidRPr="004B6D43" w:rsidRDefault="002A493E" w:rsidP="002A493E">
      <w:pPr>
        <w:pStyle w:val="NormalHanging12a"/>
        <w:tabs>
          <w:tab w:val="left" w:pos="567"/>
        </w:tabs>
        <w:rPr>
          <w:szCs w:val="24"/>
        </w:rPr>
      </w:pPr>
      <w:r w:rsidRPr="004B6D43">
        <w:t>23.</w:t>
      </w:r>
      <w:r w:rsidRPr="004B6D43">
        <w:tab/>
        <w:t>konstatira da je Agencija 2022. obavila procjenu svojih sustava unutarnje kontrole i zaključila da su djelotvorni te da su potrebne komponente i načela prisutni i općenito dobro funkcioniraju, uz neke manje nedostatke povezane s načelima 5., 13. i 14., odnosno s pravovremenim zaključenjem postupka povezanoga s izvješćem o razvoju karijere, kao i s potrebom za poboljšanjem strategije za upravljanje unutarnjim i vanjskim dionicima u području komunikacije;</w:t>
      </w:r>
    </w:p>
    <w:p w:rsidR="002A493E" w:rsidRPr="004B6D43" w:rsidRDefault="002A493E" w:rsidP="002A493E">
      <w:pPr>
        <w:pStyle w:val="NormalHanging12a"/>
        <w:tabs>
          <w:tab w:val="left" w:pos="567"/>
        </w:tabs>
        <w:rPr>
          <w:szCs w:val="24"/>
        </w:rPr>
      </w:pPr>
      <w:r w:rsidRPr="004B6D43">
        <w:t>24.</w:t>
      </w:r>
      <w:r w:rsidRPr="004B6D43">
        <w:tab/>
        <w:t>konstatira da je u tijeku provedba akcijskog plana u vezi sa strategijom Agencije za borbu protiv prijevara ažuriranom 2021. i da su poduzeti koraci za sve mjere iz tog plana, uključujući posebnu procjenu rizika od prijevara, podizanje razine osviještenosti osoblja o sprečavanju prijevara i pravilima za zviždače te pravodobno ažuriranje pravnog okvira;</w:t>
      </w:r>
    </w:p>
    <w:p w:rsidR="002A493E" w:rsidRPr="004B6D43" w:rsidRDefault="002A493E" w:rsidP="002A493E">
      <w:pPr>
        <w:pStyle w:val="Normal12Hanging"/>
        <w:tabs>
          <w:tab w:val="left" w:pos="567"/>
        </w:tabs>
        <w:rPr>
          <w:b/>
          <w:i/>
          <w:szCs w:val="24"/>
        </w:rPr>
      </w:pPr>
      <w:r w:rsidRPr="004B6D43">
        <w:rPr>
          <w:b/>
          <w:i/>
        </w:rPr>
        <w:t>Ostale primjedbe</w:t>
      </w:r>
    </w:p>
    <w:p w:rsidR="002A493E" w:rsidRPr="004B6D43" w:rsidRDefault="002A493E" w:rsidP="002A493E">
      <w:pPr>
        <w:pStyle w:val="Normal12Hanging"/>
        <w:rPr>
          <w:szCs w:val="24"/>
        </w:rPr>
      </w:pPr>
      <w:r w:rsidRPr="004B6D43">
        <w:t>25.</w:t>
      </w:r>
      <w:r w:rsidRPr="004B6D43">
        <w:tab/>
        <w:t>pozdravlja trud koji je Agencija uložila u povećanje svoje vidljivosti u javnosti i prisutnost na internetu; pohvaljuje poboljšane vrijednosti parametara koje je Agencija tijekom 2022. zabilježila u pogledu upotrebe različitih društvenih mreža; konstatira da je Agencija tijekom 2022. osmislila kampanju na društvenim mrežama pod nazivom „Naši podaci vaš su saveznik” kako bi mlade informirala o podacima o mladima kojima se mogu koristiti kada rade na zastupanju određenih interesa; također konstatira da je Agencija tijekom 2022. organizirala 134 sastanka i događanja, uključujući radionice i internetske seminare, te četvrti dijalog o temeljnim pravima u Parizu, u suradnji s francuskim predsjedništvom Vijeća, uredima za vezu Komisije i Parlamenta u Francuskoj i Gradu Parizu, kao i prvi višednevni susret te vrste za lidere i stručnjake u području ljudskih prava pod nazivom „Ljudska prava u središtu budućnosti Europe”, na kojem se okupilo 60 različitih dionika;</w:t>
      </w:r>
    </w:p>
    <w:p w:rsidR="002A493E" w:rsidRPr="004B6D43" w:rsidRDefault="002A493E" w:rsidP="002A493E">
      <w:pPr>
        <w:pStyle w:val="NormalCenter12a"/>
      </w:pPr>
      <w:r w:rsidRPr="004B6D43">
        <w:t>°</w:t>
      </w:r>
    </w:p>
    <w:p w:rsidR="002A493E" w:rsidRPr="004B6D43" w:rsidRDefault="002A493E" w:rsidP="002A493E">
      <w:pPr>
        <w:pStyle w:val="NormalCenter12a"/>
      </w:pPr>
      <w:r w:rsidRPr="004B6D43">
        <w:t>°</w:t>
      </w:r>
      <w:r w:rsidRPr="004B6D43">
        <w:tab/>
        <w:t>°</w:t>
      </w:r>
    </w:p>
    <w:p w:rsidR="002A493E" w:rsidRPr="004B6D43" w:rsidRDefault="002A493E" w:rsidP="004B6D43">
      <w:pPr>
        <w:ind w:left="567" w:hanging="567"/>
      </w:pPr>
      <w:r w:rsidRPr="004B6D43">
        <w:lastRenderedPageBreak/>
        <w:t>26.</w:t>
      </w:r>
      <w:r w:rsidRPr="004B6D43">
        <w:tab/>
        <w:t xml:space="preserve">u vezi s drugim primjedbama koje su priložene Odluci o razrješnici i horizontalne su naravi upućuje na svoju Rezoluciju od </w:t>
      </w:r>
      <w:r w:rsidR="004B6D43">
        <w:t>11. travnja 2024.</w:t>
      </w:r>
      <w:r w:rsidRPr="004B6D43">
        <w:rPr>
          <w:rStyle w:val="FootnoteReference"/>
        </w:rPr>
        <w:footnoteReference w:id="13"/>
      </w:r>
      <w:r w:rsidRPr="004B6D43">
        <w:t xml:space="preserve"> o uspješnosti, financijskom upravljanju i nadzoru agencija.</w:t>
      </w:r>
    </w:p>
    <w:sectPr w:rsidR="002A493E" w:rsidRPr="004B6D43" w:rsidSect="00F11F8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C02" w:rsidRPr="00F11F8E" w:rsidRDefault="00033C02">
      <w:r w:rsidRPr="00F11F8E">
        <w:separator/>
      </w:r>
    </w:p>
  </w:endnote>
  <w:endnote w:type="continuationSeparator" w:id="0">
    <w:p w:rsidR="00033C02" w:rsidRPr="00F11F8E" w:rsidRDefault="00033C02">
      <w:r w:rsidRPr="00F11F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93E" w:rsidRPr="00F11F8E" w:rsidRDefault="002A493E" w:rsidP="009913D0">
    <w:pPr>
      <w:pStyle w:val="EPFooter"/>
    </w:pPr>
    <w:r w:rsidRPr="00F11F8E">
      <w:t>PE</w:t>
    </w:r>
    <w:r w:rsidRPr="00F11F8E">
      <w:rPr>
        <w:rStyle w:val="HideTWBExt"/>
      </w:rPr>
      <w:t>&lt;NoPE&gt;</w:t>
    </w:r>
    <w:r w:rsidRPr="00F11F8E">
      <w:t>753.542</w:t>
    </w:r>
    <w:r w:rsidRPr="00F11F8E">
      <w:rPr>
        <w:rStyle w:val="HideTWBExt"/>
      </w:rPr>
      <w:t>&lt;/NoPE&gt;&lt;Version&gt;</w:t>
    </w:r>
    <w:r w:rsidRPr="00F11F8E">
      <w:t>v02-00</w:t>
    </w:r>
    <w:r w:rsidRPr="00F11F8E">
      <w:rPr>
        <w:rStyle w:val="HideTWBExt"/>
      </w:rPr>
      <w:t>&lt;/Version&gt;</w:t>
    </w:r>
    <w:r w:rsidRPr="00F11F8E">
      <w:tab/>
    </w:r>
    <w:r w:rsidRPr="00F11F8E">
      <w:fldChar w:fldCharType="begin"/>
    </w:r>
    <w:r w:rsidRPr="00F11F8E">
      <w:instrText xml:space="preserve"> PAGE  \* MERGEFORMAT </w:instrText>
    </w:r>
    <w:r w:rsidRPr="00F11F8E">
      <w:fldChar w:fldCharType="separate"/>
    </w:r>
    <w:r w:rsidR="00F11F8E" w:rsidRPr="00F11F8E">
      <w:rPr>
        <w:noProof/>
      </w:rPr>
      <w:t>2</w:t>
    </w:r>
    <w:r w:rsidRPr="00F11F8E">
      <w:fldChar w:fldCharType="end"/>
    </w:r>
    <w:r w:rsidRPr="00F11F8E">
      <w:t>/</w:t>
    </w:r>
    <w:fldSimple w:instr=" NUMPAGES  \* MERGEFORMAT ">
      <w:r w:rsidR="00F11F8E" w:rsidRPr="00F11F8E">
        <w:rPr>
          <w:noProof/>
        </w:rPr>
        <w:t>4</w:t>
      </w:r>
    </w:fldSimple>
    <w:r w:rsidRPr="00F11F8E">
      <w:tab/>
    </w:r>
    <w:r w:rsidRPr="00F11F8E">
      <w:rPr>
        <w:rStyle w:val="HideTWBExt"/>
      </w:rPr>
      <w:t>&lt;PathFdR&gt;</w:t>
    </w:r>
    <w:r w:rsidRPr="00F11F8E">
      <w:t>RR\1298898HR.docx</w:t>
    </w:r>
    <w:r w:rsidRPr="00F11F8E">
      <w:rPr>
        <w:rStyle w:val="HideTWBExt"/>
      </w:rPr>
      <w:t>&lt;/PathFdR&gt;</w:t>
    </w:r>
  </w:p>
  <w:p w:rsidR="002A493E" w:rsidRPr="00F11F8E" w:rsidRDefault="002A493E" w:rsidP="009913D0">
    <w:pPr>
      <w:pStyle w:val="EPFooter2"/>
    </w:pPr>
    <w:r w:rsidRPr="00F11F8E"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493E" w:rsidRPr="00F11F8E" w:rsidRDefault="002A493E" w:rsidP="009913D0">
    <w:pPr>
      <w:pStyle w:val="EPFooter"/>
    </w:pPr>
    <w:r w:rsidRPr="00F11F8E">
      <w:rPr>
        <w:rStyle w:val="HideTWBExt"/>
      </w:rPr>
      <w:t>&lt;PathFdR&gt;</w:t>
    </w:r>
    <w:r w:rsidRPr="00F11F8E">
      <w:t>RR\1298898HR.docx</w:t>
    </w:r>
    <w:r w:rsidRPr="00F11F8E">
      <w:rPr>
        <w:rStyle w:val="HideTWBExt"/>
      </w:rPr>
      <w:t>&lt;/PathFdR&gt;</w:t>
    </w:r>
    <w:r w:rsidRPr="00F11F8E">
      <w:tab/>
    </w:r>
    <w:r w:rsidRPr="00F11F8E">
      <w:tab/>
      <w:t>PE</w:t>
    </w:r>
    <w:r w:rsidRPr="00F11F8E">
      <w:rPr>
        <w:rStyle w:val="HideTWBExt"/>
      </w:rPr>
      <w:t>&lt;NoPE&gt;</w:t>
    </w:r>
    <w:r w:rsidRPr="00F11F8E">
      <w:t>753.542</w:t>
    </w:r>
    <w:r w:rsidRPr="00F11F8E">
      <w:rPr>
        <w:rStyle w:val="HideTWBExt"/>
      </w:rPr>
      <w:t>&lt;/NoPE&gt;&lt;Version&gt;</w:t>
    </w:r>
    <w:r w:rsidRPr="00F11F8E">
      <w:t>v02-00</w:t>
    </w:r>
    <w:r w:rsidRPr="00F11F8E">
      <w:rPr>
        <w:rStyle w:val="HideTWBExt"/>
      </w:rPr>
      <w:t>&lt;/Version&gt;</w:t>
    </w:r>
  </w:p>
  <w:p w:rsidR="002A493E" w:rsidRPr="00F11F8E" w:rsidRDefault="002A493E" w:rsidP="009913D0">
    <w:pPr>
      <w:pStyle w:val="EPFooter2"/>
    </w:pPr>
    <w:r w:rsidRPr="00F11F8E">
      <w:t>HR</w:t>
    </w:r>
    <w:r w:rsidRPr="00F11F8E">
      <w:tab/>
    </w:r>
    <w:r w:rsidRPr="00F11F8E">
      <w:rPr>
        <w:b w:val="0"/>
        <w:i/>
        <w:color w:val="C0C0C0"/>
        <w:sz w:val="22"/>
      </w:rPr>
      <w:t>Ujedinjena u raznolikosti</w:t>
    </w:r>
    <w:r w:rsidRPr="00F11F8E">
      <w:tab/>
      <w:t>HR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F8E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F8E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F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C02" w:rsidRPr="00F11F8E" w:rsidRDefault="00033C02">
      <w:r w:rsidRPr="00F11F8E">
        <w:separator/>
      </w:r>
    </w:p>
  </w:footnote>
  <w:footnote w:type="continuationSeparator" w:id="0">
    <w:p w:rsidR="00033C02" w:rsidRPr="00F11F8E" w:rsidRDefault="00033C02">
      <w:r w:rsidRPr="00F11F8E">
        <w:continuationSeparator/>
      </w:r>
    </w:p>
  </w:footnote>
  <w:footnote w:id="1">
    <w:p w:rsidR="002A493E" w:rsidRPr="00F11F8E" w:rsidRDefault="002A493E" w:rsidP="00F11F8E">
      <w:pPr>
        <w:pStyle w:val="FootnoteText"/>
        <w:ind w:left="567" w:hanging="567"/>
        <w:rPr>
          <w:sz w:val="24"/>
          <w:lang w:val="hr-HR"/>
        </w:rPr>
      </w:pPr>
      <w:r w:rsidRPr="00F11F8E">
        <w:rPr>
          <w:rStyle w:val="FootnoteReference"/>
          <w:sz w:val="24"/>
          <w:lang w:val="hr-HR"/>
        </w:rPr>
        <w:footnoteRef/>
      </w:r>
      <w:r w:rsidR="00F11F8E" w:rsidRPr="00F11F8E">
        <w:rPr>
          <w:sz w:val="24"/>
          <w:lang w:val="hr-HR"/>
        </w:rPr>
        <w:t xml:space="preserve"> </w:t>
      </w:r>
      <w:r w:rsidR="00F11F8E" w:rsidRPr="00F11F8E">
        <w:rPr>
          <w:sz w:val="24"/>
          <w:lang w:val="hr-HR"/>
        </w:rPr>
        <w:tab/>
      </w:r>
      <w:r w:rsidRPr="00F11F8E">
        <w:rPr>
          <w:sz w:val="24"/>
          <w:lang w:val="hr-HR"/>
        </w:rPr>
        <w:t>SL C</w:t>
      </w:r>
      <w:r w:rsidR="00D87EBE">
        <w:rPr>
          <w:sz w:val="24"/>
          <w:lang w:val="hr-HR"/>
        </w:rPr>
        <w:t>,</w:t>
      </w:r>
      <w:r w:rsidRPr="00F11F8E">
        <w:rPr>
          <w:sz w:val="24"/>
          <w:lang w:val="hr-HR"/>
        </w:rPr>
        <w:t xml:space="preserve"> C/2023/594, 27.10.2023.</w:t>
      </w:r>
    </w:p>
  </w:footnote>
  <w:footnote w:id="2">
    <w:p w:rsidR="002A493E" w:rsidRPr="00F11F8E" w:rsidRDefault="002A493E" w:rsidP="00F11F8E">
      <w:pPr>
        <w:pStyle w:val="FootnoteText"/>
        <w:ind w:left="567" w:hanging="567"/>
        <w:rPr>
          <w:sz w:val="24"/>
          <w:lang w:val="hr-HR"/>
        </w:rPr>
      </w:pPr>
      <w:r w:rsidRPr="00F11F8E">
        <w:rPr>
          <w:rStyle w:val="FootnoteReference"/>
          <w:sz w:val="24"/>
          <w:lang w:val="hr-HR"/>
        </w:rPr>
        <w:footnoteRef/>
      </w:r>
      <w:r w:rsidR="00F11F8E" w:rsidRPr="00F11F8E">
        <w:rPr>
          <w:sz w:val="24"/>
          <w:lang w:val="hr-HR"/>
        </w:rPr>
        <w:t xml:space="preserve"> </w:t>
      </w:r>
      <w:r w:rsidR="00F11F8E" w:rsidRPr="00F11F8E">
        <w:rPr>
          <w:sz w:val="24"/>
          <w:lang w:val="hr-HR"/>
        </w:rPr>
        <w:tab/>
      </w:r>
      <w:r w:rsidRPr="00F11F8E">
        <w:rPr>
          <w:sz w:val="24"/>
          <w:lang w:val="hr-HR"/>
        </w:rPr>
        <w:t>SL C</w:t>
      </w:r>
      <w:r w:rsidR="00D87EBE">
        <w:rPr>
          <w:sz w:val="24"/>
          <w:lang w:val="hr-HR"/>
        </w:rPr>
        <w:t>,</w:t>
      </w:r>
      <w:r w:rsidRPr="00F11F8E">
        <w:rPr>
          <w:sz w:val="24"/>
          <w:lang w:val="hr-HR"/>
        </w:rPr>
        <w:t xml:space="preserve"> C/2023/112, 12.10.2023.</w:t>
      </w:r>
    </w:p>
  </w:footnote>
  <w:footnote w:id="3">
    <w:p w:rsidR="002A493E" w:rsidRPr="00F11F8E" w:rsidRDefault="002A493E" w:rsidP="00F11F8E">
      <w:pPr>
        <w:pStyle w:val="FootnoteText"/>
        <w:ind w:left="567" w:hanging="567"/>
        <w:rPr>
          <w:sz w:val="24"/>
          <w:lang w:val="hr-HR"/>
        </w:rPr>
      </w:pPr>
      <w:r w:rsidRPr="00F11F8E">
        <w:rPr>
          <w:rStyle w:val="FootnoteReference"/>
          <w:sz w:val="24"/>
          <w:lang w:val="hr-HR"/>
        </w:rPr>
        <w:footnoteRef/>
      </w:r>
      <w:r w:rsidR="00F11F8E" w:rsidRPr="00F11F8E">
        <w:rPr>
          <w:sz w:val="24"/>
          <w:lang w:val="hr-HR"/>
        </w:rPr>
        <w:t xml:space="preserve"> </w:t>
      </w:r>
      <w:r w:rsidR="00F11F8E" w:rsidRPr="00F11F8E">
        <w:rPr>
          <w:sz w:val="24"/>
          <w:lang w:val="hr-HR"/>
        </w:rPr>
        <w:tab/>
      </w:r>
      <w:r w:rsidRPr="00F11F8E">
        <w:rPr>
          <w:sz w:val="24"/>
          <w:lang w:val="hr-HR"/>
        </w:rPr>
        <w:t>SL L 193, 30.7.2018., str. 1.</w:t>
      </w:r>
    </w:p>
  </w:footnote>
  <w:footnote w:id="4">
    <w:p w:rsidR="002A493E" w:rsidRPr="00F11F8E" w:rsidRDefault="002A493E" w:rsidP="00F11F8E">
      <w:pPr>
        <w:pStyle w:val="FootnoteText"/>
        <w:ind w:left="567" w:hanging="567"/>
        <w:rPr>
          <w:sz w:val="24"/>
          <w:lang w:val="hr-HR"/>
        </w:rPr>
      </w:pPr>
      <w:r w:rsidRPr="00F11F8E">
        <w:rPr>
          <w:rStyle w:val="FootnoteReference"/>
          <w:sz w:val="24"/>
          <w:lang w:val="hr-HR"/>
        </w:rPr>
        <w:footnoteRef/>
      </w:r>
      <w:r w:rsidR="00F11F8E" w:rsidRPr="00F11F8E">
        <w:rPr>
          <w:sz w:val="24"/>
          <w:lang w:val="hr-HR"/>
        </w:rPr>
        <w:t xml:space="preserve"> </w:t>
      </w:r>
      <w:r w:rsidR="00F11F8E" w:rsidRPr="00F11F8E">
        <w:rPr>
          <w:sz w:val="24"/>
          <w:lang w:val="hr-HR"/>
        </w:rPr>
        <w:tab/>
      </w:r>
      <w:r w:rsidRPr="00F11F8E">
        <w:rPr>
          <w:sz w:val="24"/>
          <w:lang w:val="hr-HR"/>
        </w:rPr>
        <w:t>SL L 53, 22.2.2007., str. 1.</w:t>
      </w:r>
    </w:p>
  </w:footnote>
  <w:footnote w:id="5">
    <w:p w:rsidR="002A493E" w:rsidRPr="00F11F8E" w:rsidRDefault="002A493E" w:rsidP="00F11F8E">
      <w:pPr>
        <w:pStyle w:val="FootnoteText"/>
        <w:ind w:left="567" w:hanging="567"/>
        <w:rPr>
          <w:sz w:val="24"/>
          <w:lang w:val="hr-HR"/>
        </w:rPr>
      </w:pPr>
      <w:r w:rsidRPr="00F11F8E">
        <w:rPr>
          <w:rStyle w:val="FootnoteReference"/>
          <w:sz w:val="24"/>
          <w:lang w:val="hr-HR"/>
        </w:rPr>
        <w:footnoteRef/>
      </w:r>
      <w:r w:rsidR="00F11F8E" w:rsidRPr="00F11F8E">
        <w:rPr>
          <w:sz w:val="24"/>
          <w:lang w:val="hr-HR"/>
        </w:rPr>
        <w:t xml:space="preserve"> </w:t>
      </w:r>
      <w:r w:rsidR="00F11F8E" w:rsidRPr="00F11F8E">
        <w:rPr>
          <w:sz w:val="24"/>
          <w:lang w:val="hr-HR"/>
        </w:rPr>
        <w:tab/>
      </w:r>
      <w:r w:rsidRPr="00F11F8E">
        <w:rPr>
          <w:sz w:val="24"/>
          <w:lang w:val="hr-HR"/>
        </w:rPr>
        <w:t>SL L 122, 10.5.2019., str. 1.</w:t>
      </w:r>
    </w:p>
  </w:footnote>
  <w:footnote w:id="6">
    <w:p w:rsidR="002A493E" w:rsidRPr="00F11F8E" w:rsidRDefault="002A493E" w:rsidP="00F11F8E">
      <w:pPr>
        <w:pStyle w:val="FootnoteText"/>
        <w:ind w:left="567" w:hanging="567"/>
        <w:rPr>
          <w:sz w:val="24"/>
          <w:lang w:val="hr-HR"/>
        </w:rPr>
      </w:pPr>
      <w:r w:rsidRPr="00F11F8E">
        <w:rPr>
          <w:rStyle w:val="FootnoteReference"/>
          <w:sz w:val="24"/>
          <w:lang w:val="hr-HR"/>
        </w:rPr>
        <w:footnoteRef/>
      </w:r>
      <w:r w:rsidR="00F11F8E" w:rsidRPr="00F11F8E">
        <w:rPr>
          <w:sz w:val="24"/>
          <w:lang w:val="hr-HR"/>
        </w:rPr>
        <w:t xml:space="preserve"> </w:t>
      </w:r>
      <w:r w:rsidR="00F11F8E" w:rsidRPr="00F11F8E">
        <w:rPr>
          <w:sz w:val="24"/>
          <w:lang w:val="hr-HR"/>
        </w:rPr>
        <w:tab/>
      </w:r>
      <w:r w:rsidRPr="00F11F8E">
        <w:rPr>
          <w:sz w:val="24"/>
          <w:lang w:val="hr-HR"/>
        </w:rPr>
        <w:t>SL C</w:t>
      </w:r>
      <w:r w:rsidR="00D87EBE">
        <w:rPr>
          <w:sz w:val="24"/>
          <w:lang w:val="hr-HR"/>
        </w:rPr>
        <w:t>,</w:t>
      </w:r>
      <w:r w:rsidRPr="00F11F8E">
        <w:rPr>
          <w:sz w:val="24"/>
          <w:lang w:val="hr-HR"/>
        </w:rPr>
        <w:t xml:space="preserve"> C/2023/594, 27.10.2023.</w:t>
      </w:r>
    </w:p>
  </w:footnote>
  <w:footnote w:id="7">
    <w:p w:rsidR="002A493E" w:rsidRPr="00F11F8E" w:rsidRDefault="002A493E" w:rsidP="00F11F8E">
      <w:pPr>
        <w:pStyle w:val="FootnoteText"/>
        <w:ind w:left="567" w:hanging="567"/>
        <w:rPr>
          <w:sz w:val="24"/>
          <w:lang w:val="hr-HR"/>
        </w:rPr>
      </w:pPr>
      <w:r w:rsidRPr="00F11F8E">
        <w:rPr>
          <w:rStyle w:val="FootnoteReference"/>
          <w:sz w:val="24"/>
          <w:lang w:val="hr-HR"/>
        </w:rPr>
        <w:footnoteRef/>
      </w:r>
      <w:r w:rsidR="00F11F8E" w:rsidRPr="00F11F8E">
        <w:rPr>
          <w:sz w:val="24"/>
          <w:lang w:val="hr-HR"/>
        </w:rPr>
        <w:t xml:space="preserve"> </w:t>
      </w:r>
      <w:r w:rsidR="00F11F8E" w:rsidRPr="00F11F8E">
        <w:rPr>
          <w:sz w:val="24"/>
          <w:lang w:val="hr-HR"/>
        </w:rPr>
        <w:tab/>
      </w:r>
      <w:r w:rsidRPr="00F11F8E">
        <w:rPr>
          <w:sz w:val="24"/>
          <w:lang w:val="hr-HR"/>
        </w:rPr>
        <w:t xml:space="preserve">SL </w:t>
      </w:r>
      <w:r w:rsidRPr="00F11F8E">
        <w:rPr>
          <w:sz w:val="24"/>
          <w:lang w:val="hr-HR"/>
        </w:rPr>
        <w:t>C</w:t>
      </w:r>
      <w:r w:rsidR="00D87EBE">
        <w:rPr>
          <w:sz w:val="24"/>
          <w:lang w:val="hr-HR"/>
        </w:rPr>
        <w:t>,</w:t>
      </w:r>
      <w:bookmarkStart w:id="9" w:name="_GoBack"/>
      <w:bookmarkEnd w:id="9"/>
      <w:r w:rsidRPr="00F11F8E">
        <w:rPr>
          <w:sz w:val="24"/>
          <w:lang w:val="hr-HR"/>
        </w:rPr>
        <w:t xml:space="preserve"> C/2023/112, 12.10.2023.</w:t>
      </w:r>
    </w:p>
  </w:footnote>
  <w:footnote w:id="8">
    <w:p w:rsidR="002A493E" w:rsidRPr="00F11F8E" w:rsidRDefault="002A493E" w:rsidP="00F11F8E">
      <w:pPr>
        <w:pStyle w:val="FootnoteText"/>
        <w:ind w:left="567" w:hanging="567"/>
        <w:rPr>
          <w:sz w:val="24"/>
          <w:lang w:val="hr-HR"/>
        </w:rPr>
      </w:pPr>
      <w:r w:rsidRPr="00F11F8E">
        <w:rPr>
          <w:rStyle w:val="FootnoteReference"/>
          <w:sz w:val="24"/>
          <w:lang w:val="hr-HR"/>
        </w:rPr>
        <w:footnoteRef/>
      </w:r>
      <w:r w:rsidR="00F11F8E" w:rsidRPr="00F11F8E">
        <w:rPr>
          <w:sz w:val="24"/>
          <w:lang w:val="hr-HR"/>
        </w:rPr>
        <w:t xml:space="preserve"> </w:t>
      </w:r>
      <w:r w:rsidR="00F11F8E" w:rsidRPr="00F11F8E">
        <w:rPr>
          <w:sz w:val="24"/>
          <w:lang w:val="hr-HR"/>
        </w:rPr>
        <w:tab/>
      </w:r>
      <w:r w:rsidRPr="00F11F8E">
        <w:rPr>
          <w:sz w:val="24"/>
          <w:lang w:val="hr-HR"/>
        </w:rPr>
        <w:t>SL L 193, 30.7.2018., str. 1.</w:t>
      </w:r>
    </w:p>
  </w:footnote>
  <w:footnote w:id="9">
    <w:p w:rsidR="002A493E" w:rsidRPr="00F11F8E" w:rsidRDefault="002A493E" w:rsidP="00F11F8E">
      <w:pPr>
        <w:pStyle w:val="FootnoteText"/>
        <w:ind w:left="567" w:hanging="567"/>
        <w:rPr>
          <w:sz w:val="24"/>
          <w:lang w:val="hr-HR"/>
        </w:rPr>
      </w:pPr>
      <w:r w:rsidRPr="00F11F8E">
        <w:rPr>
          <w:rStyle w:val="FootnoteReference"/>
          <w:sz w:val="24"/>
          <w:lang w:val="hr-HR"/>
        </w:rPr>
        <w:footnoteRef/>
      </w:r>
      <w:r w:rsidR="00F11F8E" w:rsidRPr="00F11F8E">
        <w:rPr>
          <w:sz w:val="24"/>
          <w:lang w:val="hr-HR"/>
        </w:rPr>
        <w:t xml:space="preserve"> </w:t>
      </w:r>
      <w:r w:rsidR="00F11F8E" w:rsidRPr="00F11F8E">
        <w:rPr>
          <w:sz w:val="24"/>
          <w:lang w:val="hr-HR"/>
        </w:rPr>
        <w:tab/>
      </w:r>
      <w:r w:rsidRPr="00F11F8E">
        <w:rPr>
          <w:sz w:val="24"/>
          <w:lang w:val="hr-HR"/>
        </w:rPr>
        <w:t>SL L 53, 22.2.2007., str. 1.</w:t>
      </w:r>
    </w:p>
  </w:footnote>
  <w:footnote w:id="10">
    <w:p w:rsidR="002A493E" w:rsidRPr="00F11F8E" w:rsidRDefault="002A493E" w:rsidP="00F11F8E">
      <w:pPr>
        <w:pStyle w:val="FootnoteText"/>
        <w:ind w:left="567" w:hanging="567"/>
        <w:rPr>
          <w:sz w:val="24"/>
          <w:lang w:val="hr-HR"/>
        </w:rPr>
      </w:pPr>
      <w:r w:rsidRPr="00F11F8E">
        <w:rPr>
          <w:rStyle w:val="FootnoteReference"/>
          <w:sz w:val="24"/>
          <w:lang w:val="hr-HR"/>
        </w:rPr>
        <w:footnoteRef/>
      </w:r>
      <w:r w:rsidR="00F11F8E" w:rsidRPr="00F11F8E">
        <w:rPr>
          <w:sz w:val="24"/>
          <w:lang w:val="hr-HR"/>
        </w:rPr>
        <w:t xml:space="preserve"> </w:t>
      </w:r>
      <w:r w:rsidR="00F11F8E" w:rsidRPr="00F11F8E">
        <w:rPr>
          <w:sz w:val="24"/>
          <w:lang w:val="hr-HR"/>
        </w:rPr>
        <w:tab/>
      </w:r>
      <w:r w:rsidRPr="00F11F8E">
        <w:rPr>
          <w:sz w:val="24"/>
          <w:lang w:val="hr-HR"/>
        </w:rPr>
        <w:t>SL L 122, 10.5.2019., str. 1.</w:t>
      </w:r>
    </w:p>
  </w:footnote>
  <w:footnote w:id="11">
    <w:p w:rsidR="002A493E" w:rsidRPr="00F11F8E" w:rsidRDefault="002A493E" w:rsidP="00F11F8E">
      <w:pPr>
        <w:pStyle w:val="FootnoteText"/>
        <w:ind w:left="567" w:hanging="567"/>
        <w:rPr>
          <w:sz w:val="24"/>
          <w:lang w:val="hr-HR"/>
        </w:rPr>
      </w:pPr>
      <w:r w:rsidRPr="00F11F8E">
        <w:rPr>
          <w:rStyle w:val="FootnoteReference"/>
          <w:sz w:val="24"/>
          <w:lang w:val="hr-HR"/>
        </w:rPr>
        <w:footnoteRef/>
      </w:r>
      <w:r w:rsidR="00F11F8E" w:rsidRPr="00F11F8E">
        <w:rPr>
          <w:sz w:val="24"/>
          <w:lang w:val="hr-HR"/>
        </w:rPr>
        <w:t xml:space="preserve"> </w:t>
      </w:r>
      <w:r w:rsidR="00F11F8E" w:rsidRPr="00F11F8E">
        <w:rPr>
          <w:sz w:val="24"/>
          <w:lang w:val="hr-HR"/>
        </w:rPr>
        <w:tab/>
      </w:r>
      <w:r w:rsidRPr="00F11F8E">
        <w:rPr>
          <w:sz w:val="24"/>
          <w:lang w:val="hr-HR"/>
        </w:rPr>
        <w:t>SL C 38, 31.1.2023., str. 189.</w:t>
      </w:r>
    </w:p>
  </w:footnote>
  <w:footnote w:id="12">
    <w:p w:rsidR="002A493E" w:rsidRPr="00F11F8E" w:rsidRDefault="002A493E" w:rsidP="00F11F8E">
      <w:pPr>
        <w:ind w:left="567" w:hanging="567"/>
      </w:pPr>
      <w:r w:rsidRPr="00F11F8E">
        <w:rPr>
          <w:rStyle w:val="FootnoteReference"/>
        </w:rPr>
        <w:footnoteRef/>
      </w:r>
      <w:r w:rsidR="00F11F8E" w:rsidRPr="00F11F8E">
        <w:t xml:space="preserve"> </w:t>
      </w:r>
      <w:r w:rsidR="00F11F8E" w:rsidRPr="00F11F8E">
        <w:tab/>
      </w:r>
      <w:r w:rsidRPr="00F11F8E">
        <w:t>Direktiva Vijeća 2001/55/EZ od 20. srpnja 2001. o minimalnim standardima za dodjelu privremene zaštite u slučaju masovnog priljeva raseljenih osoba te o mjerama za promicanje uravnoteženih napora država članica pri prihvatu i snošenj</w:t>
      </w:r>
      <w:r w:rsidR="004B6D43">
        <w:t>u posljedica prihvata tih osoba</w:t>
      </w:r>
      <w:r w:rsidRPr="00F11F8E">
        <w:t xml:space="preserve"> (SL L 212, 7.8.2001., str. 12.)</w:t>
      </w:r>
      <w:r w:rsidR="004B6D43">
        <w:t>.</w:t>
      </w:r>
    </w:p>
  </w:footnote>
  <w:footnote w:id="13">
    <w:p w:rsidR="002A493E" w:rsidRPr="00F11F8E" w:rsidRDefault="002A493E" w:rsidP="00F11F8E">
      <w:pPr>
        <w:pStyle w:val="FootnoteText"/>
        <w:ind w:left="567" w:hanging="567"/>
        <w:rPr>
          <w:sz w:val="24"/>
          <w:lang w:val="hr-HR"/>
        </w:rPr>
      </w:pPr>
      <w:r w:rsidRPr="00F11F8E">
        <w:rPr>
          <w:rStyle w:val="FootnoteReference"/>
          <w:sz w:val="24"/>
          <w:lang w:val="hr-HR"/>
        </w:rPr>
        <w:footnoteRef/>
      </w:r>
      <w:r w:rsidR="00F11F8E" w:rsidRPr="00F11F8E">
        <w:rPr>
          <w:sz w:val="24"/>
          <w:lang w:val="hr-HR"/>
        </w:rPr>
        <w:t xml:space="preserve"> </w:t>
      </w:r>
      <w:r w:rsidR="00F11F8E" w:rsidRPr="00F11F8E">
        <w:rPr>
          <w:sz w:val="24"/>
          <w:lang w:val="hr-HR"/>
        </w:rPr>
        <w:tab/>
      </w:r>
      <w:r w:rsidR="004B6D43">
        <w:rPr>
          <w:sz w:val="24"/>
          <w:lang w:val="hr-HR"/>
        </w:rPr>
        <w:t>Usvojeni tekstovi</w:t>
      </w:r>
      <w:r w:rsidRPr="00F11F8E">
        <w:rPr>
          <w:sz w:val="24"/>
          <w:lang w:val="hr-HR"/>
        </w:rPr>
        <w:t>, P9_TA(2024)0</w:t>
      </w:r>
      <w:r w:rsidR="004B6D43">
        <w:rPr>
          <w:sz w:val="24"/>
          <w:lang w:val="hr-HR"/>
        </w:rPr>
        <w:t>280</w:t>
      </w:r>
      <w:r w:rsidRPr="00F11F8E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F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F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11F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2/2024"/>
    <w:docVar w:name="dvlangue" w:val="HR"/>
    <w:docVar w:name="dvnumam" w:val="0"/>
    <w:docVar w:name="dvpe" w:val="753.542"/>
    <w:docVar w:name="dvrapporteur" w:val="Izvjestitelj: "/>
    <w:docVar w:name="dvtitre" w:val="Odluka Europskog parlamenta od .... 2024. o razrješnici za izvršenje proračuna Agencije Europske unije za temeljna prava za financijsku godinu 2022.(2023/2171(DEC))"/>
  </w:docVars>
  <w:rsids>
    <w:rsidRoot w:val="00033C02"/>
    <w:rsid w:val="00002272"/>
    <w:rsid w:val="00033C0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493E"/>
    <w:rsid w:val="002B18FE"/>
    <w:rsid w:val="002B5493"/>
    <w:rsid w:val="00343214"/>
    <w:rsid w:val="00361C00"/>
    <w:rsid w:val="00395FA1"/>
    <w:rsid w:val="003E15D4"/>
    <w:rsid w:val="003E55A8"/>
    <w:rsid w:val="003F4E82"/>
    <w:rsid w:val="00411CCE"/>
    <w:rsid w:val="0041666E"/>
    <w:rsid w:val="00421060"/>
    <w:rsid w:val="00471C19"/>
    <w:rsid w:val="004867E3"/>
    <w:rsid w:val="00494A28"/>
    <w:rsid w:val="004B6D43"/>
    <w:rsid w:val="004C0004"/>
    <w:rsid w:val="004C5D52"/>
    <w:rsid w:val="0050519A"/>
    <w:rsid w:val="005072A1"/>
    <w:rsid w:val="00514517"/>
    <w:rsid w:val="00545827"/>
    <w:rsid w:val="00560270"/>
    <w:rsid w:val="005C0B1B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81BB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00BA"/>
    <w:rsid w:val="00D834A0"/>
    <w:rsid w:val="00D872DF"/>
    <w:rsid w:val="00D87EBE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1F8E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0D3790"/>
  <w15:chartTrackingRefBased/>
  <w15:docId w15:val="{F8C47025-B2A6-460F-A017-04F7700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Text Char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2A493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2A493E"/>
    <w:pPr>
      <w:spacing w:before="480" w:after="240"/>
    </w:pPr>
  </w:style>
  <w:style w:type="paragraph" w:customStyle="1" w:styleId="PageHeading">
    <w:name w:val="PageHeading"/>
    <w:basedOn w:val="Normal"/>
    <w:rsid w:val="002A493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A493E"/>
    <w:rPr>
      <w:b/>
    </w:rPr>
  </w:style>
  <w:style w:type="paragraph" w:customStyle="1" w:styleId="NormalHanging12a">
    <w:name w:val="NormalHanging12a"/>
    <w:basedOn w:val="Normal"/>
    <w:link w:val="NormalHanging12aChar"/>
    <w:rsid w:val="002A493E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2A493E"/>
    <w:pPr>
      <w:spacing w:after="240"/>
      <w:jc w:val="center"/>
    </w:pPr>
  </w:style>
  <w:style w:type="paragraph" w:styleId="Header">
    <w:name w:val="header"/>
    <w:basedOn w:val="Normal"/>
    <w:link w:val="HeaderChar"/>
    <w:rsid w:val="002A493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A493E"/>
    <w:rPr>
      <w:sz w:val="24"/>
      <w:lang w:val="hr-HR"/>
    </w:rPr>
  </w:style>
  <w:style w:type="paragraph" w:customStyle="1" w:styleId="EPFooter">
    <w:name w:val="EPFooter"/>
    <w:basedOn w:val="Normal"/>
    <w:rsid w:val="002A493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2A493E"/>
    <w:rPr>
      <w:sz w:val="24"/>
      <w:lang w:val="hr-HR"/>
    </w:rPr>
  </w:style>
  <w:style w:type="paragraph" w:customStyle="1" w:styleId="Normal12Hanging">
    <w:name w:val="Normal12Hanging"/>
    <w:basedOn w:val="Normal"/>
    <w:rsid w:val="002A493E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4B6D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B6D43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1AE2E3-176D-45C6-9072-E3BEC734E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3621</Words>
  <Characters>21869</Characters>
  <Application>Microsoft Office Word</Application>
  <DocSecurity>0</DocSecurity>
  <Lines>182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Karina Pesa</cp:lastModifiedBy>
  <cp:revision>3</cp:revision>
  <cp:lastPrinted>2004-11-19T15:42:00Z</cp:lastPrinted>
  <dcterms:created xsi:type="dcterms:W3CDTF">2024-05-23T08:39:00Z</dcterms:created>
  <dcterms:modified xsi:type="dcterms:W3CDTF">2024-10-31T07:40:00Z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P9_TA(2024)0240_</vt:lpwstr>
  </property>
  <property fmtid="{D5CDD505-2E9C-101B-9397-08002B2CF9AE}" pid="4" name="&lt;Type&gt;">
    <vt:lpwstr>RR</vt:lpwstr>
  </property>
</Properties>
</file>