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5D3" w:rsidTr="0010095E">
        <w:trPr>
          <w:trHeight w:hRule="exact" w:val="1418"/>
        </w:trPr>
        <w:tc>
          <w:tcPr>
            <w:tcW w:w="6804" w:type="dxa"/>
            <w:shd w:val="clear" w:color="auto" w:fill="auto"/>
            <w:vAlign w:val="center"/>
          </w:tcPr>
          <w:p w:rsidR="00751A4A" w:rsidRPr="00C035D3" w:rsidRDefault="00AD1B46" w:rsidP="0010095E">
            <w:pPr>
              <w:pStyle w:val="EPName"/>
            </w:pPr>
            <w:r w:rsidRPr="00C035D3">
              <w:t>Európai Parlament</w:t>
            </w:r>
          </w:p>
          <w:p w:rsidR="00751A4A" w:rsidRPr="00C035D3" w:rsidRDefault="00817416" w:rsidP="00756632">
            <w:pPr>
              <w:pStyle w:val="EPTerm"/>
              <w:rPr>
                <w:rStyle w:val="HideTWBExt"/>
                <w:noProof w:val="0"/>
                <w:vanish w:val="0"/>
                <w:color w:val="auto"/>
              </w:rPr>
            </w:pPr>
            <w:r w:rsidRPr="00C035D3">
              <w:t>2019-2024</w:t>
            </w:r>
          </w:p>
        </w:tc>
        <w:tc>
          <w:tcPr>
            <w:tcW w:w="2268" w:type="dxa"/>
            <w:shd w:val="clear" w:color="auto" w:fill="auto"/>
          </w:tcPr>
          <w:p w:rsidR="00751A4A" w:rsidRPr="00C035D3" w:rsidRDefault="00187494" w:rsidP="0010095E">
            <w:pPr>
              <w:pStyle w:val="EPLogo"/>
            </w:pPr>
            <w:r w:rsidRPr="00C035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35D3" w:rsidRDefault="00D058B8" w:rsidP="004C5D52">
      <w:pPr>
        <w:pStyle w:val="LineTop"/>
      </w:pPr>
    </w:p>
    <w:p w:rsidR="00680577" w:rsidRPr="00C035D3" w:rsidRDefault="00AD1B46" w:rsidP="00680577">
      <w:pPr>
        <w:pStyle w:val="EPBodyTA1"/>
      </w:pPr>
      <w:r w:rsidRPr="00C035D3">
        <w:t>ELFOGADOTT SZÖVEGEK</w:t>
      </w:r>
    </w:p>
    <w:p w:rsidR="00D058B8" w:rsidRPr="00C035D3" w:rsidRDefault="00D058B8" w:rsidP="00D058B8">
      <w:pPr>
        <w:pStyle w:val="LineBottom"/>
      </w:pPr>
    </w:p>
    <w:p w:rsidR="00AD1B46" w:rsidRPr="00C035D3" w:rsidRDefault="00AD1B46" w:rsidP="00AD1B46">
      <w:pPr>
        <w:pStyle w:val="ATHeading1"/>
      </w:pPr>
      <w:bookmarkStart w:id="0" w:name="TANumber"/>
      <w:r w:rsidRPr="00C035D3">
        <w:t>P9_</w:t>
      </w:r>
      <w:proofErr w:type="gramStart"/>
      <w:r w:rsidRPr="00C035D3">
        <w:t>TA(</w:t>
      </w:r>
      <w:proofErr w:type="gramEnd"/>
      <w:r w:rsidRPr="00C035D3">
        <w:t>2024)0</w:t>
      </w:r>
      <w:r w:rsidR="00E80FC3" w:rsidRPr="00C035D3">
        <w:t>24</w:t>
      </w:r>
      <w:r w:rsidRPr="00C035D3">
        <w:t>0</w:t>
      </w:r>
      <w:bookmarkEnd w:id="0"/>
    </w:p>
    <w:p w:rsidR="00AD1B46" w:rsidRPr="00C035D3" w:rsidRDefault="008F4887" w:rsidP="00AD1B46">
      <w:pPr>
        <w:pStyle w:val="ATHeading2"/>
      </w:pPr>
      <w:bookmarkStart w:id="1" w:name="title"/>
      <w:r w:rsidRPr="00C035D3">
        <w:rPr>
          <w:bCs/>
        </w:rPr>
        <w:t xml:space="preserve">2022. évi </w:t>
      </w:r>
      <w:proofErr w:type="gramStart"/>
      <w:r w:rsidRPr="00C035D3">
        <w:rPr>
          <w:bCs/>
        </w:rPr>
        <w:t>mentesítés</w:t>
      </w:r>
      <w:proofErr w:type="gramEnd"/>
      <w:r w:rsidRPr="00C035D3">
        <w:rPr>
          <w:bCs/>
        </w:rPr>
        <w:t>: az Európai Unió Alapjogi Ügynöksége</w:t>
      </w:r>
      <w:bookmarkEnd w:id="1"/>
    </w:p>
    <w:p w:rsidR="00AD1B46" w:rsidRPr="00C035D3" w:rsidRDefault="00AD1B46" w:rsidP="00AD1B46">
      <w:pPr>
        <w:rPr>
          <w:i/>
          <w:vanish/>
        </w:rPr>
      </w:pPr>
      <w:r w:rsidRPr="00C035D3">
        <w:rPr>
          <w:i/>
        </w:rPr>
        <w:fldChar w:fldCharType="begin"/>
      </w:r>
      <w:r w:rsidRPr="00C035D3">
        <w:rPr>
          <w:i/>
        </w:rPr>
        <w:instrText xml:space="preserve"> TC"(</w:instrText>
      </w:r>
      <w:bookmarkStart w:id="2" w:name="DocNumber"/>
      <w:r w:rsidRPr="00C035D3">
        <w:rPr>
          <w:i/>
        </w:rPr>
        <w:instrText>A9-011</w:instrText>
      </w:r>
      <w:r w:rsidR="00DF742B" w:rsidRPr="00C035D3">
        <w:rPr>
          <w:i/>
        </w:rPr>
        <w:instrText>2</w:instrText>
      </w:r>
      <w:r w:rsidRPr="00C035D3">
        <w:rPr>
          <w:i/>
        </w:rPr>
        <w:instrText>/2024</w:instrText>
      </w:r>
      <w:bookmarkEnd w:id="2"/>
      <w:r w:rsidRPr="00C035D3">
        <w:rPr>
          <w:i/>
        </w:rPr>
        <w:instrText xml:space="preserve"> - Előadó: Petri Sarvamaa)"\l3 \n&gt; \* MERGEFORMAT </w:instrText>
      </w:r>
      <w:r w:rsidRPr="00C035D3">
        <w:rPr>
          <w:i/>
        </w:rPr>
        <w:fldChar w:fldCharType="end"/>
      </w:r>
    </w:p>
    <w:p w:rsidR="00AD1B46" w:rsidRPr="00C035D3" w:rsidRDefault="00AD1B46" w:rsidP="00AD1B46">
      <w:pPr>
        <w:rPr>
          <w:vanish/>
        </w:rPr>
      </w:pPr>
      <w:bookmarkStart w:id="3" w:name="Commission"/>
      <w:r w:rsidRPr="00C035D3">
        <w:rPr>
          <w:vanish/>
        </w:rPr>
        <w:t>Költségvetési Ellenőrző Bizottság</w:t>
      </w:r>
      <w:bookmarkEnd w:id="3"/>
    </w:p>
    <w:p w:rsidR="00AD1B46" w:rsidRPr="00C035D3" w:rsidRDefault="00AD1B46" w:rsidP="00AD1B46">
      <w:pPr>
        <w:rPr>
          <w:vanish/>
        </w:rPr>
      </w:pPr>
      <w:bookmarkStart w:id="4" w:name="PE"/>
      <w:r w:rsidRPr="00C035D3">
        <w:rPr>
          <w:vanish/>
        </w:rPr>
        <w:t>PE753.54</w:t>
      </w:r>
      <w:r w:rsidR="00DF742B" w:rsidRPr="00C035D3">
        <w:rPr>
          <w:vanish/>
        </w:rPr>
        <w:t>2</w:t>
      </w:r>
      <w:bookmarkEnd w:id="4"/>
    </w:p>
    <w:p w:rsidR="00AD1B46" w:rsidRPr="00C035D3" w:rsidRDefault="008F4887" w:rsidP="00AD1B46">
      <w:pPr>
        <w:pStyle w:val="ATHeading3"/>
      </w:pPr>
      <w:bookmarkStart w:id="5" w:name="Sujet"/>
      <w:r w:rsidRPr="00C035D3">
        <w:t xml:space="preserve">1. </w:t>
      </w:r>
      <w:r w:rsidR="00AD1B46" w:rsidRPr="00C035D3">
        <w:t xml:space="preserve">Az Európai Parlament 2024. </w:t>
      </w:r>
      <w:r w:rsidRPr="00C035D3">
        <w:t>április 11</w:t>
      </w:r>
      <w:r w:rsidR="00AD1B46" w:rsidRPr="00C035D3">
        <w:t xml:space="preserve">-i határozata </w:t>
      </w:r>
      <w:bookmarkStart w:id="6" w:name="References"/>
      <w:bookmarkEnd w:id="5"/>
      <w:r w:rsidR="00DF742B" w:rsidRPr="00C035D3">
        <w:t xml:space="preserve">az Európai Unió Alapjogi Ügynöksége 2022. évi pénzügyi évre szóló költségvetésének végrehajtására vonatkozó mentesítésről </w:t>
      </w:r>
      <w:r w:rsidR="00AD1B46" w:rsidRPr="00C035D3">
        <w:t>(</w:t>
      </w:r>
      <w:r w:rsidR="00DF742B" w:rsidRPr="00C035D3">
        <w:t>2023/</w:t>
      </w:r>
      <w:proofErr w:type="gramStart"/>
      <w:r w:rsidR="00DF742B" w:rsidRPr="00C035D3">
        <w:t>2171(</w:t>
      </w:r>
      <w:proofErr w:type="gramEnd"/>
      <w:r w:rsidR="00DF742B" w:rsidRPr="00C035D3">
        <w:t>DEC</w:t>
      </w:r>
      <w:r w:rsidR="00AD1B46" w:rsidRPr="00C035D3">
        <w:t>))</w:t>
      </w:r>
      <w:bookmarkEnd w:id="6"/>
    </w:p>
    <w:p w:rsidR="00DF742B" w:rsidRPr="00C035D3" w:rsidRDefault="00DF742B" w:rsidP="00DF742B">
      <w:pPr>
        <w:pStyle w:val="EPComma"/>
      </w:pPr>
      <w:bookmarkStart w:id="7" w:name="TextBodyBegin"/>
      <w:bookmarkEnd w:id="7"/>
      <w:r w:rsidRPr="00C035D3">
        <w:rPr>
          <w:i/>
        </w:rPr>
        <w:t>Az Európai Parlament,</w:t>
      </w:r>
    </w:p>
    <w:p w:rsidR="00DF742B" w:rsidRPr="00C035D3" w:rsidRDefault="00DF742B" w:rsidP="008F4887">
      <w:pPr>
        <w:widowControl/>
        <w:spacing w:after="240"/>
        <w:ind w:left="567" w:hanging="567"/>
      </w:pPr>
      <w:r w:rsidRPr="00C035D3">
        <w:t>–</w:t>
      </w:r>
      <w:r w:rsidRPr="00C035D3">
        <w:tab/>
        <w:t>tekintettel az Európai Unió Alapjogi Ügynöksége 2022. évi pénzügyi évre vonatkozó végleges éves beszámolójára,</w:t>
      </w:r>
    </w:p>
    <w:p w:rsidR="00DF742B" w:rsidRPr="00C035D3" w:rsidRDefault="00F44D32" w:rsidP="008F4887">
      <w:pPr>
        <w:widowControl/>
        <w:spacing w:after="240"/>
        <w:ind w:left="567" w:hanging="567"/>
      </w:pPr>
      <w:r w:rsidRPr="00C035D3">
        <w:t>–</w:t>
      </w:r>
      <w:r w:rsidRPr="00C035D3">
        <w:tab/>
        <w:t>tekintettel a 2022. évi pénzügyi évre vonatkozóan az uniós ügynökségekről szóló éves számvevőszéki jelentésre az ügynökségek válaszaival együtt</w:t>
      </w:r>
      <w:r w:rsidR="00DF742B" w:rsidRPr="00C035D3">
        <w:rPr>
          <w:vertAlign w:val="superscript"/>
        </w:rPr>
        <w:footnoteReference w:id="1"/>
      </w:r>
      <w:r w:rsidR="00DF742B" w:rsidRPr="00C035D3">
        <w:t>,</w:t>
      </w:r>
    </w:p>
    <w:p w:rsidR="00DF742B" w:rsidRPr="00C035D3" w:rsidRDefault="00DF742B" w:rsidP="008F4887">
      <w:pPr>
        <w:widowControl/>
        <w:spacing w:after="240"/>
        <w:ind w:left="567" w:hanging="567"/>
      </w:pPr>
      <w:r w:rsidRPr="00C035D3">
        <w:t>–</w:t>
      </w:r>
      <w:r w:rsidRPr="00C035D3">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C035D3">
        <w:rPr>
          <w:vertAlign w:val="superscript"/>
        </w:rPr>
        <w:footnoteReference w:id="2"/>
      </w:r>
      <w:r w:rsidRPr="00C035D3">
        <w:t>,</w:t>
      </w:r>
    </w:p>
    <w:p w:rsidR="00DF742B" w:rsidRPr="00C035D3" w:rsidRDefault="00DF742B" w:rsidP="008F4887">
      <w:pPr>
        <w:widowControl/>
        <w:spacing w:after="240"/>
        <w:ind w:left="567" w:hanging="567"/>
      </w:pPr>
      <w:r w:rsidRPr="00C035D3">
        <w:t>–</w:t>
      </w:r>
      <w:r w:rsidRPr="00C035D3">
        <w:tab/>
        <w:t xml:space="preserve">tekintettel az ügynökségnek a 2022-es pénzügyi évre szóló költségvetése végrehajtására vonatkozó felelőssége alóli </w:t>
      </w:r>
      <w:proofErr w:type="gramStart"/>
      <w:r w:rsidRPr="00C035D3">
        <w:t>mentesítéséről</w:t>
      </w:r>
      <w:proofErr w:type="gramEnd"/>
      <w:r w:rsidRPr="00C035D3">
        <w:t xml:space="preserve"> szóló, 2024. február 22-i tanácsi ajánlásra (</w:t>
      </w:r>
      <w:r w:rsidR="00F44D32" w:rsidRPr="00C035D3">
        <w:t>06180</w:t>
      </w:r>
      <w:r w:rsidRPr="00C035D3">
        <w:t>/2024 – C9-</w:t>
      </w:r>
      <w:r w:rsidR="00F44D32" w:rsidRPr="00C035D3">
        <w:t>0109</w:t>
      </w:r>
      <w:r w:rsidRPr="00C035D3">
        <w:t>/2024),</w:t>
      </w:r>
    </w:p>
    <w:p w:rsidR="00DF742B" w:rsidRPr="00C035D3" w:rsidRDefault="00DF742B" w:rsidP="008F4887">
      <w:pPr>
        <w:widowControl/>
        <w:spacing w:after="240"/>
        <w:ind w:left="567" w:hanging="567"/>
      </w:pPr>
      <w:r w:rsidRPr="00C035D3">
        <w:t>–</w:t>
      </w:r>
      <w:r w:rsidRPr="00C035D3">
        <w:tab/>
        <w:t>tekintettel az Európai Unió működéséről szóló szerződés 319. cikkére,</w:t>
      </w:r>
    </w:p>
    <w:p w:rsidR="00DF742B" w:rsidRPr="00C035D3" w:rsidRDefault="00DF742B" w:rsidP="008F4887">
      <w:pPr>
        <w:widowControl/>
        <w:spacing w:after="240"/>
        <w:ind w:left="567" w:hanging="567"/>
      </w:pPr>
      <w:proofErr w:type="gramStart"/>
      <w:r w:rsidRPr="00C035D3">
        <w:t>–</w:t>
      </w:r>
      <w:r w:rsidRPr="00C035D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035D3">
        <w:rPr>
          <w:vertAlign w:val="superscript"/>
        </w:rPr>
        <w:footnoteReference w:id="3"/>
      </w:r>
      <w:r w:rsidRPr="00C035D3">
        <w:t xml:space="preserve"> és különösen annak 70. cikkére,</w:t>
      </w:r>
      <w:proofErr w:type="gramEnd"/>
    </w:p>
    <w:p w:rsidR="00DF742B" w:rsidRPr="00C035D3" w:rsidRDefault="00DF742B" w:rsidP="008F4887">
      <w:pPr>
        <w:widowControl/>
        <w:spacing w:after="240"/>
        <w:ind w:left="567" w:hanging="567"/>
      </w:pPr>
      <w:r w:rsidRPr="00C035D3">
        <w:lastRenderedPageBreak/>
        <w:t>–</w:t>
      </w:r>
      <w:r w:rsidRPr="00C035D3">
        <w:tab/>
        <w:t>tekintettel az Európai Unió Alapjogi Ügynöksége létrehozásáról szóló, 2007. február 15-i 168/2007/EK tanácsi rendeletre</w:t>
      </w:r>
      <w:r w:rsidRPr="00C035D3">
        <w:rPr>
          <w:vertAlign w:val="superscript"/>
        </w:rPr>
        <w:footnoteReference w:id="4"/>
      </w:r>
      <w:r w:rsidRPr="00C035D3">
        <w:t xml:space="preserve"> és különösen annak 21. cikkére,</w:t>
      </w:r>
    </w:p>
    <w:p w:rsidR="00DF742B" w:rsidRPr="00C035D3" w:rsidRDefault="00DF742B" w:rsidP="008F4887">
      <w:pPr>
        <w:widowControl/>
        <w:spacing w:after="240"/>
        <w:ind w:left="567" w:hanging="567"/>
      </w:pPr>
      <w:r w:rsidRPr="00C035D3">
        <w:t>–</w:t>
      </w:r>
      <w:r w:rsidRPr="00C035D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035D3">
        <w:rPr>
          <w:vertAlign w:val="superscript"/>
        </w:rPr>
        <w:footnoteReference w:id="5"/>
      </w:r>
      <w:r w:rsidRPr="00C035D3">
        <w:t xml:space="preserve"> és különösen annak 105. cikkére,</w:t>
      </w:r>
    </w:p>
    <w:p w:rsidR="00DF742B" w:rsidRPr="00C035D3" w:rsidRDefault="00DF742B" w:rsidP="008F4887">
      <w:pPr>
        <w:widowControl/>
        <w:spacing w:after="240"/>
        <w:ind w:left="567" w:hanging="567"/>
      </w:pPr>
      <w:r w:rsidRPr="00C035D3">
        <w:t>–</w:t>
      </w:r>
      <w:r w:rsidRPr="00C035D3">
        <w:tab/>
        <w:t>tekintettel eljárási szabályzata 100. cikkére és V. mellékletére,</w:t>
      </w:r>
    </w:p>
    <w:p w:rsidR="00DF742B" w:rsidRPr="00C035D3" w:rsidRDefault="00DF742B" w:rsidP="008F4887">
      <w:pPr>
        <w:widowControl/>
        <w:spacing w:after="240"/>
        <w:ind w:left="567" w:hanging="567"/>
      </w:pPr>
      <w:r w:rsidRPr="00C035D3">
        <w:t>–</w:t>
      </w:r>
      <w:r w:rsidRPr="00C035D3">
        <w:tab/>
        <w:t>tekintettel az Állampolgári Jogi, Bel- és Igazságügyi Bizottság véleményére,</w:t>
      </w:r>
    </w:p>
    <w:p w:rsidR="00DF742B" w:rsidRPr="00C035D3" w:rsidRDefault="00DF742B" w:rsidP="008F4887">
      <w:pPr>
        <w:widowControl/>
        <w:spacing w:after="240"/>
        <w:ind w:left="567" w:hanging="567"/>
      </w:pPr>
      <w:r w:rsidRPr="00C035D3">
        <w:t>–</w:t>
      </w:r>
      <w:r w:rsidRPr="00C035D3">
        <w:tab/>
        <w:t>tekintettel a Költségvetési Ellenőrző Bizottság jelentésére (A9-0112/2024),</w:t>
      </w:r>
    </w:p>
    <w:p w:rsidR="00DF742B" w:rsidRPr="00C035D3" w:rsidRDefault="00DF742B" w:rsidP="008F4887">
      <w:pPr>
        <w:widowControl/>
        <w:spacing w:after="240"/>
        <w:ind w:left="567" w:hanging="567"/>
      </w:pPr>
      <w:r w:rsidRPr="00C035D3">
        <w:t>1.</w:t>
      </w:r>
      <w:r w:rsidRPr="00C035D3">
        <w:tab/>
      </w:r>
      <w:proofErr w:type="gramStart"/>
      <w:r w:rsidRPr="00C035D3">
        <w:t>mentesítést</w:t>
      </w:r>
      <w:proofErr w:type="gramEnd"/>
      <w:r w:rsidRPr="00C035D3">
        <w:t xml:space="preserve"> ad az Európai Unió Alapjogi Ügynöksége igazgatója számára az Ügynökség 2022-es pénzügyi évre szóló költségvetésének végrehajtására vonatkozóan;</w:t>
      </w:r>
    </w:p>
    <w:p w:rsidR="00DF742B" w:rsidRPr="00C035D3" w:rsidRDefault="00DF742B" w:rsidP="008F4887">
      <w:pPr>
        <w:widowControl/>
        <w:spacing w:after="240"/>
        <w:ind w:left="567" w:hanging="567"/>
      </w:pPr>
      <w:r w:rsidRPr="00C035D3">
        <w:t>2.</w:t>
      </w:r>
      <w:r w:rsidRPr="00C035D3">
        <w:tab/>
        <w:t>megjegyzéseit a mellékelt állásfoglalásban foglalja össze;</w:t>
      </w:r>
    </w:p>
    <w:p w:rsidR="00DF742B" w:rsidRPr="00C035D3" w:rsidRDefault="00DF742B" w:rsidP="008F4887">
      <w:pPr>
        <w:widowControl/>
        <w:spacing w:after="240"/>
        <w:ind w:left="567" w:hanging="567"/>
      </w:pPr>
      <w:r w:rsidRPr="00C035D3">
        <w:t>3.</w:t>
      </w:r>
      <w:r w:rsidRPr="00C035D3">
        <w:tab/>
        <w:t xml:space="preserve">utasítja elnökét, hogy továbbítsa ezt a határozatot, valamint az annak szerves részét képező állásfoglalást az Európai Unió Alapjogi Ügynöksége igazgatójának, a Tanácsnak, a Bizottságnak és a Számvevőszéknek, és gondoskodjon az </w:t>
      </w:r>
      <w:r w:rsidRPr="00C035D3">
        <w:rPr>
          <w:i/>
        </w:rPr>
        <w:t>Európai Unió Hivatalos Lapjában</w:t>
      </w:r>
      <w:r w:rsidRPr="00C035D3">
        <w:t xml:space="preserve"> (L sorozat) való közzétételükről.</w:t>
      </w:r>
    </w:p>
    <w:p w:rsidR="00DF742B" w:rsidRPr="00C035D3" w:rsidRDefault="00DF742B" w:rsidP="008F4887">
      <w:pPr>
        <w:widowControl/>
        <w:spacing w:after="240"/>
        <w:ind w:left="567" w:hanging="567"/>
      </w:pPr>
    </w:p>
    <w:p w:rsidR="00DF742B" w:rsidRPr="00C035D3" w:rsidRDefault="00DF742B" w:rsidP="008F4887">
      <w:pPr>
        <w:widowControl/>
        <w:spacing w:after="240"/>
        <w:ind w:left="567" w:hanging="567"/>
        <w:rPr>
          <w:rFonts w:ascii="Arial" w:hAnsi="Arial" w:cs="Arial"/>
          <w:b/>
        </w:rPr>
        <w:sectPr w:rsidR="00DF742B" w:rsidRPr="00C035D3" w:rsidSect="008949DA">
          <w:footerReference w:type="even" r:id="rId9"/>
          <w:footnotePr>
            <w:numRestart w:val="eachSect"/>
          </w:footnotePr>
          <w:endnotePr>
            <w:numFmt w:val="decimal"/>
          </w:endnotePr>
          <w:pgSz w:w="11906" w:h="16838"/>
          <w:pgMar w:top="1134" w:right="1418" w:bottom="1418" w:left="1418" w:header="1134" w:footer="567" w:gutter="0"/>
          <w:cols w:space="720"/>
          <w:titlePg/>
        </w:sectPr>
      </w:pPr>
    </w:p>
    <w:p w:rsidR="00DF742B" w:rsidRPr="00C035D3" w:rsidRDefault="00DF742B" w:rsidP="00C035D3">
      <w:pPr>
        <w:pStyle w:val="ATHeading3"/>
      </w:pPr>
      <w:bookmarkStart w:id="8" w:name="_Toc146795393"/>
      <w:bookmarkStart w:id="9" w:name="_Toc161221125"/>
      <w:bookmarkStart w:id="10" w:name="_Toc162269631"/>
      <w:r w:rsidRPr="00C035D3">
        <w:lastRenderedPageBreak/>
        <w:t xml:space="preserve">2. </w:t>
      </w:r>
      <w:r w:rsidR="008F4887" w:rsidRPr="00C035D3">
        <w:t xml:space="preserve">Az Európai Parlament 2024. április 11-i határozata </w:t>
      </w:r>
      <w:bookmarkEnd w:id="8"/>
      <w:bookmarkEnd w:id="9"/>
      <w:bookmarkEnd w:id="10"/>
      <w:r w:rsidRPr="00C035D3">
        <w:t>az Európai Unió Alapjogi Ügynöksége 2022. évi pénzügyi évre vonatkozó elszámolásának lezárásáról</w:t>
      </w:r>
      <w:r w:rsidR="008F4887" w:rsidRPr="00C035D3">
        <w:t xml:space="preserve"> </w:t>
      </w:r>
      <w:r w:rsidRPr="00C035D3">
        <w:t>(2023/</w:t>
      </w:r>
      <w:proofErr w:type="gramStart"/>
      <w:r w:rsidRPr="00C035D3">
        <w:t>2171(</w:t>
      </w:r>
      <w:proofErr w:type="gramEnd"/>
      <w:r w:rsidRPr="00C035D3">
        <w:t>DEC))</w:t>
      </w:r>
    </w:p>
    <w:p w:rsidR="00557A33" w:rsidRPr="00C035D3" w:rsidRDefault="00557A33" w:rsidP="008F4887">
      <w:pPr>
        <w:widowControl/>
        <w:spacing w:after="240"/>
        <w:ind w:left="567" w:hanging="567"/>
        <w:rPr>
          <w:i/>
        </w:rPr>
      </w:pPr>
    </w:p>
    <w:p w:rsidR="00DF742B" w:rsidRPr="00C035D3" w:rsidRDefault="00DF742B" w:rsidP="008F4887">
      <w:pPr>
        <w:widowControl/>
        <w:spacing w:after="240"/>
        <w:ind w:left="567" w:hanging="567"/>
      </w:pPr>
      <w:r w:rsidRPr="00C035D3">
        <w:rPr>
          <w:i/>
        </w:rPr>
        <w:t>Az Európai Parlament,</w:t>
      </w:r>
    </w:p>
    <w:p w:rsidR="00DF742B" w:rsidRPr="00C035D3" w:rsidRDefault="00DF742B" w:rsidP="008F4887">
      <w:pPr>
        <w:widowControl/>
        <w:spacing w:after="240"/>
        <w:ind w:left="567" w:hanging="567"/>
      </w:pPr>
      <w:r w:rsidRPr="00C035D3">
        <w:t>–</w:t>
      </w:r>
      <w:r w:rsidRPr="00C035D3">
        <w:tab/>
        <w:t>tekintettel az Európai Unió Alapjogi Ügynöksége 2022. évi pénzügyi évre vonatkozó végleges éves beszámolójára,</w:t>
      </w:r>
    </w:p>
    <w:p w:rsidR="00DF742B" w:rsidRPr="00C035D3" w:rsidRDefault="00DF742B" w:rsidP="008F4887">
      <w:pPr>
        <w:widowControl/>
        <w:spacing w:after="240"/>
        <w:ind w:left="567" w:hanging="567"/>
      </w:pPr>
      <w:r w:rsidRPr="00C035D3">
        <w:t>–</w:t>
      </w:r>
      <w:r w:rsidRPr="00C035D3">
        <w:tab/>
      </w:r>
      <w:r w:rsidR="00F44D32" w:rsidRPr="00C035D3">
        <w:t>tekintettel a 2022. évi pénzügyi évre vonatkozóan az uniós ügynökségekről szóló éves számvevőszéki jelentésre az ügynökségek válaszaival együtt</w:t>
      </w:r>
      <w:r w:rsidRPr="00C035D3">
        <w:rPr>
          <w:vertAlign w:val="superscript"/>
        </w:rPr>
        <w:footnoteReference w:id="6"/>
      </w:r>
      <w:r w:rsidRPr="00C035D3">
        <w:t>,</w:t>
      </w:r>
    </w:p>
    <w:p w:rsidR="00DF742B" w:rsidRPr="00C035D3" w:rsidRDefault="00DF742B" w:rsidP="008F4887">
      <w:pPr>
        <w:widowControl/>
        <w:spacing w:after="240"/>
        <w:ind w:left="567" w:hanging="567"/>
      </w:pPr>
      <w:r w:rsidRPr="00C035D3">
        <w:t>–</w:t>
      </w:r>
      <w:r w:rsidRPr="00C035D3">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C035D3">
        <w:rPr>
          <w:vertAlign w:val="superscript"/>
        </w:rPr>
        <w:footnoteReference w:id="7"/>
      </w:r>
      <w:r w:rsidRPr="00C035D3">
        <w:t>,</w:t>
      </w:r>
    </w:p>
    <w:p w:rsidR="00DF742B" w:rsidRPr="00C035D3" w:rsidRDefault="00DF742B" w:rsidP="008F4887">
      <w:pPr>
        <w:widowControl/>
        <w:spacing w:after="240"/>
        <w:ind w:left="567" w:hanging="567"/>
      </w:pPr>
      <w:r w:rsidRPr="00C035D3">
        <w:t>–</w:t>
      </w:r>
      <w:r w:rsidRPr="00C035D3">
        <w:tab/>
        <w:t xml:space="preserve">tekintettel az ügynökségnek a 2022-es pénzügyi évre szóló költségvetése végrehajtására vonatkozó felelőssége alóli </w:t>
      </w:r>
      <w:proofErr w:type="gramStart"/>
      <w:r w:rsidRPr="00C035D3">
        <w:t>mentesítéséről</w:t>
      </w:r>
      <w:proofErr w:type="gramEnd"/>
      <w:r w:rsidRPr="00C035D3">
        <w:t xml:space="preserve"> szóló, 2024. február 22-i tanácsi ajánlásra (</w:t>
      </w:r>
      <w:r w:rsidR="00F44D32" w:rsidRPr="00C035D3">
        <w:t>06180</w:t>
      </w:r>
      <w:r w:rsidRPr="00C035D3">
        <w:t>/2024 – C9-</w:t>
      </w:r>
      <w:r w:rsidR="00F44D32" w:rsidRPr="00C035D3">
        <w:t>0109</w:t>
      </w:r>
      <w:r w:rsidRPr="00C035D3">
        <w:t>/2024),</w:t>
      </w:r>
    </w:p>
    <w:p w:rsidR="00DF742B" w:rsidRPr="00C035D3" w:rsidRDefault="00DF742B" w:rsidP="008F4887">
      <w:pPr>
        <w:widowControl/>
        <w:spacing w:after="240"/>
        <w:ind w:left="567" w:hanging="567"/>
      </w:pPr>
      <w:r w:rsidRPr="00C035D3">
        <w:t>–</w:t>
      </w:r>
      <w:r w:rsidRPr="00C035D3">
        <w:tab/>
        <w:t>tekintettel az Európai Unió működéséről szóló szerződés 319. cikkére,</w:t>
      </w:r>
    </w:p>
    <w:p w:rsidR="00DF742B" w:rsidRPr="00C035D3" w:rsidRDefault="00DF742B" w:rsidP="008F4887">
      <w:pPr>
        <w:widowControl/>
        <w:spacing w:after="240"/>
        <w:ind w:left="567" w:hanging="567"/>
      </w:pPr>
      <w:proofErr w:type="gramStart"/>
      <w:r w:rsidRPr="00C035D3">
        <w:t>–</w:t>
      </w:r>
      <w:r w:rsidRPr="00C035D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035D3">
        <w:rPr>
          <w:vertAlign w:val="superscript"/>
        </w:rPr>
        <w:footnoteReference w:id="8"/>
      </w:r>
      <w:r w:rsidRPr="00C035D3">
        <w:t xml:space="preserve"> és különösen annak 70. cikkére,</w:t>
      </w:r>
      <w:proofErr w:type="gramEnd"/>
    </w:p>
    <w:p w:rsidR="00DF742B" w:rsidRPr="00C035D3" w:rsidRDefault="00DF742B" w:rsidP="008F4887">
      <w:pPr>
        <w:widowControl/>
        <w:spacing w:after="240"/>
        <w:ind w:left="567" w:hanging="567"/>
      </w:pPr>
      <w:r w:rsidRPr="00C035D3">
        <w:t>–</w:t>
      </w:r>
      <w:r w:rsidRPr="00C035D3">
        <w:tab/>
        <w:t>tekintettel az Európai Unió Alapjogi Ügynöksége létrehozásáról szóló, 2007. február 15-i 168/2007/EK tanácsi rendeletre</w:t>
      </w:r>
      <w:r w:rsidRPr="00C035D3">
        <w:rPr>
          <w:vertAlign w:val="superscript"/>
        </w:rPr>
        <w:footnoteReference w:id="9"/>
      </w:r>
      <w:r w:rsidRPr="00C035D3">
        <w:t>, és különösen annak 21. cikkére,</w:t>
      </w:r>
    </w:p>
    <w:p w:rsidR="00DF742B" w:rsidRPr="00C035D3" w:rsidRDefault="00DF742B" w:rsidP="008F4887">
      <w:pPr>
        <w:widowControl/>
        <w:spacing w:after="240"/>
        <w:ind w:left="567" w:hanging="567"/>
      </w:pPr>
      <w:r w:rsidRPr="00C035D3">
        <w:t>–</w:t>
      </w:r>
      <w:r w:rsidRPr="00C035D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035D3">
        <w:rPr>
          <w:vertAlign w:val="superscript"/>
        </w:rPr>
        <w:footnoteReference w:id="10"/>
      </w:r>
      <w:r w:rsidRPr="00C035D3">
        <w:t xml:space="preserve"> és különösen annak 105. cikkére,</w:t>
      </w:r>
    </w:p>
    <w:p w:rsidR="00DF742B" w:rsidRPr="00C035D3" w:rsidRDefault="00DF742B" w:rsidP="008F4887">
      <w:pPr>
        <w:widowControl/>
        <w:spacing w:after="240"/>
        <w:ind w:left="567" w:hanging="567"/>
      </w:pPr>
      <w:r w:rsidRPr="00C035D3">
        <w:t>–</w:t>
      </w:r>
      <w:r w:rsidRPr="00C035D3">
        <w:tab/>
        <w:t>tekintettel eljárási szabályzata 100. cikkére és V. mellékletére,</w:t>
      </w:r>
    </w:p>
    <w:p w:rsidR="00DF742B" w:rsidRPr="00C035D3" w:rsidRDefault="00DF742B" w:rsidP="008F4887">
      <w:pPr>
        <w:widowControl/>
        <w:spacing w:after="240"/>
        <w:ind w:left="567" w:hanging="567"/>
      </w:pPr>
      <w:r w:rsidRPr="00C035D3">
        <w:t>–</w:t>
      </w:r>
      <w:r w:rsidRPr="00C035D3">
        <w:tab/>
        <w:t>tekintettel az Állampolgári Jogi, Bel- és Igazságügyi Bizottság véleményére,</w:t>
      </w:r>
    </w:p>
    <w:p w:rsidR="00DF742B" w:rsidRPr="00C035D3" w:rsidRDefault="00DF742B" w:rsidP="008F4887">
      <w:pPr>
        <w:widowControl/>
        <w:spacing w:after="240"/>
        <w:ind w:left="567" w:hanging="567"/>
      </w:pPr>
      <w:r w:rsidRPr="00C035D3">
        <w:t>–</w:t>
      </w:r>
      <w:r w:rsidRPr="00C035D3">
        <w:tab/>
        <w:t>tekintettel a Költségvetési Ellenőrző Bizottság jelentésére (A9-0112/2024),</w:t>
      </w:r>
    </w:p>
    <w:p w:rsidR="00DF742B" w:rsidRPr="00C035D3" w:rsidRDefault="00DF742B" w:rsidP="008F4887">
      <w:pPr>
        <w:widowControl/>
        <w:spacing w:after="240"/>
        <w:ind w:left="567" w:hanging="567"/>
      </w:pPr>
      <w:r w:rsidRPr="00C035D3">
        <w:lastRenderedPageBreak/>
        <w:t>1.</w:t>
      </w:r>
      <w:r w:rsidRPr="00C035D3">
        <w:tab/>
        <w:t>jóváhagyja az Európai Unió Alapjogi Ügynöksége 2022-es pénzügyi évre szóló elszámolásának lezárását;</w:t>
      </w:r>
    </w:p>
    <w:p w:rsidR="00DF742B" w:rsidRPr="00C035D3" w:rsidRDefault="00DF742B" w:rsidP="008F4887">
      <w:pPr>
        <w:widowControl/>
        <w:spacing w:after="240"/>
        <w:ind w:left="567" w:hanging="567"/>
      </w:pPr>
      <w:r w:rsidRPr="00C035D3">
        <w:t>2.</w:t>
      </w:r>
      <w:r w:rsidRPr="00C035D3">
        <w:tab/>
        <w:t xml:space="preserve">utasítja elnökét, hogy továbbítsa ezt a határozatot az Európai Unió Alapjogi Ügynöksége igazgatójának, a Tanácsnak, a Bizottságnak és a Számvevőszéknek, és gondoskodjon az </w:t>
      </w:r>
      <w:r w:rsidRPr="00C035D3">
        <w:rPr>
          <w:i/>
        </w:rPr>
        <w:t>Európai Unió Hivatalos Lapjában</w:t>
      </w:r>
      <w:r w:rsidRPr="00C035D3">
        <w:t xml:space="preserve"> (L sorozat) való közzétételéről.</w:t>
      </w:r>
    </w:p>
    <w:p w:rsidR="00DF742B" w:rsidRPr="00C035D3" w:rsidRDefault="00DF742B" w:rsidP="008F4887">
      <w:pPr>
        <w:widowControl/>
        <w:spacing w:after="240"/>
        <w:ind w:left="567" w:hanging="567"/>
      </w:pPr>
    </w:p>
    <w:p w:rsidR="00DF742B" w:rsidRPr="00C035D3" w:rsidRDefault="00DF742B" w:rsidP="008F4887">
      <w:pPr>
        <w:widowControl/>
        <w:spacing w:after="240"/>
        <w:ind w:left="567" w:hanging="567"/>
        <w:rPr>
          <w:rFonts w:ascii="Arial" w:hAnsi="Arial" w:cs="Arial"/>
          <w:b/>
        </w:rPr>
        <w:sectPr w:rsidR="00DF742B" w:rsidRPr="00C035D3" w:rsidSect="008949DA">
          <w:footnotePr>
            <w:numRestart w:val="eachSect"/>
          </w:footnotePr>
          <w:endnotePr>
            <w:numFmt w:val="decimal"/>
          </w:endnotePr>
          <w:pgSz w:w="11906" w:h="16838"/>
          <w:pgMar w:top="1134" w:right="1418" w:bottom="1418" w:left="1418" w:header="567" w:footer="567" w:gutter="0"/>
          <w:cols w:space="720"/>
          <w:docGrid w:linePitch="326"/>
        </w:sectPr>
      </w:pPr>
    </w:p>
    <w:p w:rsidR="00DF742B" w:rsidRPr="00C035D3" w:rsidRDefault="00DF742B" w:rsidP="00C035D3">
      <w:pPr>
        <w:pStyle w:val="ATHeading3"/>
      </w:pPr>
      <w:bookmarkStart w:id="11" w:name="_Toc146795394"/>
      <w:bookmarkStart w:id="12" w:name="_Toc161221126"/>
      <w:bookmarkStart w:id="13" w:name="_Toc162269632"/>
      <w:r w:rsidRPr="00C035D3">
        <w:lastRenderedPageBreak/>
        <w:t xml:space="preserve">3. </w:t>
      </w:r>
      <w:r w:rsidR="008F4887" w:rsidRPr="00C035D3">
        <w:t xml:space="preserve">Az Európai Parlament 2024. április 11-i állásfoglalása </w:t>
      </w:r>
      <w:bookmarkEnd w:id="11"/>
      <w:bookmarkEnd w:id="12"/>
      <w:bookmarkEnd w:id="13"/>
      <w:r w:rsidRPr="00C035D3">
        <w:t>az Európai Unió Alapjogi Ügynöksége 2022. évi pénzügyi évre szóló költségvetésének végrehajtására vonatkozó mentesítésről szóló határozat szerves részét képező megjegyzésekkel</w:t>
      </w:r>
      <w:r w:rsidR="008F4887" w:rsidRPr="00C035D3">
        <w:t xml:space="preserve"> </w:t>
      </w:r>
      <w:r w:rsidRPr="00C035D3">
        <w:t>(2023/</w:t>
      </w:r>
      <w:proofErr w:type="gramStart"/>
      <w:r w:rsidRPr="00C035D3">
        <w:t>2171(</w:t>
      </w:r>
      <w:proofErr w:type="gramEnd"/>
      <w:r w:rsidRPr="00C035D3">
        <w:t>DEC))</w:t>
      </w:r>
    </w:p>
    <w:p w:rsidR="00557A33" w:rsidRPr="00C035D3" w:rsidRDefault="00557A33" w:rsidP="008F4887">
      <w:pPr>
        <w:widowControl/>
        <w:spacing w:after="240"/>
        <w:ind w:left="567" w:hanging="567"/>
        <w:rPr>
          <w:i/>
        </w:rPr>
      </w:pPr>
    </w:p>
    <w:p w:rsidR="00DF742B" w:rsidRPr="00C035D3" w:rsidRDefault="00DF742B" w:rsidP="008F4887">
      <w:pPr>
        <w:widowControl/>
        <w:spacing w:after="240"/>
        <w:ind w:left="567" w:hanging="567"/>
      </w:pPr>
      <w:r w:rsidRPr="00C035D3">
        <w:rPr>
          <w:i/>
        </w:rPr>
        <w:t>Az Európai Parlament,</w:t>
      </w:r>
    </w:p>
    <w:p w:rsidR="00DF742B" w:rsidRPr="00C035D3" w:rsidRDefault="00DF742B" w:rsidP="008F4887">
      <w:pPr>
        <w:widowControl/>
        <w:spacing w:after="240"/>
        <w:ind w:left="567" w:hanging="567"/>
      </w:pPr>
      <w:r w:rsidRPr="00C035D3">
        <w:t>–</w:t>
      </w:r>
      <w:r w:rsidRPr="00C035D3">
        <w:tab/>
        <w:t xml:space="preserve">tekintettel az Európai Unió Alapjogi Ügynöksége 2022. évi pénzügyi évre szóló költségvetésének végrehajtására vonatkozó </w:t>
      </w:r>
      <w:proofErr w:type="gramStart"/>
      <w:r w:rsidRPr="00C035D3">
        <w:t>mentesítésről</w:t>
      </w:r>
      <w:proofErr w:type="gramEnd"/>
      <w:r w:rsidRPr="00C035D3">
        <w:t xml:space="preserve"> szóló határozatára,</w:t>
      </w:r>
    </w:p>
    <w:p w:rsidR="00DF742B" w:rsidRPr="00C035D3" w:rsidRDefault="00DF742B" w:rsidP="008F4887">
      <w:pPr>
        <w:widowControl/>
        <w:spacing w:after="240"/>
        <w:ind w:left="567" w:hanging="567"/>
      </w:pPr>
      <w:r w:rsidRPr="00C035D3">
        <w:t>–</w:t>
      </w:r>
      <w:r w:rsidRPr="00C035D3">
        <w:tab/>
        <w:t>tekintettel eljárási szabályzata 100. cikkére és V. mellékletére,</w:t>
      </w:r>
    </w:p>
    <w:p w:rsidR="00DF742B" w:rsidRPr="00C035D3" w:rsidRDefault="00DF742B" w:rsidP="008F4887">
      <w:pPr>
        <w:widowControl/>
        <w:spacing w:after="240"/>
        <w:ind w:left="567" w:hanging="567"/>
      </w:pPr>
      <w:r w:rsidRPr="00C035D3">
        <w:t>–</w:t>
      </w:r>
      <w:r w:rsidRPr="00C035D3">
        <w:tab/>
        <w:t>tekintettel az Állampolgári Jogi, Bel- és Igazságügyi Bizottság véleményére,</w:t>
      </w:r>
    </w:p>
    <w:p w:rsidR="00DF742B" w:rsidRPr="00C035D3" w:rsidRDefault="00DF742B" w:rsidP="008F4887">
      <w:pPr>
        <w:widowControl/>
        <w:spacing w:after="240"/>
        <w:ind w:left="567" w:hanging="567"/>
      </w:pPr>
      <w:r w:rsidRPr="00C035D3">
        <w:t>–</w:t>
      </w:r>
      <w:r w:rsidRPr="00C035D3">
        <w:tab/>
        <w:t>tekintettel a Költségvetési Ellenőrző Bizottság jelentésére (A9-0112/2024),</w:t>
      </w:r>
    </w:p>
    <w:p w:rsidR="00DF742B" w:rsidRPr="00C035D3" w:rsidRDefault="00DF742B" w:rsidP="008F4887">
      <w:pPr>
        <w:widowControl/>
        <w:spacing w:after="240"/>
        <w:ind w:left="567" w:hanging="567"/>
        <w:rPr>
          <w:szCs w:val="24"/>
        </w:rPr>
      </w:pPr>
      <w:proofErr w:type="gramStart"/>
      <w:r w:rsidRPr="00C035D3">
        <w:t>A.</w:t>
      </w:r>
      <w:proofErr w:type="gramEnd"/>
      <w:r w:rsidRPr="00C035D3">
        <w:tab/>
      </w:r>
      <w:proofErr w:type="gramStart"/>
      <w:r w:rsidRPr="00C035D3">
        <w:t>mivel</w:t>
      </w:r>
      <w:proofErr w:type="gramEnd"/>
      <w:r w:rsidRPr="00C035D3">
        <w:t xml:space="preserve"> bevételi és kiadási kimutatása</w:t>
      </w:r>
      <w:r w:rsidRPr="00C035D3">
        <w:rPr>
          <w:szCs w:val="24"/>
          <w:vertAlign w:val="superscript"/>
        </w:rPr>
        <w:footnoteReference w:id="11"/>
      </w:r>
      <w:r w:rsidRPr="00C035D3">
        <w:t xml:space="preserve"> szerint az Európai Unió Alapjogi Ügynökségének (a továbbiakban: az ügynökség) 2022. évi pénzügyi évre vonatkozó végleges költségvetése 25 857 952 EUR volt, ami 2021-hez képest 4,01%-</w:t>
      </w:r>
      <w:proofErr w:type="spellStart"/>
      <w:r w:rsidRPr="00C035D3">
        <w:t>os</w:t>
      </w:r>
      <w:proofErr w:type="spellEnd"/>
      <w:r w:rsidRPr="00C035D3">
        <w:t xml:space="preserve"> növekedést jelent; mivel az ügynökség költségvetése szinte kizárólag az uniós költségvetésből származik;</w:t>
      </w:r>
    </w:p>
    <w:p w:rsidR="00DF742B" w:rsidRPr="00C035D3" w:rsidRDefault="00DF742B" w:rsidP="008F4887">
      <w:pPr>
        <w:widowControl/>
        <w:spacing w:after="240"/>
        <w:ind w:left="567" w:hanging="567"/>
        <w:rPr>
          <w:szCs w:val="24"/>
        </w:rPr>
      </w:pPr>
      <w:r w:rsidRPr="00C035D3">
        <w:t>B.</w:t>
      </w:r>
      <w:r w:rsidRPr="00C035D3">
        <w:tab/>
        <w:t xml:space="preserve">mivel az Ügynökség közbeszerzési ágazatát illetően 2022-re vonatkozóan nem jelentettek </w:t>
      </w:r>
      <w:proofErr w:type="gramStart"/>
      <w:r w:rsidRPr="00C035D3">
        <w:t>korrekciós</w:t>
      </w:r>
      <w:proofErr w:type="gramEnd"/>
      <w:r w:rsidRPr="00C035D3">
        <w:t xml:space="preserve"> intézkedéseket igénylő problémákat, és a korábbi évek ellenőrzései és értékelései alapján sem voltak folyamatban lévő vagy még függőben lévő korrekciós intézkedések;</w:t>
      </w:r>
    </w:p>
    <w:p w:rsidR="00DF742B" w:rsidRPr="00C035D3" w:rsidRDefault="00DF742B" w:rsidP="008F4887">
      <w:pPr>
        <w:widowControl/>
        <w:spacing w:after="240"/>
        <w:ind w:left="567" w:hanging="567"/>
        <w:rPr>
          <w:szCs w:val="24"/>
        </w:rPr>
      </w:pPr>
      <w:r w:rsidRPr="00C035D3">
        <w:t>C.</w:t>
      </w:r>
      <w:r w:rsidRPr="00C035D3">
        <w:tab/>
        <w:t>mivel a Számvevőszék az Ügynökség 2022. évi pénzügyi évre vonatkozó éves beszámolójáról szóló jelentésében (a továbbiakban: a számvevőszéki jelentés) megállapítja, hogy kellő mértékben megbizonyosodott az ügynökség éves beszámolójának megbízhatóságáról, valamint arról, hogy az annak alapjául szolgáló ügyletek minden lényeges szempontból jogszerűek és szabályszerűek;</w:t>
      </w:r>
    </w:p>
    <w:p w:rsidR="00DF742B" w:rsidRPr="00C035D3" w:rsidRDefault="00DF742B" w:rsidP="008F4887">
      <w:pPr>
        <w:widowControl/>
        <w:spacing w:after="240"/>
        <w:ind w:left="567" w:hanging="567"/>
        <w:rPr>
          <w:b/>
          <w:i/>
          <w:szCs w:val="24"/>
        </w:rPr>
      </w:pPr>
      <w:r w:rsidRPr="00C035D3">
        <w:rPr>
          <w:b/>
          <w:i/>
        </w:rPr>
        <w:t>Költségvetési és pénzgazdálkodás</w:t>
      </w:r>
    </w:p>
    <w:p w:rsidR="00DF742B" w:rsidRPr="00C035D3" w:rsidRDefault="00DF742B" w:rsidP="008F4887">
      <w:pPr>
        <w:widowControl/>
        <w:spacing w:after="240"/>
        <w:ind w:left="567" w:hanging="567"/>
        <w:rPr>
          <w:szCs w:val="24"/>
        </w:rPr>
      </w:pPr>
      <w:r w:rsidRPr="00C035D3">
        <w:t>1.</w:t>
      </w:r>
      <w:r w:rsidRPr="00C035D3">
        <w:tab/>
        <w:t>elismeréssel nyugtázza, hogy a 2022. évi pénzügyi év során folytatott költségvetés-ellenőrzési erőfeszítések nyomán a folyó évi kötelezettségvállalási előirányzatok végrehajtási aránya a 2021. évi pénzügyi évvel megegyezően 100,00%-</w:t>
      </w:r>
      <w:proofErr w:type="spellStart"/>
      <w:r w:rsidRPr="00C035D3">
        <w:t>os</w:t>
      </w:r>
      <w:proofErr w:type="spellEnd"/>
      <w:r w:rsidRPr="00C035D3">
        <w:t xml:space="preserve"> volt; megállapítja, hogy a folyó évi kifizetési előirányzatok végrehajtási aránya 73,59%-</w:t>
      </w:r>
      <w:proofErr w:type="spellStart"/>
      <w:r w:rsidRPr="00C035D3">
        <w:t>os</w:t>
      </w:r>
      <w:proofErr w:type="spellEnd"/>
      <w:r w:rsidRPr="00C035D3">
        <w:t xml:space="preserve"> volt, ami 2021-hez képest </w:t>
      </w:r>
      <w:proofErr w:type="gramStart"/>
      <w:r w:rsidRPr="00C035D3">
        <w:t>kis mértékű</w:t>
      </w:r>
      <w:proofErr w:type="gramEnd"/>
      <w:r w:rsidRPr="00C035D3">
        <w:t>, 2,64%-</w:t>
      </w:r>
      <w:proofErr w:type="spellStart"/>
      <w:r w:rsidRPr="00C035D3">
        <w:t>os</w:t>
      </w:r>
      <w:proofErr w:type="spellEnd"/>
      <w:r w:rsidRPr="00C035D3">
        <w:t xml:space="preserve"> növekedést jelent;</w:t>
      </w:r>
    </w:p>
    <w:p w:rsidR="00DF742B" w:rsidRPr="00C035D3" w:rsidRDefault="00DF742B" w:rsidP="008F4887">
      <w:pPr>
        <w:widowControl/>
        <w:spacing w:after="240"/>
        <w:ind w:left="567" w:hanging="567"/>
        <w:rPr>
          <w:szCs w:val="24"/>
        </w:rPr>
      </w:pPr>
      <w:r w:rsidRPr="00C035D3">
        <w:t>2.</w:t>
      </w:r>
      <w:r w:rsidRPr="00C035D3">
        <w:tab/>
      </w:r>
      <w:proofErr w:type="spellStart"/>
      <w:r w:rsidRPr="00C035D3">
        <w:t>megjegyzi</w:t>
      </w:r>
      <w:proofErr w:type="spellEnd"/>
      <w:r w:rsidRPr="00C035D3">
        <w:t>, hogy 2022-ben három költségvetési módosítást fogadtak el, amelyek 1 562 781 EUR-val növelték az Ügynökség költségvetését, utalva az EGT Finanszírozási Mechanizmus Hivatalával és Norvégiával kötött együttműködési megállapodás, valamint a bolgár nemzeti statisztikai intézettel, a görög ombudsmannal és a román ügyészséggel kötött partnerségi megállapodások alapján kapott pénzeszközökre, továbbá az osztrák hatóságoktól kapott bérletidíj-támogatásra és a belső címzett bevételekre;</w:t>
      </w:r>
    </w:p>
    <w:p w:rsidR="00DF742B" w:rsidRPr="00C035D3" w:rsidRDefault="00DF742B" w:rsidP="008F4887">
      <w:pPr>
        <w:widowControl/>
        <w:spacing w:after="240"/>
        <w:ind w:left="567" w:hanging="567"/>
      </w:pPr>
      <w:proofErr w:type="gramStart"/>
      <w:r w:rsidRPr="00C035D3">
        <w:lastRenderedPageBreak/>
        <w:t>3.</w:t>
      </w:r>
      <w:r w:rsidRPr="00C035D3">
        <w:tab/>
        <w:t>aggodalommal veszi tudomásul a számvevőszéki jelentés alapján, hogy az ügynökség a rendelkezésre álló kötelezettségvállalási előirányzatokból 6,4 millió EUR-t (26%) vitt át 2022-ről 2023-ra, amelyből 5,9 millió EUR a III. cím alatt szereplő, operatív kiadásokhoz kapcsolódó előirányzatoknak felel meg (2021-ben 74%); kiemeli, hogy az átvitelek magas szintje az ügynökség számára visszatérő probléma, amelyet a Számvevőszék 2018-tól kezdődően több egymást követő pénzügyi évben megállapított; tudomásul veszi a Számvevőszék ismételt véleményét, miszerint az átvitelek magas szintje ellentmond az évenkéntiség</w:t>
      </w:r>
      <w:proofErr w:type="gramEnd"/>
      <w:r w:rsidRPr="00C035D3">
        <w:t xml:space="preserve"> </w:t>
      </w:r>
      <w:proofErr w:type="gramStart"/>
      <w:r w:rsidRPr="00C035D3">
        <w:t xml:space="preserve">költségvetési elvének, és a költségvetési folyamat és a végrehajtási ciklus strukturális problémáira utal; az ügynökségnek a Számvevőszék észrevételére adott válasza, valamint az ügynökség „Az Európai Parlament észrevételei az Európai Unió Alapjogi Ügynöksége 2021. évi mentesítéséről és az Ügynökség által hozott intézkedésekről” című jelentése (a továbbiakban: az ügynökség </w:t>
      </w:r>
      <w:proofErr w:type="spellStart"/>
      <w:r w:rsidRPr="00C035D3">
        <w:t>nyomonkövetési</w:t>
      </w:r>
      <w:proofErr w:type="spellEnd"/>
      <w:r w:rsidRPr="00C035D3">
        <w:t xml:space="preserve"> jelentése) alapján tudomásul veszi az ügynökség operatív tevékenységeihez kapcsolódó átvitelek magas szintjére vonatkozó alábbi észrevételeket: az az egyedi keret, amelyben az Ügynökség működik, megnehezíti az</w:t>
      </w:r>
      <w:proofErr w:type="gramEnd"/>
      <w:r w:rsidRPr="00C035D3">
        <w:t xml:space="preserve"> </w:t>
      </w:r>
      <w:proofErr w:type="gramStart"/>
      <w:r w:rsidRPr="00C035D3">
        <w:t>operatív</w:t>
      </w:r>
      <w:proofErr w:type="gramEnd"/>
      <w:r w:rsidRPr="00C035D3">
        <w:t xml:space="preserve"> kiadásoknak az év sokkal korábbi szakaszában történő lekötését; a MATRIX informatikai eszköz továbbfejlesztése a költségvetés végrehajtásának szorosabb nyomon követése, valamint a következő évre vonatkozó átvitelek (C8 kreditek) korai becslése érdekében történt; a költségvetés végrehajtását a végleges eredmény figyelembevételével kell értékelni, amely az elmúlt 10 évben meghaladta a 99%-</w:t>
      </w:r>
      <w:proofErr w:type="spellStart"/>
      <w:r w:rsidRPr="00C035D3">
        <w:t>ot</w:t>
      </w:r>
      <w:proofErr w:type="spellEnd"/>
      <w:r w:rsidRPr="00C035D3">
        <w:t>; a korábbi évekhez hasonlóan elismeri, hogy a magas átvitelek az ügynökség alaptevékenységének jellegétől is függenek;</w:t>
      </w:r>
    </w:p>
    <w:p w:rsidR="00DF742B" w:rsidRPr="00C035D3" w:rsidRDefault="00DF742B" w:rsidP="008F4887">
      <w:pPr>
        <w:widowControl/>
        <w:spacing w:after="240"/>
        <w:ind w:left="567" w:hanging="567"/>
        <w:rPr>
          <w:b/>
          <w:i/>
          <w:szCs w:val="24"/>
        </w:rPr>
      </w:pPr>
      <w:r w:rsidRPr="00C035D3">
        <w:rPr>
          <w:b/>
          <w:i/>
        </w:rPr>
        <w:t>Teljesítmény</w:t>
      </w:r>
    </w:p>
    <w:p w:rsidR="00DF742B" w:rsidRPr="00C035D3" w:rsidRDefault="00DF742B" w:rsidP="008F4887">
      <w:pPr>
        <w:widowControl/>
        <w:spacing w:after="240"/>
        <w:ind w:left="567" w:hanging="567"/>
        <w:rPr>
          <w:szCs w:val="24"/>
        </w:rPr>
      </w:pPr>
      <w:proofErr w:type="gramStart"/>
      <w:r w:rsidRPr="00C035D3">
        <w:t>4.</w:t>
      </w:r>
      <w:r w:rsidRPr="00C035D3">
        <w:tab/>
        <w:t>megelégedéssel veszi tudomásul, hogy az ügynökség teljesítménymérésének részeként 25 fő teljesítménymutatóból (KPI-k) álló rendszert alkalmaz; elismerését fejezi ki a fő teljesítménymutatók tekintetében 2022-ben elért eredmények magas aránya miatt, mivel az ügynökség meghaladta a fő teljesítménymutatónként meghatározott szinte valamennyi célt, fenntartva az érdekelt felek magas szintű elégedettségét az ügynökség által szervezett eseményekkel, valamint az ügynökség eredményeinek relevanciájával, hasznosságával és megbízhatóságával kapcsolatban, továbbá hozzájárulva az alapvető jogok és tendenciák</w:t>
      </w:r>
      <w:proofErr w:type="gramEnd"/>
      <w:r w:rsidRPr="00C035D3">
        <w:t xml:space="preserve"> </w:t>
      </w:r>
      <w:proofErr w:type="gramStart"/>
      <w:r w:rsidRPr="00C035D3">
        <w:t>magas</w:t>
      </w:r>
      <w:proofErr w:type="gramEnd"/>
      <w:r w:rsidRPr="00C035D3">
        <w:t xml:space="preserve"> színvonalú megértéséhez; elismerését fejezi ki az ügynökség azon erőfeszítéseiért, amelyek hozzájárultak a 2022-ben elért eredményekhez, annak ellenére, hogy az összes folyamatban lévő tevékenység, valamint a humán és a pénzügyi erőforrások prioritásait átrendezték, és az ügynökség néhány projektjét elhalasztották és átszervezték;</w:t>
      </w:r>
    </w:p>
    <w:p w:rsidR="00DF742B" w:rsidRPr="00C035D3" w:rsidRDefault="00DF742B" w:rsidP="008F4887">
      <w:pPr>
        <w:widowControl/>
        <w:spacing w:after="240"/>
        <w:ind w:left="567" w:hanging="567"/>
      </w:pPr>
      <w:proofErr w:type="gramStart"/>
      <w:r w:rsidRPr="00C035D3">
        <w:t>5.</w:t>
      </w:r>
      <w:r w:rsidRPr="00C035D3">
        <w:tab/>
        <w:t>elismeréssel veszi tudomásul az ügynökség teljesítményét, különösen a 2022-ben elért magas teljesítményt, beleértve a kiadványokat, az üléseket, a rendezvények szervezését, a technikai segítségnyújtást és a kapacitásépítési tevékenységeket, valamint az írásbeli és szóbeli hozzájárulásokat; tudomásul veszi, hogy az ügynökség munkájára 213 kiadvány hivatkozik, és 2022-ben 4 319 alkalommal említették meg a médiában; elismerését fejezi ki az ügynökség 1. stratégiai prioritással („A tendenciák azonosítása: összehasonlítható adatok és bizonyítékok gyűjtése és elemzése”) kapcsolatos tevékenységeiért,</w:t>
      </w:r>
      <w:proofErr w:type="gramEnd"/>
      <w:r w:rsidRPr="00C035D3">
        <w:t xml:space="preserve"> </w:t>
      </w:r>
      <w:proofErr w:type="gramStart"/>
      <w:r w:rsidRPr="00C035D3">
        <w:t xml:space="preserve">amelyeket az ügynökség érdekelt felei a leginkább relevánsnak és a legnagyobb hozzáadott értéket képviselőnek tekintettek; ezzel összefüggésben tudomásul veszi az ügynökség 2022-ben elért eredményeit, például a „Romák 10 európai országban” című jelentés közzétételét (amely többek között rávilágított a romák integrációja terén elért javulásra és hiányosságokra), a menekültügyről és migrációról szóló közleményt (amely a 2021 utolsó negyedévében harmadik országokból a tagállamokba és az uniós tagjelölt országokba érkező személyek alapvető jogi </w:t>
      </w:r>
      <w:r w:rsidRPr="00C035D3">
        <w:lastRenderedPageBreak/>
        <w:t>helyzetére összpontosított), az „Előítéletek az algoritmusokban.</w:t>
      </w:r>
      <w:proofErr w:type="gramEnd"/>
      <w:r w:rsidRPr="00C035D3">
        <w:t xml:space="preserve"> </w:t>
      </w:r>
      <w:proofErr w:type="gramStart"/>
      <w:r w:rsidRPr="00C035D3">
        <w:t>Mesterséges intelligencia és diszkrimináció” című jelentést (amely az ügynökséget az első olyan nemzetközi emberi jogi szervezetté tette, amely többek között az algoritmusokban megjelenő elfogultsággal is foglalkozik, és amely a közzétételét követő első hét napban az ügynökség 2022-ben legtöbbször letöltött jelentése lett), valamint „A civil társadalmi tér védelme az EU-ban – a legfontosabb megállapítások és a FRA véleményei” című jelentést (amely áttekintést nyújt a civil társadalmi térrel kapcsolatos főbb kérdésekről az Unió egészében); az utóbbi jelentéssel kapcsolatban elismerését fejezi k</w:t>
      </w:r>
      <w:proofErr w:type="gramEnd"/>
      <w:r w:rsidRPr="00C035D3">
        <w:t xml:space="preserve">i </w:t>
      </w:r>
      <w:proofErr w:type="gramStart"/>
      <w:r w:rsidRPr="00C035D3">
        <w:t>amiatt</w:t>
      </w:r>
      <w:proofErr w:type="gramEnd"/>
      <w:r w:rsidRPr="00C035D3">
        <w:t>, hogy az ügynökség bizonyította, hogy képes befolyásolni a civil társadalmi térrel kapcsolatos szakpolitikai és jogalkotási folyamatokat, annak révén, hogy a Tanács cseh elnöksége és a Bizottság 2022-ben az ügynökséget is bevonta az e témára vonatkozó projektjeibe;</w:t>
      </w:r>
    </w:p>
    <w:p w:rsidR="00DF742B" w:rsidRPr="00C035D3" w:rsidRDefault="00DF742B" w:rsidP="008F4887">
      <w:pPr>
        <w:widowControl/>
        <w:spacing w:after="240"/>
        <w:ind w:left="567" w:hanging="567"/>
      </w:pPr>
      <w:proofErr w:type="gramStart"/>
      <w:r w:rsidRPr="00C035D3">
        <w:t>6.</w:t>
      </w:r>
      <w:r w:rsidRPr="00C035D3">
        <w:tab/>
        <w:t>üdvözli, hogy az ügynökség időben reagált a felmerülő alapjogi kérdésekre, például általános iránymutatást adott „Független nemzeti mechanizmusok létrehozása az alapjogok uniós külső határokon történő tiszteletben tartásának nyomon követésére” című jelentésében, segítséget nyújtva az uniós tagállamoknak ahhoz, hogy létrehozzák vagy megerősítsék az alapvető jogok tiszteletben tartásának nyomon követésére szolgáló nemzeti mechanizmusokat és biztosítékokat nyújtva a mechanizmus függetlenségének garantálására; emlékeztet arra, hogy a nemzetközi jog megkülönböztetésmentes bánásmód biztosítását írj</w:t>
      </w:r>
      <w:proofErr w:type="gramEnd"/>
      <w:r w:rsidRPr="00C035D3">
        <w:t xml:space="preserve">a </w:t>
      </w:r>
      <w:proofErr w:type="gramStart"/>
      <w:r w:rsidRPr="00C035D3">
        <w:t>elő</w:t>
      </w:r>
      <w:proofErr w:type="gramEnd"/>
      <w:r w:rsidRPr="00C035D3">
        <w:t xml:space="preserve"> valamennyi menekült számára;</w:t>
      </w:r>
    </w:p>
    <w:p w:rsidR="00DF742B" w:rsidRPr="00C035D3" w:rsidRDefault="00DF742B" w:rsidP="008F4887">
      <w:pPr>
        <w:widowControl/>
        <w:spacing w:after="240"/>
        <w:ind w:left="567" w:hanging="567"/>
        <w:rPr>
          <w:szCs w:val="24"/>
        </w:rPr>
      </w:pPr>
      <w:proofErr w:type="gramStart"/>
      <w:r w:rsidRPr="00C035D3">
        <w:t>7.</w:t>
      </w:r>
      <w:r w:rsidRPr="00C035D3">
        <w:tab/>
        <w:t>elismeréssel veszi tudomásul, hogy az ügynökség gyors intézkedéseket hozott annak érdekében, hogy reagáljon az ukrajnai emberi jogi helyzetre Oroszország jogellenes és provokáció nélkül indított invázióját követően, több nagyszabású intézkedés, többek között az Ukrajnából menekülő, lakóhelyüket elhagyni kényszerült személyek tapasztalatairól szóló online felmérés, az ukrajnai háborúnak az uniós tagállamokban az alapvető jogokkal kapcsolatos következményeiről szóló két közlemény, a 2001/55/EK tanácsi irányelv</w:t>
      </w:r>
      <w:r w:rsidRPr="00C035D3">
        <w:rPr>
          <w:szCs w:val="24"/>
          <w:vertAlign w:val="superscript"/>
        </w:rPr>
        <w:footnoteReference w:id="12"/>
      </w:r>
      <w:r w:rsidRPr="00C035D3">
        <w:t xml:space="preserve"> 16 tagállam általi végrehajtásáról szóló táblázat közzététele, valamint a háború elő</w:t>
      </w:r>
      <w:proofErr w:type="gramEnd"/>
      <w:r w:rsidRPr="00C035D3">
        <w:t xml:space="preserve">l </w:t>
      </w:r>
      <w:proofErr w:type="gramStart"/>
      <w:r w:rsidRPr="00C035D3">
        <w:t>menekülő</w:t>
      </w:r>
      <w:proofErr w:type="gramEnd"/>
      <w:r w:rsidRPr="00C035D3">
        <w:t xml:space="preserve"> nők erőszakkal és egyéb emberi jogi visszaélésekkel kapcsolatos tapasztalataira vonatkozó adatgyűjtési projektek révén;</w:t>
      </w:r>
    </w:p>
    <w:p w:rsidR="00DF742B" w:rsidRPr="00C035D3" w:rsidRDefault="00DF742B" w:rsidP="008F4887">
      <w:pPr>
        <w:widowControl/>
        <w:spacing w:after="240"/>
        <w:ind w:left="567" w:hanging="567"/>
      </w:pPr>
      <w:proofErr w:type="gramStart"/>
      <w:r w:rsidRPr="00C035D3">
        <w:t>8.</w:t>
      </w:r>
      <w:r w:rsidRPr="00C035D3">
        <w:tab/>
        <w:t>elismeri az ügynökség szerepét a nemzeti emberi jogi infrastruktúra megerősítésében az emberi jogi intézményekkel való együttműködés és szinergiák megteremtése, valamint a civil társadalmi intézményekkel való partnerségek révén; tudomásul veszi, hogy az ügynökség folyamatos iránymutatást nyújt a menekültügy és a migráció területén, és rendszeresen áttekintést ad a tagállamoknak a migrációval kapcsolatos alapjogi kérdésekről; üdvözli az ügynökség szerepét az emberi jogokon alapuló narratíva előmozdításában azáltal, hogy hatékony kommunikációt alakít ki, részt vesz új digitális alkalmazások é</w:t>
      </w:r>
      <w:proofErr w:type="gramEnd"/>
      <w:r w:rsidRPr="00C035D3">
        <w:t xml:space="preserve">s </w:t>
      </w:r>
      <w:proofErr w:type="gramStart"/>
      <w:r w:rsidRPr="00C035D3">
        <w:t>eszközök</w:t>
      </w:r>
      <w:proofErr w:type="gramEnd"/>
      <w:r w:rsidRPr="00C035D3">
        <w:t xml:space="preserve"> kifejlesztésében, valamint összefogja az emberi jogi szereplőket az európai értékek és szabadságjogok előmozdítása érdekében;</w:t>
      </w:r>
    </w:p>
    <w:p w:rsidR="00DF742B" w:rsidRPr="00C035D3" w:rsidRDefault="00DF742B" w:rsidP="008F4887">
      <w:pPr>
        <w:widowControl/>
        <w:spacing w:after="240"/>
        <w:ind w:left="567" w:hanging="567"/>
      </w:pPr>
      <w:proofErr w:type="gramStart"/>
      <w:r w:rsidRPr="00C035D3">
        <w:t>9.</w:t>
      </w:r>
      <w:r w:rsidRPr="00C035D3">
        <w:tab/>
        <w:t xml:space="preserve">komoly aggodalommal állapítja meg, hogy az alapvető jogok és a jogállamiság magyarországi helyzetének nyomon követése érdekében az ügynökség úgy határozott, hogy együttműködik a Nemzeti Közszolgálati Egyetemmel és az Alapvető Jogok </w:t>
      </w:r>
      <w:r w:rsidRPr="00C035D3">
        <w:lastRenderedPageBreak/>
        <w:t xml:space="preserve">Biztosának Hivatalával, és ezekre támaszkodik annak ellenére, hogy mindkét intézmény a múltban elősegítette az alapvető jogok magyarországi romlását; </w:t>
      </w:r>
      <w:proofErr w:type="spellStart"/>
      <w:r w:rsidRPr="00C035D3">
        <w:t>megjegyzi</w:t>
      </w:r>
      <w:proofErr w:type="spellEnd"/>
      <w:r w:rsidRPr="00C035D3">
        <w:t xml:space="preserve"> például, hogy a Bizottság 2022. évi jogállamisági jelentésében „súlyos aggályokat” fogalmazott meg az alapvető jogok magyar biztosának függetlenségével kapcsolatban; sajnálja, hogy az ügynökség ennek ellenére</w:t>
      </w:r>
      <w:proofErr w:type="gramEnd"/>
      <w:r w:rsidRPr="00C035D3">
        <w:t xml:space="preserve"> úgy döntött, hogy nem vizsgálja felül a demokratikus visszacsúszást alapvetően elősegítő intézményekkel való együttműködést, holott az ügynökség alapvető feladata az lenne, hogy hozzájáruljon az alapvető jogok védelméhez, különösen az olyan </w:t>
      </w:r>
      <w:proofErr w:type="gramStart"/>
      <w:r w:rsidRPr="00C035D3">
        <w:t>problémás</w:t>
      </w:r>
      <w:proofErr w:type="gramEnd"/>
      <w:r w:rsidRPr="00C035D3">
        <w:t xml:space="preserve"> esetekben, mint amilyen a magyar kormányé; felszólítja az ügynökséget, hogy függessze fel az említett intézményekkel folytatott együttműködését, és folyamatosan tájékoztassa a mentesítésért felelős hatóságot az ezzel kapcsolatos </w:t>
      </w:r>
      <w:proofErr w:type="spellStart"/>
      <w:r w:rsidRPr="00C035D3">
        <w:t>előrelépésekről</w:t>
      </w:r>
      <w:proofErr w:type="spellEnd"/>
      <w:r w:rsidRPr="00C035D3">
        <w:t>;</w:t>
      </w:r>
    </w:p>
    <w:p w:rsidR="00DF742B" w:rsidRPr="00C035D3" w:rsidRDefault="00DF742B" w:rsidP="008F4887">
      <w:pPr>
        <w:widowControl/>
        <w:spacing w:after="240"/>
        <w:ind w:left="567" w:hanging="567"/>
        <w:rPr>
          <w:b/>
          <w:i/>
          <w:szCs w:val="24"/>
        </w:rPr>
      </w:pPr>
      <w:r w:rsidRPr="00C035D3">
        <w:rPr>
          <w:b/>
          <w:i/>
        </w:rPr>
        <w:t>Hatékonyság és hasznok</w:t>
      </w:r>
    </w:p>
    <w:p w:rsidR="00DF742B" w:rsidRPr="00C035D3" w:rsidRDefault="00DF742B" w:rsidP="008F4887">
      <w:pPr>
        <w:widowControl/>
        <w:spacing w:after="240"/>
        <w:ind w:left="567" w:hanging="567"/>
        <w:rPr>
          <w:szCs w:val="24"/>
        </w:rPr>
      </w:pPr>
      <w:proofErr w:type="gramStart"/>
      <w:r w:rsidRPr="00C035D3">
        <w:t>10.</w:t>
      </w:r>
      <w:r w:rsidRPr="00C035D3">
        <w:tab/>
      </w:r>
      <w:proofErr w:type="spellStart"/>
      <w:r w:rsidRPr="00C035D3">
        <w:t>megjegyzi</w:t>
      </w:r>
      <w:proofErr w:type="spellEnd"/>
      <w:r w:rsidRPr="00C035D3">
        <w:t xml:space="preserve">, hogy 2022-ben az ügynökség folytatta az együttműködést és a közös munkát a bel- és igazságügyi ügynökségek hálózatával (JHAAN) és az azt alkotó ügynökségekkel annak érdekében, hogy az alapjogi szakértelemmel való hozzájárulás révén kezelje a kölcsönös munkaterületeiket – például a belső biztonságot, a migrációt, a szervezett bűnözést, a menekültügyet és a határokat – érintő kihívásokat; ezzel összefüggésben </w:t>
      </w:r>
      <w:proofErr w:type="spellStart"/>
      <w:r w:rsidRPr="00C035D3">
        <w:t>megjegyzi</w:t>
      </w:r>
      <w:proofErr w:type="spellEnd"/>
      <w:r w:rsidRPr="00C035D3">
        <w:t>, hogy az ügynökség együttműködött különösen a Nemek Közötti Egyenlőség Európai Intézetével (a nők elleni erőszakról szóló felmérés előkészítésével kapcsolatban), az</w:t>
      </w:r>
      <w:proofErr w:type="gramEnd"/>
      <w:r w:rsidRPr="00C035D3">
        <w:t xml:space="preserve"> </w:t>
      </w:r>
      <w:proofErr w:type="gramStart"/>
      <w:r w:rsidRPr="00C035D3">
        <w:t xml:space="preserve">Európai Unió Menekültügyi Ügynökségével (néhány képzési modul felülvizsgálatával és a kísérő nélküli gyermekek gyámjainak átmeneti védelméről szóló füzet elkészítésével kapcsolatban), az Európai Unió Bűnüldözési Képzési Ügynökségével (a gyűlölet-bűncselekményekre vonatkozó adatokkal és jelentéstétellel kapcsolatos képzések elősegítése révén), valamint az Európai Unió Büntető Igazságügyi Együttműködési Ügynökségével (a </w:t>
      </w:r>
      <w:proofErr w:type="spellStart"/>
      <w:r w:rsidRPr="00C035D3">
        <w:t>kiberbűnözésről</w:t>
      </w:r>
      <w:proofErr w:type="spellEnd"/>
      <w:r w:rsidRPr="00C035D3">
        <w:t xml:space="preserve"> és az alapvető jogokról szóló kézikönyv kidolgozásával kapcsolatban); tudomásul veszi, hogy az ügynökség 2022-ben együttműködött a JHAAN-</w:t>
      </w:r>
      <w:proofErr w:type="spellStart"/>
      <w:r w:rsidRPr="00C035D3">
        <w:t>on</w:t>
      </w:r>
      <w:proofErr w:type="spellEnd"/>
      <w:r w:rsidRPr="00C035D3">
        <w:t xml:space="preserve"> kívüli ügynökségekkel</w:t>
      </w:r>
      <w:proofErr w:type="gramEnd"/>
      <w:r w:rsidRPr="00C035D3">
        <w:t xml:space="preserve"> </w:t>
      </w:r>
      <w:proofErr w:type="gramStart"/>
      <w:r w:rsidRPr="00C035D3">
        <w:t>és</w:t>
      </w:r>
      <w:proofErr w:type="gramEnd"/>
      <w:r w:rsidRPr="00C035D3">
        <w:t xml:space="preserve"> más szervezetekkel, például az </w:t>
      </w:r>
      <w:proofErr w:type="spellStart"/>
      <w:r w:rsidRPr="00C035D3">
        <w:t>Eurofounddal</w:t>
      </w:r>
      <w:proofErr w:type="spellEnd"/>
      <w:r w:rsidRPr="00C035D3">
        <w:t xml:space="preserve"> (Európai Alapítvány az Élet- és Munkakörülmények Javításáért), az Európai Munkaügyi Hatósággal és az Eurostattal is; </w:t>
      </w:r>
      <w:proofErr w:type="spellStart"/>
      <w:r w:rsidRPr="00C035D3">
        <w:t>ösztönzi</w:t>
      </w:r>
      <w:proofErr w:type="spellEnd"/>
      <w:r w:rsidRPr="00C035D3">
        <w:t xml:space="preserve"> a további szinergiák feltárását és azonosítását a hatékonyság növelése és a költségek csökkentése érdekében;</w:t>
      </w:r>
    </w:p>
    <w:p w:rsidR="00DF742B" w:rsidRPr="00C035D3" w:rsidRDefault="00DF742B" w:rsidP="008F4887">
      <w:pPr>
        <w:widowControl/>
        <w:spacing w:after="240"/>
        <w:ind w:left="567" w:hanging="567"/>
        <w:rPr>
          <w:szCs w:val="24"/>
        </w:rPr>
      </w:pPr>
      <w:r w:rsidRPr="00C035D3">
        <w:t>11.</w:t>
      </w:r>
      <w:r w:rsidRPr="00C035D3">
        <w:tab/>
        <w:t xml:space="preserve">a Parlament írásbeli kérdéseire adott válaszai alapján </w:t>
      </w:r>
      <w:proofErr w:type="spellStart"/>
      <w:r w:rsidRPr="00C035D3">
        <w:t>megjegyzi</w:t>
      </w:r>
      <w:proofErr w:type="spellEnd"/>
      <w:r w:rsidRPr="00C035D3">
        <w:t xml:space="preserve">, hogy az </w:t>
      </w:r>
      <w:proofErr w:type="gramStart"/>
      <w:r w:rsidRPr="00C035D3">
        <w:t>ügynökség kezdeményezéseket</w:t>
      </w:r>
      <w:proofErr w:type="gramEnd"/>
      <w:r w:rsidRPr="00C035D3">
        <w:t xml:space="preserve"> tett hatékonyságának és a hasznoknak a növelése érdekében az ismétlődő feladatok automatizálása, a jelenlegi üzleti folyamatok feltérképezése és átalakítása, a meglévő erőforrások jobb kihasználása érdekében a szervezeti struktúra felülvizsgálata, együttműködési platformok szisztematikusabb létrehozása, a pénzügyi és emberi erőforrások kezelésére vonatkozó szabályok és eljárások egyszerűsítése, valamint a hatékonyság növelésére irányuló erőfeszítések minőségi értékelése révén;</w:t>
      </w:r>
    </w:p>
    <w:p w:rsidR="00DF742B" w:rsidRPr="00C035D3" w:rsidRDefault="00DF742B" w:rsidP="008F4887">
      <w:pPr>
        <w:widowControl/>
        <w:spacing w:after="240"/>
        <w:ind w:left="567" w:hanging="567"/>
      </w:pPr>
      <w:proofErr w:type="gramStart"/>
      <w:r w:rsidRPr="00C035D3">
        <w:t>12.</w:t>
      </w:r>
      <w:r w:rsidRPr="00C035D3">
        <w:tab/>
        <w:t xml:space="preserve">üdvözli, hogy 2022-ben az ügynökség folytatta a humánerőforrás-folyamatok automatizálását és </w:t>
      </w:r>
      <w:proofErr w:type="spellStart"/>
      <w:r w:rsidRPr="00C035D3">
        <w:t>észszerűsítését</w:t>
      </w:r>
      <w:proofErr w:type="spellEnd"/>
      <w:r w:rsidRPr="00C035D3">
        <w:t xml:space="preserve">, többek között a SYSPER használatának kiterjesztése révén; ezzel összefüggésben </w:t>
      </w:r>
      <w:proofErr w:type="spellStart"/>
      <w:r w:rsidRPr="00C035D3">
        <w:t>megjegyzi</w:t>
      </w:r>
      <w:proofErr w:type="spellEnd"/>
      <w:r w:rsidRPr="00C035D3">
        <w:t xml:space="preserve">, hogy az ügynökség új munkaerő-felvételi eszközt hozott létre a kiválasztás megkönnyítése és a jelöltek és a HR számára </w:t>
      </w:r>
      <w:proofErr w:type="spellStart"/>
      <w:r w:rsidRPr="00C035D3">
        <w:t>felhasználóbarátabb</w:t>
      </w:r>
      <w:proofErr w:type="spellEnd"/>
      <w:r w:rsidRPr="00C035D3">
        <w:t xml:space="preserve"> élmény megteremtése érdekében, valamint további adatfeldolgozó eszközöket vezetett be a bérszámfejtés egyes aspektusainak automatizálása érdekében; </w:t>
      </w:r>
      <w:proofErr w:type="spellStart"/>
      <w:r w:rsidRPr="00C035D3">
        <w:t>megjegyzi</w:t>
      </w:r>
      <w:proofErr w:type="spellEnd"/>
      <w:r w:rsidRPr="00C035D3">
        <w:t xml:space="preserve"> továbbá, hogy az ügynökség időközben bevezette a Bizottság elektronikus archiválási és nyilvántartás-kezelő</w:t>
      </w:r>
      <w:proofErr w:type="gramEnd"/>
      <w:r w:rsidRPr="00C035D3">
        <w:t xml:space="preserve"> </w:t>
      </w:r>
      <w:proofErr w:type="gramStart"/>
      <w:r w:rsidRPr="00C035D3">
        <w:t>rendszerét</w:t>
      </w:r>
      <w:proofErr w:type="gramEnd"/>
      <w:r w:rsidRPr="00C035D3">
        <w:t xml:space="preserve"> (ARES), amely az EU </w:t>
      </w:r>
      <w:proofErr w:type="spellStart"/>
      <w:r w:rsidRPr="00C035D3">
        <w:t>Sign</w:t>
      </w:r>
      <w:proofErr w:type="spellEnd"/>
      <w:r w:rsidRPr="00C035D3">
        <w:t xml:space="preserve"> megoldás integrálását eredményezte, amely lehetővé teszi a minősített elektronikus aláírás </w:t>
      </w:r>
      <w:r w:rsidRPr="00C035D3">
        <w:lastRenderedPageBreak/>
        <w:t>használatát; elismerését fejezi ki a Bizottság közbeszerzési irányítási eszközének (e-közbeszerzés) 2023-as bevezetésére való felkészülés befejezéséért;</w:t>
      </w:r>
    </w:p>
    <w:p w:rsidR="00DF742B" w:rsidRPr="00C035D3" w:rsidRDefault="00DF742B" w:rsidP="008F4887">
      <w:pPr>
        <w:widowControl/>
        <w:spacing w:after="240"/>
        <w:ind w:left="567" w:hanging="567"/>
      </w:pPr>
      <w:proofErr w:type="gramStart"/>
      <w:r w:rsidRPr="00C035D3">
        <w:t>13.</w:t>
      </w:r>
      <w:r w:rsidRPr="00C035D3">
        <w:tab/>
        <w:t xml:space="preserve">tudomásul veszi az ügynökség „többet kevesebbel” megközelítését, amelynek köszönhetően már eddig is 350 000 EUR megtakarítást ért el, és amely várhatóan további 200 000 EUR megtakarítást fog eredményezni az új informatikai alkalmazások fejlesztésére szánt házon belüli erőforrások felhasználásának és az új felhőalapú technológiák alkalmazásának eredményeként, ami segítette az ügynökséget informatikai infrastruktúrájának további optimalizálásában; </w:t>
      </w:r>
      <w:proofErr w:type="spellStart"/>
      <w:r w:rsidRPr="00C035D3">
        <w:t>megjegyzi</w:t>
      </w:r>
      <w:proofErr w:type="spellEnd"/>
      <w:r w:rsidRPr="00C035D3">
        <w:t>, hogy az ügynökség többek között bizottsági alkalmazások bevezetése, az épületek fűtési hőmérsékletének csökkentése, papírmentes eljárások</w:t>
      </w:r>
      <w:proofErr w:type="gramEnd"/>
      <w:r w:rsidRPr="00C035D3">
        <w:t xml:space="preserve"> </w:t>
      </w:r>
      <w:proofErr w:type="gramStart"/>
      <w:r w:rsidRPr="00C035D3">
        <w:t>alkalmazása</w:t>
      </w:r>
      <w:proofErr w:type="gramEnd"/>
      <w:r w:rsidRPr="00C035D3">
        <w:t xml:space="preserve"> a pénzügyi és szerződéskötési területen, valamint a postai és futárpostai szolgáltatások csökkentése révén is törekszik erőforrásai felhasználásának hatékonyságára; </w:t>
      </w:r>
      <w:proofErr w:type="spellStart"/>
      <w:r w:rsidRPr="00C035D3">
        <w:t>ösztönzi</w:t>
      </w:r>
      <w:proofErr w:type="spellEnd"/>
      <w:r w:rsidRPr="00C035D3">
        <w:t xml:space="preserve"> az ügynökséget, hogy a többi decentralizált uniós ügynökséggel folytatott együttműködési csatornáin keresztül adja át az ezzel kapcsolatos bevált gyakorlatokat;</w:t>
      </w:r>
    </w:p>
    <w:p w:rsidR="00DF742B" w:rsidRPr="00C035D3" w:rsidRDefault="00DF742B" w:rsidP="008F4887">
      <w:pPr>
        <w:widowControl/>
        <w:spacing w:after="240"/>
        <w:ind w:left="567" w:hanging="567"/>
        <w:rPr>
          <w:szCs w:val="24"/>
        </w:rPr>
      </w:pPr>
      <w:proofErr w:type="gramStart"/>
      <w:r w:rsidRPr="00C035D3">
        <w:t>14.</w:t>
      </w:r>
      <w:r w:rsidRPr="00C035D3">
        <w:tab/>
        <w:t xml:space="preserve">a számvevőszéki jelentés alapján megállapítja, hogy az ügynökség nem tartozik azon ügynökségek közé, amelyek szervezeti terveket dolgoztak ki műveleteik energiahatékonyságának és klímasemlegességének javítása érdekében, az éves tevékenységi jelentéseikben rendelkeznek a környezetvédelmi jelentéstétel valamilyen formájával, és megkapták az EMAS-regisztrációt; mindazonáltal az ügynökségnek a Parlament írásbeli kérdéseire adott válaszai alapján </w:t>
      </w:r>
      <w:proofErr w:type="spellStart"/>
      <w:r w:rsidRPr="00C035D3">
        <w:t>megjegyzi</w:t>
      </w:r>
      <w:proofErr w:type="spellEnd"/>
      <w:r w:rsidRPr="00C035D3">
        <w:t>, hogy az EMAS-tanúsítás megszerzését azt követően tervezik, hogy az ügynökség új székhelyére költözik, amely megfelel az európai zöld megállapodás</w:t>
      </w:r>
      <w:proofErr w:type="gramEnd"/>
      <w:r w:rsidRPr="00C035D3">
        <w:t xml:space="preserve"> követelményeinek is; elismerését fejezi ki az ügynökségnek amiatt, hogy a környezetvédelmi és szociális követelményeket, valamint a kiválasztási és odaítélési </w:t>
      </w:r>
      <w:proofErr w:type="gramStart"/>
      <w:r w:rsidRPr="00C035D3">
        <w:t>kritériumokat</w:t>
      </w:r>
      <w:proofErr w:type="gramEnd"/>
      <w:r w:rsidRPr="00C035D3">
        <w:t xml:space="preserve"> illetően zöld közbeszerzési kritériumokat vezetett be annak </w:t>
      </w:r>
      <w:proofErr w:type="spellStart"/>
      <w:r w:rsidRPr="00C035D3">
        <w:t>korlátain</w:t>
      </w:r>
      <w:proofErr w:type="spellEnd"/>
      <w:r w:rsidRPr="00C035D3">
        <w:t xml:space="preserve"> belül, hogy az ügynökség többnyire szolgáltatásokat szerez be;</w:t>
      </w:r>
    </w:p>
    <w:p w:rsidR="00DF742B" w:rsidRPr="00C035D3" w:rsidRDefault="00DF742B" w:rsidP="008F4887">
      <w:pPr>
        <w:widowControl/>
        <w:spacing w:after="240"/>
        <w:ind w:left="567" w:hanging="567"/>
        <w:rPr>
          <w:b/>
          <w:i/>
          <w:szCs w:val="24"/>
        </w:rPr>
      </w:pPr>
      <w:r w:rsidRPr="00C035D3">
        <w:rPr>
          <w:b/>
          <w:i/>
        </w:rPr>
        <w:t>Személyzeti politika</w:t>
      </w:r>
    </w:p>
    <w:p w:rsidR="00DF742B" w:rsidRPr="00C035D3" w:rsidRDefault="00DF742B" w:rsidP="008F4887">
      <w:pPr>
        <w:widowControl/>
        <w:spacing w:after="240"/>
        <w:ind w:left="567" w:hanging="567"/>
        <w:rPr>
          <w:szCs w:val="24"/>
        </w:rPr>
      </w:pPr>
      <w:proofErr w:type="gramStart"/>
      <w:r w:rsidRPr="00C035D3">
        <w:t>15.</w:t>
      </w:r>
      <w:r w:rsidRPr="00C035D3">
        <w:tab/>
        <w:t>tudomásul veszi, hogy 2022. december 31-én a létszámterv végrehajtása 94%-</w:t>
      </w:r>
      <w:proofErr w:type="spellStart"/>
      <w:r w:rsidRPr="00C035D3">
        <w:t>os</w:t>
      </w:r>
      <w:proofErr w:type="spellEnd"/>
      <w:r w:rsidRPr="00C035D3">
        <w:t xml:space="preserve"> szintet ért el: az uniós költségvetés értelmében engedélyezett 72 ideiglenes alkalmazotti álláshelyből (ugyanannyi, mint 2021-ben) 68-ra neveztek ki ideiglenes alkalmazottat; </w:t>
      </w:r>
      <w:proofErr w:type="spellStart"/>
      <w:r w:rsidRPr="00C035D3">
        <w:t>megjegyzi</w:t>
      </w:r>
      <w:proofErr w:type="spellEnd"/>
      <w:r w:rsidRPr="00C035D3">
        <w:t xml:space="preserve">, hogy ezen felül 28,4 szerződéses alkalmazott (teljes munkaidős egyenérték) és 9 kirendelt nemzeti szakértő (teljes munkaidős egyenérték, közülük egy fő ingyenesen) dolgozott az ügynökségnél 2022-ben; megállapítja, hogy 2022-ben alacsony volt a fluktuáció (1,9%); </w:t>
      </w:r>
      <w:proofErr w:type="spellStart"/>
      <w:r w:rsidRPr="00C035D3">
        <w:t>megjegyzi</w:t>
      </w:r>
      <w:proofErr w:type="spellEnd"/>
      <w:r w:rsidRPr="00C035D3">
        <w:t xml:space="preserve"> továbbá, hogy 2022-ben az ügynökség folytatta a humánerőforrás-folyamatok</w:t>
      </w:r>
      <w:proofErr w:type="gramEnd"/>
      <w:r w:rsidRPr="00C035D3">
        <w:t xml:space="preserve"> </w:t>
      </w:r>
      <w:proofErr w:type="gramStart"/>
      <w:r w:rsidRPr="00C035D3">
        <w:t>automatizálását</w:t>
      </w:r>
      <w:proofErr w:type="gramEnd"/>
      <w:r w:rsidRPr="00C035D3">
        <w:t xml:space="preserve"> és </w:t>
      </w:r>
      <w:proofErr w:type="spellStart"/>
      <w:r w:rsidRPr="00C035D3">
        <w:t>észszerűsítését</w:t>
      </w:r>
      <w:proofErr w:type="spellEnd"/>
      <w:r w:rsidRPr="00C035D3">
        <w:t xml:space="preserve"> annak érdekében, hogy további hatékonyságnövekedést érjen el;</w:t>
      </w:r>
    </w:p>
    <w:p w:rsidR="00DF742B" w:rsidRPr="00C035D3" w:rsidRDefault="00DF742B" w:rsidP="008F4887">
      <w:pPr>
        <w:widowControl/>
        <w:spacing w:after="240"/>
        <w:ind w:left="567" w:hanging="567"/>
      </w:pPr>
      <w:proofErr w:type="gramStart"/>
      <w:r w:rsidRPr="00C035D3">
        <w:t>16.</w:t>
      </w:r>
      <w:r w:rsidRPr="00C035D3">
        <w:tab/>
        <w:t xml:space="preserve">elégedetten veszi tudomásul a nemek közötti egyensúlyt az ügynökség felső és középvezetésében, ahol 3 férfi (50%) és 3 nő (50%) dolgozik, az igazgatótanács szintjén, ahol a 65 tagból 33 (51%) nő, és az ügynökség teljes személyzetén belül, ahol 105 tagból 57 nő (54%) dolgozik; </w:t>
      </w:r>
      <w:proofErr w:type="spellStart"/>
      <w:r w:rsidRPr="00C035D3">
        <w:t>megjegyzi</w:t>
      </w:r>
      <w:proofErr w:type="spellEnd"/>
      <w:r w:rsidRPr="00C035D3">
        <w:t>, hogy a nemek közötti egyensúly az ügynökség egyik sarkalatos megkülönböztetés-mentességi célkitűzése, és továbbra is kiemelt figyelmet fordít szervei, például az egyenlőséggel és a sokféleséggel foglalkozó csoport munkájára, amely az ügynökség emberierőforrás-folyamatainak minden területén a nemi alapú megkülönböztetéstől</w:t>
      </w:r>
      <w:proofErr w:type="gramEnd"/>
      <w:r w:rsidRPr="00C035D3">
        <w:t xml:space="preserve"> </w:t>
      </w:r>
      <w:proofErr w:type="gramStart"/>
      <w:r w:rsidRPr="00C035D3">
        <w:t>való</w:t>
      </w:r>
      <w:proofErr w:type="gramEnd"/>
      <w:r w:rsidRPr="00C035D3">
        <w:t xml:space="preserve"> mentesség előmozdításán dolgozik;</w:t>
      </w:r>
    </w:p>
    <w:p w:rsidR="00DF742B" w:rsidRPr="00C035D3" w:rsidRDefault="00DF742B" w:rsidP="008F4887">
      <w:pPr>
        <w:widowControl/>
        <w:spacing w:after="240"/>
        <w:ind w:left="567" w:hanging="567"/>
      </w:pPr>
      <w:r w:rsidRPr="00C035D3">
        <w:lastRenderedPageBreak/>
        <w:t>17.</w:t>
      </w:r>
      <w:r w:rsidRPr="00C035D3">
        <w:tab/>
      </w:r>
      <w:proofErr w:type="spellStart"/>
      <w:r w:rsidRPr="00C035D3">
        <w:t>megjegyzi</w:t>
      </w:r>
      <w:proofErr w:type="spellEnd"/>
      <w:r w:rsidRPr="00C035D3">
        <w:t xml:space="preserve">, hogy az ügynökség 2022. október 1-jétől 23 tagállamból foglalkoztatott személyzetet; üdvözli az ügynökség földrajzi egyensúly elérésére irányuló erőfeszítéseit; </w:t>
      </w:r>
      <w:proofErr w:type="spellStart"/>
      <w:r w:rsidRPr="00C035D3">
        <w:t>megjegyzi</w:t>
      </w:r>
      <w:proofErr w:type="spellEnd"/>
      <w:r w:rsidRPr="00C035D3">
        <w:t>, hogy az ügynökség esélyegyenlőségi és megkülönböztetésmentességi stratégiájának részeként a sokszínűség előmozdítása, beleértve a földrajzi egyensúlyt is, az emberierőforrás-folyamatok – például a munkaerő-felvétel és a kiválasztás – átfogó célkitűzéseinek részét képezi;</w:t>
      </w:r>
    </w:p>
    <w:p w:rsidR="00DF742B" w:rsidRPr="00C035D3" w:rsidRDefault="00DF742B" w:rsidP="008F4887">
      <w:pPr>
        <w:widowControl/>
        <w:spacing w:after="240"/>
        <w:ind w:left="567" w:hanging="567"/>
        <w:rPr>
          <w:szCs w:val="24"/>
        </w:rPr>
      </w:pPr>
      <w:r w:rsidRPr="00C035D3">
        <w:t>18.</w:t>
      </w:r>
      <w:r w:rsidRPr="00C035D3">
        <w:tab/>
      </w:r>
      <w:proofErr w:type="spellStart"/>
      <w:r w:rsidRPr="00C035D3">
        <w:t>megjegyzi</w:t>
      </w:r>
      <w:proofErr w:type="spellEnd"/>
      <w:r w:rsidRPr="00C035D3">
        <w:t xml:space="preserve">, hogy az ügynökség számos intézkedést hozott a fogyatékossággal élő személyek integrálása érdekében azáltal, hogy észszerű alkalmazkodást biztosított, korszerűsíti épületeit az akadálymentesség elősegítése érdekében, kivételes távmunkát tett lehetővé, és rendszeres képzést szervezett a személyzet fogyatékossággal kapcsolatos tudatosságáról; üdvözli az ügynökség arra irányuló erőfeszítéseit, hogy gyakornoki jelentkezéseket vonzzon fogyatékossággal élő jelöltektől; </w:t>
      </w:r>
      <w:proofErr w:type="spellStart"/>
      <w:r w:rsidRPr="00C035D3">
        <w:t>megjegyzi</w:t>
      </w:r>
      <w:proofErr w:type="spellEnd"/>
      <w:r w:rsidRPr="00C035D3">
        <w:t>, hogy az ügynökség fogyatékossággal kapcsolatos támogatási szakpolitikát is készít;</w:t>
      </w:r>
    </w:p>
    <w:p w:rsidR="00DF742B" w:rsidRPr="00C035D3" w:rsidRDefault="00DF742B" w:rsidP="008F4887">
      <w:pPr>
        <w:widowControl/>
        <w:spacing w:after="240"/>
        <w:ind w:left="567" w:hanging="567"/>
        <w:rPr>
          <w:szCs w:val="24"/>
        </w:rPr>
      </w:pPr>
      <w:r w:rsidRPr="00C035D3">
        <w:t>19.</w:t>
      </w:r>
      <w:r w:rsidRPr="00C035D3">
        <w:tab/>
      </w:r>
      <w:proofErr w:type="spellStart"/>
      <w:r w:rsidRPr="00C035D3">
        <w:t>megjegyzi</w:t>
      </w:r>
      <w:proofErr w:type="spellEnd"/>
      <w:r w:rsidRPr="00C035D3">
        <w:t xml:space="preserve">, hogy az ügynökség pszichológiai támogató szolgáltatások nyújtásával, a testmozgás ösztönzésével, a sporttagsághoz pénzügyi hozzájárulást nyújtó új, 2022-ben elfogadott rendszer révén, valamint a </w:t>
      </w:r>
      <w:proofErr w:type="gramStart"/>
      <w:r w:rsidRPr="00C035D3">
        <w:t>hibrid</w:t>
      </w:r>
      <w:proofErr w:type="gramEnd"/>
      <w:r w:rsidRPr="00C035D3">
        <w:t xml:space="preserve"> munkavégzésre vonatkozó bizottsági szabályok elfogadásával támogatta a személyzet jóllétét;</w:t>
      </w:r>
    </w:p>
    <w:p w:rsidR="00DF742B" w:rsidRPr="00C035D3" w:rsidRDefault="00DF742B" w:rsidP="008F4887">
      <w:pPr>
        <w:widowControl/>
        <w:spacing w:after="240"/>
        <w:ind w:left="567" w:hanging="567"/>
        <w:rPr>
          <w:szCs w:val="24"/>
        </w:rPr>
      </w:pPr>
      <w:r w:rsidRPr="00C035D3">
        <w:rPr>
          <w:b/>
          <w:i/>
        </w:rPr>
        <w:t>Az összeférhetetlenségek megelőzése és kezelése, valamint az átláthatóság</w:t>
      </w:r>
    </w:p>
    <w:p w:rsidR="00DF742B" w:rsidRPr="00C035D3" w:rsidRDefault="00DF742B" w:rsidP="008F4887">
      <w:pPr>
        <w:widowControl/>
        <w:spacing w:after="240"/>
        <w:ind w:left="567" w:hanging="567"/>
        <w:rPr>
          <w:szCs w:val="24"/>
        </w:rPr>
      </w:pPr>
      <w:r w:rsidRPr="00C035D3">
        <w:t>20.</w:t>
      </w:r>
      <w:r w:rsidRPr="00C035D3">
        <w:tab/>
      </w:r>
      <w:proofErr w:type="spellStart"/>
      <w:r w:rsidRPr="00C035D3">
        <w:t>megjegyzi</w:t>
      </w:r>
      <w:proofErr w:type="spellEnd"/>
      <w:r w:rsidRPr="00C035D3">
        <w:t xml:space="preserve">, hogy az igazgatótanács és a vezetőség tagjainak önéletrajzait és érdekeltségi nyilatkozatait közzétették az ügynökség honlapján; az ügynökség </w:t>
      </w:r>
      <w:proofErr w:type="spellStart"/>
      <w:r w:rsidRPr="00C035D3">
        <w:t>nyomonkövetési</w:t>
      </w:r>
      <w:proofErr w:type="spellEnd"/>
      <w:r w:rsidRPr="00C035D3">
        <w:t xml:space="preserve"> jelentése alapján tudomásul veszi, hogy az ügynökség úgy határozott, hogy a továbbiakban honlapján nem tesz közzé </w:t>
      </w:r>
      <w:proofErr w:type="gramStart"/>
      <w:r w:rsidRPr="00C035D3">
        <w:t>információkat</w:t>
      </w:r>
      <w:proofErr w:type="gramEnd"/>
      <w:r w:rsidRPr="00C035D3">
        <w:t xml:space="preserve"> a belső szakértőkről;</w:t>
      </w:r>
    </w:p>
    <w:p w:rsidR="00DF742B" w:rsidRPr="00C035D3" w:rsidRDefault="00DF742B" w:rsidP="008F4887">
      <w:pPr>
        <w:widowControl/>
        <w:spacing w:after="240"/>
        <w:ind w:left="567" w:hanging="567"/>
        <w:rPr>
          <w:szCs w:val="24"/>
        </w:rPr>
      </w:pPr>
      <w:proofErr w:type="gramStart"/>
      <w:r w:rsidRPr="00C035D3">
        <w:t>21.</w:t>
      </w:r>
      <w:r w:rsidRPr="00C035D3">
        <w:tab/>
        <w:t xml:space="preserve">üdvözli, hogy az ügynökség 2022-ben elvégezte az összes alkalmazott érdekeltségi nyilatkozatának felülvizsgálatát/frissítését, és ennek eredményeképpen néhány megelőző ajánlást adott ki; </w:t>
      </w:r>
      <w:proofErr w:type="spellStart"/>
      <w:r w:rsidRPr="00C035D3">
        <w:t>megjegyzi</w:t>
      </w:r>
      <w:proofErr w:type="spellEnd"/>
      <w:r w:rsidRPr="00C035D3">
        <w:t xml:space="preserve"> továbbá, hogy az ügynökség kötelező képzést biztosít a személyzet számára az etikáról és a feddhetetlenségről, és iránymutatást ad a külső tevékenységek értékeléséhez; annak nyomon követése tekintetében, hogy az ügynökség korábbi személyzete megfelel-e a „forgóajtó-jelenség” és a kapcsolódó korlátozások területén alkalmazandó határozatoknak, az ügynökség jelenleg vizsgálja a véletlenszerű ellenőrzések</w:t>
      </w:r>
      <w:proofErr w:type="gramEnd"/>
      <w:r w:rsidRPr="00C035D3">
        <w:t xml:space="preserve"> </w:t>
      </w:r>
      <w:proofErr w:type="gramStart"/>
      <w:r w:rsidRPr="00C035D3">
        <w:t>elvégzésének</w:t>
      </w:r>
      <w:proofErr w:type="gramEnd"/>
      <w:r w:rsidRPr="00C035D3">
        <w:t xml:space="preserve"> lehetőségét; felszólítja az ügynökséget, hogy tájékoztassa a mentesítésért felelős hatóságot az e tekintetben elért haladásról;</w:t>
      </w:r>
    </w:p>
    <w:p w:rsidR="00DF742B" w:rsidRPr="00C035D3" w:rsidRDefault="00DF742B" w:rsidP="008F4887">
      <w:pPr>
        <w:widowControl/>
        <w:spacing w:after="240"/>
        <w:ind w:left="567" w:hanging="567"/>
        <w:rPr>
          <w:szCs w:val="24"/>
        </w:rPr>
      </w:pPr>
      <w:proofErr w:type="gramStart"/>
      <w:r w:rsidRPr="00C035D3">
        <w:t>22.</w:t>
      </w:r>
      <w:r w:rsidRPr="00C035D3">
        <w:tab/>
      </w:r>
      <w:proofErr w:type="spellStart"/>
      <w:r w:rsidRPr="00C035D3">
        <w:t>megjegyzi</w:t>
      </w:r>
      <w:proofErr w:type="spellEnd"/>
      <w:r w:rsidRPr="00C035D3">
        <w:t xml:space="preserve">, hogy 2022-ben az ügynökség azonosította az igazgatótanács egyik tagja vélt összeférhetetlenségének potenciális kockázatát az ügynökség által aláírt és az EGT/norvég támogatásokból finanszírozott projektszerződéssel kapcsolatban; </w:t>
      </w:r>
      <w:proofErr w:type="spellStart"/>
      <w:r w:rsidRPr="00C035D3">
        <w:t>megjegyzi</w:t>
      </w:r>
      <w:proofErr w:type="spellEnd"/>
      <w:r w:rsidRPr="00C035D3">
        <w:t>, hogy az értékelést követően arra a következtetésre jutottak, hogy a helyzet nem minősül tényleges összeférhetetlenségnek; üdvözli azonban az ilyen kockázatok csökkentése érdekében hozott intézkedéseket, többek között azt, hogy a következő igazgatótanácsi ülés előtt kérik az érintett igazgatótanácsi tag érdekeltségi nyilatkozatának aktualizálását,</w:t>
      </w:r>
      <w:proofErr w:type="gramEnd"/>
      <w:r w:rsidRPr="00C035D3">
        <w:t xml:space="preserve"> </w:t>
      </w:r>
      <w:proofErr w:type="gramStart"/>
      <w:r w:rsidRPr="00C035D3">
        <w:t>valamint</w:t>
      </w:r>
      <w:proofErr w:type="gramEnd"/>
      <w:r w:rsidRPr="00C035D3">
        <w:t xml:space="preserve"> azt, hogy kérik, hogy ez a tag tartózkodjon az igazgatótanács által a szóban forgó projekttel kapcsolatban hozott döntésektől;</w:t>
      </w:r>
    </w:p>
    <w:p w:rsidR="00DF742B" w:rsidRPr="00C035D3" w:rsidRDefault="00DF742B" w:rsidP="008F4887">
      <w:pPr>
        <w:widowControl/>
        <w:spacing w:after="240"/>
        <w:ind w:left="567" w:hanging="567"/>
        <w:rPr>
          <w:b/>
          <w:i/>
          <w:szCs w:val="24"/>
        </w:rPr>
      </w:pPr>
      <w:r w:rsidRPr="00C035D3">
        <w:rPr>
          <w:b/>
          <w:i/>
        </w:rPr>
        <w:t xml:space="preserve">Belső </w:t>
      </w:r>
      <w:proofErr w:type="gramStart"/>
      <w:r w:rsidRPr="00C035D3">
        <w:rPr>
          <w:b/>
          <w:i/>
        </w:rPr>
        <w:t>kontroll</w:t>
      </w:r>
      <w:proofErr w:type="gramEnd"/>
    </w:p>
    <w:p w:rsidR="00DF742B" w:rsidRPr="00C035D3" w:rsidRDefault="00DF742B" w:rsidP="008F4887">
      <w:pPr>
        <w:widowControl/>
        <w:spacing w:after="240"/>
        <w:ind w:left="567" w:hanging="567"/>
        <w:rPr>
          <w:szCs w:val="24"/>
        </w:rPr>
      </w:pPr>
      <w:r w:rsidRPr="00C035D3">
        <w:t>23.</w:t>
      </w:r>
      <w:r w:rsidRPr="00C035D3">
        <w:tab/>
      </w:r>
      <w:proofErr w:type="spellStart"/>
      <w:r w:rsidRPr="00C035D3">
        <w:t>megjegyzi</w:t>
      </w:r>
      <w:proofErr w:type="spellEnd"/>
      <w:r w:rsidRPr="00C035D3">
        <w:t xml:space="preserve">, hogy az ügynökség 2022-ben értékelte belső </w:t>
      </w:r>
      <w:proofErr w:type="gramStart"/>
      <w:r w:rsidRPr="00C035D3">
        <w:t>kontroll</w:t>
      </w:r>
      <w:proofErr w:type="gramEnd"/>
      <w:r w:rsidRPr="00C035D3">
        <w:t xml:space="preserve">rendszereit, és arra a következtetésre jutott, hogy azok hatékonyak, és az összetevők és elvek általában véve </w:t>
      </w:r>
      <w:r w:rsidRPr="00C035D3">
        <w:lastRenderedPageBreak/>
        <w:t>jelen vannak és jól működnek, néhány kisebb hiányossággal az 5., 13. és 14. elvhez kapcsolódóan a szakmai előmeneteli jelentés időben történő lezárásával, valamint azzal kapcsolatban, hogy javítani kell az érdekelt felekkel történő belső és külső kommunikáció irányítására vonatkozó stratégiát;</w:t>
      </w:r>
    </w:p>
    <w:p w:rsidR="00DF742B" w:rsidRPr="00C035D3" w:rsidRDefault="00DF742B" w:rsidP="008F4887">
      <w:pPr>
        <w:widowControl/>
        <w:spacing w:after="240"/>
        <w:ind w:left="567" w:hanging="567"/>
        <w:rPr>
          <w:szCs w:val="24"/>
        </w:rPr>
      </w:pPr>
      <w:r w:rsidRPr="00C035D3">
        <w:t>24.</w:t>
      </w:r>
      <w:r w:rsidRPr="00C035D3">
        <w:tab/>
      </w:r>
      <w:proofErr w:type="spellStart"/>
      <w:r w:rsidRPr="00C035D3">
        <w:t>megjegyzi</w:t>
      </w:r>
      <w:proofErr w:type="spellEnd"/>
      <w:r w:rsidRPr="00C035D3">
        <w:t xml:space="preserve">, hogy az ügynökség 2021-ben </w:t>
      </w:r>
      <w:proofErr w:type="gramStart"/>
      <w:r w:rsidRPr="00C035D3">
        <w:t>aktualizált</w:t>
      </w:r>
      <w:proofErr w:type="gramEnd"/>
      <w:r w:rsidRPr="00C035D3">
        <w:t xml:space="preserve"> csalás elleni stratégiája tekintetében a cselekvési terv végrehajtása folyamatban van, és annak valamennyi intézkedését kezelték, beleértve a célzott csaláskockázat-értékelést, a személyzet tudatosságának növelését a csalásmegelőzésre és a visszaélések bejelentésére vonatkozó szabályokat illetően, valamint a jogi keret időben történő aktualizálását;</w:t>
      </w:r>
    </w:p>
    <w:p w:rsidR="00DF742B" w:rsidRPr="00C035D3" w:rsidRDefault="00DF742B" w:rsidP="008F4887">
      <w:pPr>
        <w:widowControl/>
        <w:spacing w:after="240"/>
        <w:ind w:left="567" w:hanging="567"/>
        <w:rPr>
          <w:b/>
          <w:i/>
          <w:szCs w:val="24"/>
        </w:rPr>
      </w:pPr>
      <w:r w:rsidRPr="00C035D3">
        <w:rPr>
          <w:b/>
          <w:i/>
        </w:rPr>
        <w:t>Egyéb megjegyzések</w:t>
      </w:r>
    </w:p>
    <w:p w:rsidR="00DF742B" w:rsidRPr="00C035D3" w:rsidRDefault="00DF742B" w:rsidP="008F4887">
      <w:pPr>
        <w:widowControl/>
        <w:spacing w:after="240"/>
        <w:ind w:left="567" w:hanging="567"/>
        <w:rPr>
          <w:szCs w:val="24"/>
        </w:rPr>
      </w:pPr>
      <w:proofErr w:type="gramStart"/>
      <w:r w:rsidRPr="00C035D3">
        <w:t>25.</w:t>
      </w:r>
      <w:r w:rsidRPr="00C035D3">
        <w:tab/>
        <w:t xml:space="preserve">üdvözli az ügynökség arra irányuló erőfeszítéseit, hogy növelje láthatóságát és online jelenlétét; elismerését fejezi ki amiatt, hogy az ügynökség 2022-ben javította a különböző közösségimédia-platformok használatával kapcsolatos mérőszámait; </w:t>
      </w:r>
      <w:proofErr w:type="spellStart"/>
      <w:r w:rsidRPr="00C035D3">
        <w:t>megjegyzi</w:t>
      </w:r>
      <w:proofErr w:type="spellEnd"/>
      <w:r w:rsidRPr="00C035D3">
        <w:t xml:space="preserve">, hogy 2022-ben az ügynökség közösségimédia-kampányt dolgozott ki „A mi adataink, az Önök szövetségesei” címmel, hogy tájékoztassa a fiatalokat azokról az ifjúsági adatokról, amelyeket érdekérvényesítő munkájuk során felhasználhatnak; </w:t>
      </w:r>
      <w:proofErr w:type="spellStart"/>
      <w:r w:rsidRPr="00C035D3">
        <w:t>megjegyzi</w:t>
      </w:r>
      <w:proofErr w:type="spellEnd"/>
      <w:r w:rsidRPr="00C035D3">
        <w:t xml:space="preserve"> továbbá, hogy 2022-ben az ügynökség 134 ülést és rendezvényt, többek között munkaértekezleteket és</w:t>
      </w:r>
      <w:proofErr w:type="gramEnd"/>
      <w:r w:rsidRPr="00C035D3">
        <w:t xml:space="preserve"> </w:t>
      </w:r>
      <w:proofErr w:type="spellStart"/>
      <w:r w:rsidRPr="00C035D3">
        <w:t>webináriumokat</w:t>
      </w:r>
      <w:proofErr w:type="spellEnd"/>
      <w:r w:rsidRPr="00C035D3">
        <w:t xml:space="preserve"> szervezett, és a Tanács francia elnökségével, a Bizottság és a Parlament franciaországi kapcsolattartó irodáival és Párizs városával együttműködésben megszervezte a negyedik alapjogi párbeszédet Párizsban, valamint az emberi jogok vezetőinek és szakértői találkozóját „Az emberi jogok középpontba helyezése Európa jövője érdekében” címmel, amelyen 60 különböző érdekelt fél vett részt;</w:t>
      </w:r>
    </w:p>
    <w:p w:rsidR="00DF742B" w:rsidRPr="00C035D3" w:rsidRDefault="00DF742B" w:rsidP="008F4887">
      <w:pPr>
        <w:widowControl/>
        <w:spacing w:after="240"/>
        <w:ind w:left="567" w:hanging="567"/>
        <w:jc w:val="center"/>
      </w:pPr>
      <w:r w:rsidRPr="00C035D3">
        <w:t>°</w:t>
      </w:r>
    </w:p>
    <w:p w:rsidR="00DF742B" w:rsidRPr="00C035D3" w:rsidRDefault="00DF742B" w:rsidP="008F4887">
      <w:pPr>
        <w:widowControl/>
        <w:spacing w:after="240"/>
        <w:ind w:left="567" w:hanging="567"/>
        <w:jc w:val="center"/>
      </w:pPr>
      <w:r w:rsidRPr="00C035D3">
        <w:t>°</w:t>
      </w:r>
      <w:r w:rsidRPr="00C035D3">
        <w:tab/>
        <w:t>°</w:t>
      </w:r>
    </w:p>
    <w:p w:rsidR="00DF742B" w:rsidRPr="00DF742B" w:rsidRDefault="00DF742B" w:rsidP="008F4887">
      <w:pPr>
        <w:widowControl/>
        <w:spacing w:after="240"/>
        <w:ind w:left="567" w:hanging="567"/>
      </w:pPr>
      <w:r w:rsidRPr="00C035D3">
        <w:t>26.</w:t>
      </w:r>
      <w:r w:rsidRPr="00C035D3">
        <w:tab/>
        <w:t xml:space="preserve">a mentesítő határozatot kísérő </w:t>
      </w:r>
      <w:proofErr w:type="gramStart"/>
      <w:r w:rsidRPr="00C035D3">
        <w:t>horizontális</w:t>
      </w:r>
      <w:proofErr w:type="gramEnd"/>
      <w:r w:rsidRPr="00C035D3">
        <w:t xml:space="preserve"> jellegű egyéb észrevételei tekintetében utal az ügynökségek teljesítményéről, pénzgazdálkodásáról és ellenőrzéséről szóló, </w:t>
      </w:r>
      <w:r w:rsidR="008F4887" w:rsidRPr="00C035D3">
        <w:t>2024. április 11</w:t>
      </w:r>
      <w:r w:rsidRPr="00C035D3">
        <w:t>-i állásfoglalására</w:t>
      </w:r>
      <w:r w:rsidRPr="00C035D3">
        <w:rPr>
          <w:vertAlign w:val="superscript"/>
        </w:rPr>
        <w:footnoteReference w:id="13"/>
      </w:r>
      <w:r w:rsidRPr="00C035D3">
        <w:t>.</w:t>
      </w:r>
    </w:p>
    <w:p w:rsidR="002B4210" w:rsidRPr="0000499D" w:rsidRDefault="002B4210" w:rsidP="008F4887">
      <w:pPr>
        <w:pStyle w:val="EPComma"/>
        <w:widowControl/>
        <w:spacing w:before="0"/>
        <w:ind w:left="567" w:hanging="567"/>
      </w:pPr>
    </w:p>
    <w:sectPr w:rsidR="002B4210" w:rsidRPr="0000499D" w:rsidSect="00DF742B">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B46" w:rsidRPr="0000499D" w:rsidRDefault="00AD1B46">
      <w:r w:rsidRPr="0000499D">
        <w:separator/>
      </w:r>
    </w:p>
  </w:endnote>
  <w:endnote w:type="continuationSeparator" w:id="0">
    <w:p w:rsidR="00AD1B46" w:rsidRPr="0000499D" w:rsidRDefault="00AD1B46">
      <w:r w:rsidRPr="00004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42B" w:rsidRPr="008949DA" w:rsidRDefault="00DF742B" w:rsidP="008949DA">
    <w:pPr>
      <w:pStyle w:val="EPFooter"/>
    </w:pPr>
    <w:proofErr w:type="gramStart"/>
    <w:r w:rsidRPr="008949DA">
      <w:t>PE</w:t>
    </w:r>
    <w:r w:rsidRPr="008949DA">
      <w:rPr>
        <w:rStyle w:val="HideTWBExt"/>
      </w:rPr>
      <w:t>&lt;</w:t>
    </w:r>
    <w:proofErr w:type="gramEnd"/>
    <w:r w:rsidRPr="008949DA">
      <w:rPr>
        <w:rStyle w:val="HideTWBExt"/>
      </w:rPr>
      <w:t>NoPE&gt;</w:t>
    </w:r>
    <w:r w:rsidRPr="008949DA">
      <w:t>753.542</w:t>
    </w:r>
    <w:r w:rsidRPr="008949DA">
      <w:rPr>
        <w:rStyle w:val="HideTWBExt"/>
      </w:rPr>
      <w:t>&lt;/NoPE&gt;&lt;Version&gt;</w:t>
    </w:r>
    <w:r w:rsidRPr="008949DA">
      <w:t>v02-00</w:t>
    </w:r>
    <w:r w:rsidRPr="008949DA">
      <w:rPr>
        <w:rStyle w:val="HideTWBExt"/>
      </w:rPr>
      <w:t>&lt;/Version&gt;</w:t>
    </w:r>
    <w:r w:rsidRPr="008949DA">
      <w:tab/>
    </w:r>
    <w:r w:rsidRPr="008949DA">
      <w:fldChar w:fldCharType="begin"/>
    </w:r>
    <w:r w:rsidRPr="008949DA">
      <w:instrText xml:space="preserve"> PAGE  \* MERGEFORMAT </w:instrText>
    </w:r>
    <w:r w:rsidRPr="008949DA">
      <w:fldChar w:fldCharType="separate"/>
    </w:r>
    <w:r>
      <w:rPr>
        <w:noProof/>
      </w:rPr>
      <w:t>20</w:t>
    </w:r>
    <w:r w:rsidRPr="008949DA">
      <w:fldChar w:fldCharType="end"/>
    </w:r>
    <w:r w:rsidRPr="008949DA">
      <w:t>/</w:t>
    </w:r>
    <w:r w:rsidR="000E4041">
      <w:fldChar w:fldCharType="begin"/>
    </w:r>
    <w:r w:rsidR="000E4041">
      <w:instrText xml:space="preserve"> NUMPAGES  \* MERGEFORMAT </w:instrText>
    </w:r>
    <w:r w:rsidR="000E4041">
      <w:fldChar w:fldCharType="separate"/>
    </w:r>
    <w:r>
      <w:rPr>
        <w:noProof/>
      </w:rPr>
      <w:t>21</w:t>
    </w:r>
    <w:r w:rsidR="000E4041">
      <w:rPr>
        <w:noProof/>
      </w:rPr>
      <w:fldChar w:fldCharType="end"/>
    </w:r>
    <w:r w:rsidRPr="008949DA">
      <w:tab/>
    </w:r>
    <w:r w:rsidRPr="008949DA">
      <w:rPr>
        <w:rStyle w:val="HideTWBExt"/>
      </w:rPr>
      <w:t>&lt;PathFdR&gt;</w:t>
    </w:r>
    <w:r w:rsidRPr="008949DA">
      <w:t>RR\1298898HU.docx</w:t>
    </w:r>
    <w:r w:rsidRPr="008949DA">
      <w:rPr>
        <w:rStyle w:val="HideTWBExt"/>
      </w:rPr>
      <w:t>&lt;/PathFdR&gt;</w:t>
    </w:r>
  </w:p>
  <w:p w:rsidR="00DF742B" w:rsidRPr="008949DA" w:rsidRDefault="00DF742B" w:rsidP="008949DA">
    <w:pPr>
      <w:pStyle w:val="EPFooter2"/>
    </w:pPr>
    <w:r w:rsidRPr="008949DA">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B46" w:rsidRPr="0000499D" w:rsidRDefault="00AD1B46">
      <w:r w:rsidRPr="0000499D">
        <w:separator/>
      </w:r>
    </w:p>
  </w:footnote>
  <w:footnote w:type="continuationSeparator" w:id="0">
    <w:p w:rsidR="00AD1B46" w:rsidRPr="0000499D" w:rsidRDefault="00AD1B46">
      <w:r w:rsidRPr="0000499D">
        <w:continuationSeparator/>
      </w:r>
    </w:p>
  </w:footnote>
  <w:footnote w:id="1">
    <w:p w:rsidR="00DF742B" w:rsidRPr="008F4887" w:rsidRDefault="00DF742B" w:rsidP="00DF742B">
      <w:pPr>
        <w:pStyle w:val="FootnoteText"/>
        <w:ind w:left="567" w:hanging="567"/>
        <w:rPr>
          <w:sz w:val="24"/>
          <w:szCs w:val="24"/>
          <w:lang w:val="pt-PT"/>
        </w:rPr>
      </w:pPr>
      <w:r w:rsidRPr="00527D33">
        <w:rPr>
          <w:rStyle w:val="FootnoteReference"/>
          <w:sz w:val="24"/>
          <w:szCs w:val="24"/>
        </w:rPr>
        <w:footnoteRef/>
      </w:r>
      <w:r w:rsidRPr="008F4887">
        <w:rPr>
          <w:sz w:val="24"/>
          <w:szCs w:val="24"/>
          <w:lang w:val="pt-PT"/>
        </w:rPr>
        <w:t xml:space="preserve"> </w:t>
      </w:r>
      <w:r w:rsidR="00527D33" w:rsidRPr="008F4887">
        <w:rPr>
          <w:sz w:val="24"/>
          <w:szCs w:val="24"/>
          <w:lang w:val="pt-PT"/>
        </w:rPr>
        <w:tab/>
      </w:r>
      <w:r w:rsidRPr="008F4887">
        <w:rPr>
          <w:sz w:val="24"/>
          <w:szCs w:val="24"/>
          <w:lang w:val="pt-PT"/>
        </w:rPr>
        <w:t>HL C, C/2023/594, 2023.10.27.</w:t>
      </w:r>
    </w:p>
  </w:footnote>
  <w:footnote w:id="2">
    <w:p w:rsidR="00DF742B" w:rsidRPr="008F4887" w:rsidRDefault="00DF742B" w:rsidP="00DF742B">
      <w:pPr>
        <w:pStyle w:val="FootnoteText"/>
        <w:ind w:left="567" w:hanging="567"/>
        <w:rPr>
          <w:sz w:val="24"/>
          <w:szCs w:val="24"/>
          <w:lang w:val="pt-PT"/>
        </w:rPr>
      </w:pPr>
      <w:r w:rsidRPr="00527D33">
        <w:rPr>
          <w:rStyle w:val="FootnoteReference"/>
          <w:sz w:val="24"/>
          <w:szCs w:val="24"/>
        </w:rPr>
        <w:footnoteRef/>
      </w:r>
      <w:r w:rsidRPr="008F4887">
        <w:rPr>
          <w:sz w:val="24"/>
          <w:szCs w:val="24"/>
          <w:lang w:val="pt-PT"/>
        </w:rPr>
        <w:t xml:space="preserve"> </w:t>
      </w:r>
      <w:r w:rsidR="00527D33" w:rsidRPr="008F4887">
        <w:rPr>
          <w:sz w:val="24"/>
          <w:szCs w:val="24"/>
          <w:lang w:val="pt-PT"/>
        </w:rPr>
        <w:tab/>
      </w:r>
      <w:r w:rsidRPr="008F4887">
        <w:rPr>
          <w:sz w:val="24"/>
          <w:szCs w:val="24"/>
          <w:lang w:val="pt-PT"/>
        </w:rPr>
        <w:t>HL C, C/2023/112, 2023.10.12.</w:t>
      </w:r>
    </w:p>
  </w:footnote>
  <w:footnote w:id="3">
    <w:p w:rsidR="00DF742B" w:rsidRPr="008F4887" w:rsidRDefault="00DF742B" w:rsidP="00DF742B">
      <w:pPr>
        <w:pStyle w:val="FootnoteText"/>
        <w:ind w:left="567" w:hanging="567"/>
        <w:rPr>
          <w:sz w:val="24"/>
          <w:szCs w:val="24"/>
          <w:lang w:val="pt-PT"/>
        </w:rPr>
      </w:pPr>
      <w:r w:rsidRPr="00527D33">
        <w:rPr>
          <w:rStyle w:val="FootnoteReference"/>
          <w:sz w:val="24"/>
          <w:szCs w:val="24"/>
        </w:rPr>
        <w:footnoteRef/>
      </w:r>
      <w:r w:rsidRPr="008F4887">
        <w:rPr>
          <w:sz w:val="24"/>
          <w:szCs w:val="24"/>
          <w:lang w:val="pt-PT"/>
        </w:rPr>
        <w:t xml:space="preserve"> </w:t>
      </w:r>
      <w:r w:rsidR="00527D33" w:rsidRPr="008F4887">
        <w:rPr>
          <w:sz w:val="24"/>
          <w:szCs w:val="24"/>
          <w:lang w:val="pt-PT"/>
        </w:rPr>
        <w:tab/>
      </w:r>
      <w:r w:rsidRPr="008F4887">
        <w:rPr>
          <w:sz w:val="24"/>
          <w:szCs w:val="24"/>
          <w:lang w:val="pt-PT"/>
        </w:rPr>
        <w:t>HL L 193., 2018.7.30</w:t>
      </w:r>
      <w:r w:rsidR="00527D33" w:rsidRPr="008F4887">
        <w:rPr>
          <w:sz w:val="24"/>
          <w:szCs w:val="24"/>
          <w:lang w:val="pt-PT"/>
        </w:rPr>
        <w:t>.</w:t>
      </w:r>
      <w:r w:rsidRPr="008F4887">
        <w:rPr>
          <w:sz w:val="24"/>
          <w:szCs w:val="24"/>
          <w:lang w:val="pt-PT"/>
        </w:rPr>
        <w:t>, 1. o.</w:t>
      </w:r>
    </w:p>
  </w:footnote>
  <w:footnote w:id="4">
    <w:p w:rsidR="00DF742B" w:rsidRPr="008F4887" w:rsidRDefault="00DF742B" w:rsidP="00DF742B">
      <w:pPr>
        <w:pStyle w:val="FootnoteText"/>
        <w:ind w:left="567" w:hanging="567"/>
        <w:rPr>
          <w:sz w:val="24"/>
          <w:szCs w:val="24"/>
          <w:lang w:val="de-DE"/>
        </w:rPr>
      </w:pPr>
      <w:r w:rsidRPr="00527D33">
        <w:rPr>
          <w:rStyle w:val="FootnoteReference"/>
          <w:sz w:val="24"/>
          <w:szCs w:val="24"/>
        </w:rPr>
        <w:footnoteRef/>
      </w:r>
      <w:r w:rsidRPr="008F4887">
        <w:rPr>
          <w:sz w:val="24"/>
          <w:szCs w:val="24"/>
          <w:lang w:val="de-DE"/>
        </w:rPr>
        <w:t xml:space="preserve"> </w:t>
      </w:r>
      <w:r w:rsidR="00847DDF">
        <w:rPr>
          <w:sz w:val="24"/>
          <w:szCs w:val="24"/>
          <w:lang w:val="de-DE"/>
        </w:rPr>
        <w:tab/>
      </w:r>
      <w:r w:rsidRPr="008F4887">
        <w:rPr>
          <w:sz w:val="24"/>
          <w:szCs w:val="24"/>
          <w:lang w:val="de-DE"/>
        </w:rPr>
        <w:t>HL L 53., 2007.2.22., 1. o.</w:t>
      </w:r>
    </w:p>
  </w:footnote>
  <w:footnote w:id="5">
    <w:p w:rsidR="00DF742B" w:rsidRPr="008F4887" w:rsidRDefault="00DF742B" w:rsidP="00DF742B">
      <w:pPr>
        <w:pStyle w:val="FootnoteText"/>
        <w:ind w:left="567" w:hanging="567"/>
        <w:rPr>
          <w:sz w:val="24"/>
          <w:szCs w:val="24"/>
          <w:lang w:val="de-DE"/>
        </w:rPr>
      </w:pPr>
      <w:r w:rsidRPr="00527D33">
        <w:rPr>
          <w:rStyle w:val="FootnoteReference"/>
          <w:sz w:val="24"/>
          <w:szCs w:val="24"/>
        </w:rPr>
        <w:footnoteRef/>
      </w:r>
      <w:r w:rsidRPr="008F4887">
        <w:rPr>
          <w:sz w:val="24"/>
          <w:szCs w:val="24"/>
          <w:lang w:val="de-DE"/>
        </w:rPr>
        <w:t xml:space="preserve"> </w:t>
      </w:r>
      <w:r w:rsidR="00847DDF">
        <w:rPr>
          <w:sz w:val="24"/>
          <w:szCs w:val="24"/>
          <w:lang w:val="de-DE"/>
        </w:rPr>
        <w:tab/>
      </w:r>
      <w:r w:rsidRPr="008F4887">
        <w:rPr>
          <w:sz w:val="24"/>
          <w:szCs w:val="24"/>
          <w:lang w:val="de-DE"/>
        </w:rPr>
        <w:t>HL L 122., 2019.5.10</w:t>
      </w:r>
      <w:r w:rsidR="00527D33" w:rsidRPr="008F4887">
        <w:rPr>
          <w:sz w:val="24"/>
          <w:szCs w:val="24"/>
          <w:lang w:val="de-DE"/>
        </w:rPr>
        <w:t>.</w:t>
      </w:r>
      <w:r w:rsidRPr="008F4887">
        <w:rPr>
          <w:sz w:val="24"/>
          <w:szCs w:val="24"/>
          <w:lang w:val="de-DE"/>
        </w:rPr>
        <w:t>, 1. o.</w:t>
      </w:r>
    </w:p>
  </w:footnote>
  <w:footnote w:id="6">
    <w:p w:rsidR="00DF742B" w:rsidRPr="008F4887" w:rsidRDefault="00DF742B" w:rsidP="00DF742B">
      <w:pPr>
        <w:pStyle w:val="FootnoteText"/>
        <w:ind w:left="567" w:hanging="567"/>
        <w:rPr>
          <w:sz w:val="24"/>
          <w:szCs w:val="24"/>
          <w:lang w:val="de-DE"/>
        </w:rPr>
      </w:pPr>
      <w:r w:rsidRPr="00527D33">
        <w:rPr>
          <w:rStyle w:val="FootnoteReference"/>
          <w:sz w:val="24"/>
          <w:szCs w:val="24"/>
        </w:rPr>
        <w:footnoteRef/>
      </w:r>
      <w:r w:rsidRPr="008F4887">
        <w:rPr>
          <w:sz w:val="24"/>
          <w:szCs w:val="24"/>
          <w:lang w:val="de-DE"/>
        </w:rPr>
        <w:t xml:space="preserve"> </w:t>
      </w:r>
      <w:r w:rsidR="00527D33" w:rsidRPr="008F4887">
        <w:rPr>
          <w:sz w:val="24"/>
          <w:szCs w:val="24"/>
          <w:lang w:val="de-DE"/>
        </w:rPr>
        <w:tab/>
      </w:r>
      <w:r w:rsidRPr="008F4887">
        <w:rPr>
          <w:sz w:val="24"/>
          <w:szCs w:val="24"/>
          <w:lang w:val="de-DE"/>
        </w:rPr>
        <w:t>HL C, C/2023/594, 2023.10.27.</w:t>
      </w:r>
    </w:p>
  </w:footnote>
  <w:footnote w:id="7">
    <w:p w:rsidR="00DF742B" w:rsidRPr="008F4887" w:rsidRDefault="00DF742B" w:rsidP="00DF742B">
      <w:pPr>
        <w:pStyle w:val="FootnoteText"/>
        <w:ind w:left="567" w:hanging="567"/>
        <w:rPr>
          <w:sz w:val="24"/>
          <w:szCs w:val="24"/>
          <w:lang w:val="pt-PT"/>
        </w:rPr>
      </w:pPr>
      <w:r w:rsidRPr="00527D33">
        <w:rPr>
          <w:rStyle w:val="FootnoteReference"/>
          <w:sz w:val="24"/>
          <w:szCs w:val="24"/>
        </w:rPr>
        <w:footnoteRef/>
      </w:r>
      <w:r w:rsidRPr="008F4887">
        <w:rPr>
          <w:sz w:val="24"/>
          <w:szCs w:val="24"/>
          <w:lang w:val="pt-PT"/>
        </w:rPr>
        <w:t xml:space="preserve"> </w:t>
      </w:r>
      <w:r w:rsidR="00527D33" w:rsidRPr="008F4887">
        <w:rPr>
          <w:sz w:val="24"/>
          <w:szCs w:val="24"/>
          <w:lang w:val="pt-PT"/>
        </w:rPr>
        <w:tab/>
      </w:r>
      <w:r w:rsidRPr="008F4887">
        <w:rPr>
          <w:sz w:val="24"/>
          <w:szCs w:val="24"/>
          <w:lang w:val="pt-PT"/>
        </w:rPr>
        <w:t>HL C, C/2023/112, 2023.10.12.</w:t>
      </w:r>
    </w:p>
  </w:footnote>
  <w:footnote w:id="8">
    <w:p w:rsidR="00DF742B" w:rsidRPr="008F4887" w:rsidRDefault="00DF742B" w:rsidP="00DF742B">
      <w:pPr>
        <w:pStyle w:val="FootnoteText"/>
        <w:ind w:left="567" w:hanging="567"/>
        <w:rPr>
          <w:sz w:val="24"/>
          <w:szCs w:val="24"/>
          <w:lang w:val="pt-PT"/>
        </w:rPr>
      </w:pPr>
      <w:r w:rsidRPr="00527D33">
        <w:rPr>
          <w:rStyle w:val="FootnoteReference"/>
          <w:sz w:val="24"/>
          <w:szCs w:val="24"/>
        </w:rPr>
        <w:footnoteRef/>
      </w:r>
      <w:r w:rsidRPr="008F4887">
        <w:rPr>
          <w:sz w:val="24"/>
          <w:szCs w:val="24"/>
          <w:lang w:val="pt-PT"/>
        </w:rPr>
        <w:t xml:space="preserve"> </w:t>
      </w:r>
      <w:r w:rsidR="00527D33" w:rsidRPr="008F4887">
        <w:rPr>
          <w:sz w:val="24"/>
          <w:szCs w:val="24"/>
          <w:lang w:val="pt-PT"/>
        </w:rPr>
        <w:tab/>
      </w:r>
      <w:r w:rsidRPr="008F4887">
        <w:rPr>
          <w:sz w:val="24"/>
          <w:szCs w:val="24"/>
          <w:lang w:val="pt-PT"/>
        </w:rPr>
        <w:t>HL L 193., 2018.7.30</w:t>
      </w:r>
      <w:r w:rsidR="00980472" w:rsidRPr="008F4887">
        <w:rPr>
          <w:sz w:val="24"/>
          <w:szCs w:val="24"/>
          <w:lang w:val="pt-PT"/>
        </w:rPr>
        <w:t>.</w:t>
      </w:r>
      <w:r w:rsidRPr="008F4887">
        <w:rPr>
          <w:sz w:val="24"/>
          <w:szCs w:val="24"/>
          <w:lang w:val="pt-PT"/>
        </w:rPr>
        <w:t>, 1. o.</w:t>
      </w:r>
    </w:p>
  </w:footnote>
  <w:footnote w:id="9">
    <w:p w:rsidR="00DF742B" w:rsidRPr="008F4887" w:rsidRDefault="00DF742B" w:rsidP="00DF742B">
      <w:pPr>
        <w:pStyle w:val="FootnoteText"/>
        <w:ind w:left="567" w:hanging="567"/>
        <w:rPr>
          <w:sz w:val="24"/>
          <w:szCs w:val="24"/>
          <w:lang w:val="pt-PT"/>
        </w:rPr>
      </w:pPr>
      <w:r w:rsidRPr="00527D33">
        <w:rPr>
          <w:rStyle w:val="FootnoteReference"/>
          <w:sz w:val="24"/>
          <w:szCs w:val="24"/>
        </w:rPr>
        <w:footnoteRef/>
      </w:r>
      <w:r w:rsidRPr="008F4887">
        <w:rPr>
          <w:sz w:val="24"/>
          <w:szCs w:val="24"/>
          <w:lang w:val="pt-PT"/>
        </w:rPr>
        <w:t xml:space="preserve"> </w:t>
      </w:r>
      <w:r w:rsidR="00527D33" w:rsidRPr="008F4887">
        <w:rPr>
          <w:sz w:val="24"/>
          <w:szCs w:val="24"/>
          <w:lang w:val="pt-PT"/>
        </w:rPr>
        <w:tab/>
      </w:r>
      <w:r w:rsidRPr="008F4887">
        <w:rPr>
          <w:sz w:val="24"/>
          <w:szCs w:val="24"/>
          <w:lang w:val="pt-PT"/>
        </w:rPr>
        <w:t>HL L 53., 2007.2.22., 1. o.</w:t>
      </w:r>
    </w:p>
  </w:footnote>
  <w:footnote w:id="10">
    <w:p w:rsidR="00DF742B" w:rsidRPr="00527D33" w:rsidRDefault="00DF742B" w:rsidP="00DF742B">
      <w:pPr>
        <w:pStyle w:val="FootnoteText"/>
        <w:ind w:left="567" w:hanging="567"/>
        <w:rPr>
          <w:sz w:val="24"/>
          <w:szCs w:val="24"/>
        </w:rPr>
      </w:pPr>
      <w:r w:rsidRPr="00527D33">
        <w:rPr>
          <w:rStyle w:val="FootnoteReference"/>
          <w:sz w:val="24"/>
          <w:szCs w:val="24"/>
        </w:rPr>
        <w:footnoteRef/>
      </w:r>
      <w:r w:rsidRPr="00527D33">
        <w:rPr>
          <w:sz w:val="24"/>
          <w:szCs w:val="24"/>
        </w:rPr>
        <w:t xml:space="preserve"> </w:t>
      </w:r>
      <w:r w:rsidR="00527D33">
        <w:rPr>
          <w:sz w:val="24"/>
          <w:szCs w:val="24"/>
        </w:rPr>
        <w:tab/>
      </w:r>
      <w:r w:rsidRPr="00527D33">
        <w:rPr>
          <w:sz w:val="24"/>
          <w:szCs w:val="24"/>
        </w:rPr>
        <w:t>HL L 122., 2019.5.10</w:t>
      </w:r>
      <w:r w:rsidR="00527D33">
        <w:rPr>
          <w:sz w:val="24"/>
          <w:szCs w:val="24"/>
        </w:rPr>
        <w:t>.</w:t>
      </w:r>
      <w:r w:rsidRPr="00527D33">
        <w:rPr>
          <w:sz w:val="24"/>
          <w:szCs w:val="24"/>
        </w:rPr>
        <w:t>, 1. o.</w:t>
      </w:r>
    </w:p>
  </w:footnote>
  <w:footnote w:id="11">
    <w:p w:rsidR="00DF742B" w:rsidRPr="00527D33" w:rsidRDefault="00DF742B" w:rsidP="00DF742B">
      <w:pPr>
        <w:pStyle w:val="FootnoteText"/>
        <w:rPr>
          <w:sz w:val="24"/>
          <w:szCs w:val="24"/>
        </w:rPr>
      </w:pPr>
      <w:r w:rsidRPr="00527D33">
        <w:rPr>
          <w:rStyle w:val="FootnoteReference"/>
          <w:sz w:val="24"/>
          <w:szCs w:val="24"/>
        </w:rPr>
        <w:footnoteRef/>
      </w:r>
      <w:r w:rsidRPr="00527D33">
        <w:rPr>
          <w:sz w:val="24"/>
          <w:szCs w:val="24"/>
        </w:rPr>
        <w:t xml:space="preserve"> </w:t>
      </w:r>
      <w:r w:rsidR="00527D33">
        <w:rPr>
          <w:sz w:val="24"/>
          <w:szCs w:val="24"/>
        </w:rPr>
        <w:tab/>
      </w:r>
      <w:r w:rsidRPr="00527D33">
        <w:rPr>
          <w:sz w:val="24"/>
          <w:szCs w:val="24"/>
        </w:rPr>
        <w:t>HL C 38., 2023.1.31., 189. o.</w:t>
      </w:r>
    </w:p>
  </w:footnote>
  <w:footnote w:id="12">
    <w:p w:rsidR="00DF742B" w:rsidRPr="00527D33" w:rsidRDefault="00DF742B" w:rsidP="00527D33">
      <w:pPr>
        <w:ind w:left="426" w:hanging="426"/>
        <w:rPr>
          <w:szCs w:val="24"/>
        </w:rPr>
      </w:pPr>
      <w:r w:rsidRPr="00527D33">
        <w:rPr>
          <w:rStyle w:val="FootnoteReference"/>
          <w:szCs w:val="24"/>
        </w:rPr>
        <w:footnoteRef/>
      </w:r>
      <w:r w:rsidRPr="00527D33">
        <w:rPr>
          <w:szCs w:val="24"/>
        </w:rPr>
        <w:tab/>
        <w:t>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w:t>
      </w:r>
      <w:proofErr w:type="gramStart"/>
      <w:r w:rsidRPr="00527D33">
        <w:rPr>
          <w:szCs w:val="24"/>
        </w:rPr>
        <w:t>.,</w:t>
      </w:r>
      <w:proofErr w:type="gramEnd"/>
      <w:r w:rsidRPr="00527D33">
        <w:rPr>
          <w:szCs w:val="24"/>
        </w:rPr>
        <w:t xml:space="preserve"> 12. o.).</w:t>
      </w:r>
    </w:p>
  </w:footnote>
  <w:footnote w:id="13">
    <w:p w:rsidR="00DF742B" w:rsidRPr="00527D33" w:rsidRDefault="00DF742B" w:rsidP="00DF742B">
      <w:pPr>
        <w:pStyle w:val="FootnoteText"/>
        <w:ind w:left="567" w:hanging="567"/>
        <w:rPr>
          <w:sz w:val="24"/>
          <w:szCs w:val="24"/>
        </w:rPr>
      </w:pPr>
      <w:r w:rsidRPr="00527D33">
        <w:rPr>
          <w:rStyle w:val="FootnoteReference"/>
          <w:sz w:val="24"/>
          <w:szCs w:val="24"/>
        </w:rPr>
        <w:footnoteRef/>
      </w:r>
      <w:r w:rsidRPr="00527D33">
        <w:rPr>
          <w:sz w:val="24"/>
          <w:szCs w:val="24"/>
        </w:rPr>
        <w:t xml:space="preserve"> </w:t>
      </w:r>
      <w:r w:rsidR="00527D33">
        <w:rPr>
          <w:sz w:val="24"/>
          <w:szCs w:val="24"/>
        </w:rPr>
        <w:tab/>
      </w:r>
      <w:proofErr w:type="spellStart"/>
      <w:r w:rsidRPr="00527D33">
        <w:rPr>
          <w:sz w:val="24"/>
          <w:szCs w:val="24"/>
        </w:rPr>
        <w:t>Elfogadott</w:t>
      </w:r>
      <w:proofErr w:type="spellEnd"/>
      <w:r w:rsidRPr="00527D33">
        <w:rPr>
          <w:sz w:val="24"/>
          <w:szCs w:val="24"/>
        </w:rPr>
        <w:t xml:space="preserve"> </w:t>
      </w:r>
      <w:proofErr w:type="spellStart"/>
      <w:r w:rsidRPr="00527D33">
        <w:rPr>
          <w:sz w:val="24"/>
          <w:szCs w:val="24"/>
        </w:rPr>
        <w:t>szövegek</w:t>
      </w:r>
      <w:proofErr w:type="spellEnd"/>
      <w:r w:rsidRPr="00527D33">
        <w:rPr>
          <w:sz w:val="24"/>
          <w:szCs w:val="24"/>
        </w:rPr>
        <w:t>, P9_</w:t>
      </w:r>
      <w:proofErr w:type="gramStart"/>
      <w:r w:rsidRPr="00527D33">
        <w:rPr>
          <w:sz w:val="24"/>
          <w:szCs w:val="24"/>
        </w:rPr>
        <w:t>TA(</w:t>
      </w:r>
      <w:proofErr w:type="gramEnd"/>
      <w:r w:rsidRPr="00527D33">
        <w:rPr>
          <w:sz w:val="24"/>
          <w:szCs w:val="24"/>
        </w:rPr>
        <w:t>20</w:t>
      </w:r>
      <w:r w:rsidRPr="000E4041">
        <w:rPr>
          <w:sz w:val="24"/>
          <w:szCs w:val="24"/>
        </w:rPr>
        <w:t>24)0</w:t>
      </w:r>
      <w:r w:rsidR="000E4041" w:rsidRPr="000E4041">
        <w:rPr>
          <w:sz w:val="24"/>
          <w:szCs w:val="24"/>
        </w:rPr>
        <w:t>280</w:t>
      </w:r>
      <w:r w:rsidRPr="000E4041">
        <w:rPr>
          <w:sz w:val="24"/>
          <w:szCs w:val="24"/>
        </w:rPr>
        <w:t>.</w:t>
      </w:r>
      <w:bookmarkStart w:id="14" w:name="_GoBack"/>
      <w:bookmarkEnd w:id="14"/>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HU"/>
    <w:docVar w:name="dvnumam" w:val="0"/>
    <w:docVar w:name="dvpe" w:val="753.543"/>
    <w:docVar w:name="dvrapporteur" w:val="Előadó: "/>
    <w:docVar w:name="dvtitre" w:val="Az Európai Parlament 2024.  ...-i határozata az Európai Határ- és Partvédelmi Ügynökség 2022. évi pénzügyi évre szóló költségvetésének végrehajtására vonatkozó mentesítésről(2023/2172(DEC))"/>
  </w:docVars>
  <w:rsids>
    <w:rsidRoot w:val="00AD1B46"/>
    <w:rsid w:val="00002272"/>
    <w:rsid w:val="0000499D"/>
    <w:rsid w:val="00064002"/>
    <w:rsid w:val="000677B9"/>
    <w:rsid w:val="000831BA"/>
    <w:rsid w:val="000A42CC"/>
    <w:rsid w:val="000E4041"/>
    <w:rsid w:val="000E7DD9"/>
    <w:rsid w:val="0010095E"/>
    <w:rsid w:val="00125B37"/>
    <w:rsid w:val="00187494"/>
    <w:rsid w:val="001F32AE"/>
    <w:rsid w:val="002767FF"/>
    <w:rsid w:val="002B18FE"/>
    <w:rsid w:val="002B4210"/>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D33"/>
    <w:rsid w:val="00545827"/>
    <w:rsid w:val="00557A33"/>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DDF"/>
    <w:rsid w:val="00865F67"/>
    <w:rsid w:val="00881A7B"/>
    <w:rsid w:val="008840E5"/>
    <w:rsid w:val="00887B3E"/>
    <w:rsid w:val="008C2AC6"/>
    <w:rsid w:val="008F4887"/>
    <w:rsid w:val="00930C23"/>
    <w:rsid w:val="0093193B"/>
    <w:rsid w:val="009509D8"/>
    <w:rsid w:val="00950B64"/>
    <w:rsid w:val="00980472"/>
    <w:rsid w:val="00981893"/>
    <w:rsid w:val="00A1687D"/>
    <w:rsid w:val="00A43E52"/>
    <w:rsid w:val="00A4678D"/>
    <w:rsid w:val="00A778C7"/>
    <w:rsid w:val="00AB441E"/>
    <w:rsid w:val="00AB6293"/>
    <w:rsid w:val="00AD1B46"/>
    <w:rsid w:val="00AE0928"/>
    <w:rsid w:val="00AF3B82"/>
    <w:rsid w:val="00B12E95"/>
    <w:rsid w:val="00B22876"/>
    <w:rsid w:val="00B558F0"/>
    <w:rsid w:val="00BD48FE"/>
    <w:rsid w:val="00BD7BD8"/>
    <w:rsid w:val="00BE6ADC"/>
    <w:rsid w:val="00C035D3"/>
    <w:rsid w:val="00C05BFE"/>
    <w:rsid w:val="00C23CD4"/>
    <w:rsid w:val="00C61C0C"/>
    <w:rsid w:val="00C941CB"/>
    <w:rsid w:val="00CC2357"/>
    <w:rsid w:val="00CF071A"/>
    <w:rsid w:val="00D058B8"/>
    <w:rsid w:val="00D56C11"/>
    <w:rsid w:val="00D834A0"/>
    <w:rsid w:val="00D872DF"/>
    <w:rsid w:val="00D91E21"/>
    <w:rsid w:val="00DA7FCD"/>
    <w:rsid w:val="00DF742B"/>
    <w:rsid w:val="00E365E1"/>
    <w:rsid w:val="00E80FC3"/>
    <w:rsid w:val="00E820A4"/>
    <w:rsid w:val="00EB006A"/>
    <w:rsid w:val="00EB4772"/>
    <w:rsid w:val="00ED169E"/>
    <w:rsid w:val="00ED4235"/>
    <w:rsid w:val="00F04346"/>
    <w:rsid w:val="00F075DC"/>
    <w:rsid w:val="00F149E9"/>
    <w:rsid w:val="00F42365"/>
    <w:rsid w:val="00F44D3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E96B8"/>
  <w15:chartTrackingRefBased/>
  <w15:docId w15:val="{D3836491-9A13-4F4D-905C-96CE975F7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42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4210"/>
    <w:pPr>
      <w:spacing w:before="480" w:after="240"/>
    </w:pPr>
  </w:style>
  <w:style w:type="paragraph" w:customStyle="1" w:styleId="PageHeading">
    <w:name w:val="PageHeading"/>
    <w:basedOn w:val="Normal"/>
    <w:rsid w:val="002B4210"/>
    <w:pPr>
      <w:keepNext/>
      <w:spacing w:after="480"/>
      <w:jc w:val="center"/>
    </w:pPr>
    <w:rPr>
      <w:rFonts w:ascii="Arial" w:hAnsi="Arial" w:cs="Arial"/>
      <w:b/>
    </w:rPr>
  </w:style>
  <w:style w:type="paragraph" w:customStyle="1" w:styleId="NormalBold">
    <w:name w:val="NormalBold"/>
    <w:basedOn w:val="Normal"/>
    <w:uiPriority w:val="99"/>
    <w:rsid w:val="002B4210"/>
    <w:rPr>
      <w:b/>
    </w:rPr>
  </w:style>
  <w:style w:type="paragraph" w:customStyle="1" w:styleId="NormalHanging12a">
    <w:name w:val="NormalHanging12a"/>
    <w:basedOn w:val="Normal"/>
    <w:link w:val="NormalHanging12aChar"/>
    <w:rsid w:val="002B4210"/>
    <w:pPr>
      <w:spacing w:after="240"/>
      <w:ind w:left="567" w:hanging="567"/>
    </w:pPr>
  </w:style>
  <w:style w:type="paragraph" w:customStyle="1" w:styleId="NormalCenter12a">
    <w:name w:val="NormalCenter12a"/>
    <w:basedOn w:val="Normal"/>
    <w:uiPriority w:val="99"/>
    <w:rsid w:val="002B4210"/>
    <w:pPr>
      <w:spacing w:after="240"/>
      <w:jc w:val="center"/>
    </w:pPr>
  </w:style>
  <w:style w:type="paragraph" w:styleId="Header">
    <w:name w:val="header"/>
    <w:basedOn w:val="Normal"/>
    <w:link w:val="HeaderChar"/>
    <w:rsid w:val="002B4210"/>
    <w:pPr>
      <w:tabs>
        <w:tab w:val="center" w:pos="4513"/>
        <w:tab w:val="right" w:pos="9026"/>
      </w:tabs>
    </w:pPr>
  </w:style>
  <w:style w:type="character" w:customStyle="1" w:styleId="HeaderChar">
    <w:name w:val="Header Char"/>
    <w:basedOn w:val="DefaultParagraphFont"/>
    <w:link w:val="Header"/>
    <w:rsid w:val="002B4210"/>
    <w:rPr>
      <w:sz w:val="24"/>
      <w:lang w:val="hu-HU"/>
    </w:rPr>
  </w:style>
  <w:style w:type="paragraph" w:customStyle="1" w:styleId="EPFooter">
    <w:name w:val="EPFooter"/>
    <w:basedOn w:val="Normal"/>
    <w:rsid w:val="002B4210"/>
    <w:pPr>
      <w:tabs>
        <w:tab w:val="center" w:pos="4535"/>
        <w:tab w:val="right" w:pos="9071"/>
      </w:tabs>
      <w:spacing w:before="240" w:after="240"/>
    </w:pPr>
    <w:rPr>
      <w:color w:val="010000"/>
      <w:sz w:val="22"/>
    </w:rPr>
  </w:style>
  <w:style w:type="character" w:styleId="Hyperlink">
    <w:name w:val="Hyperlink"/>
    <w:basedOn w:val="DefaultParagraphFont"/>
    <w:unhideWhenUsed/>
    <w:rsid w:val="002B4210"/>
    <w:rPr>
      <w:color w:val="0563C1"/>
      <w:u w:val="single"/>
    </w:rPr>
  </w:style>
  <w:style w:type="paragraph" w:styleId="NormalWeb">
    <w:name w:val="Normal (Web)"/>
    <w:basedOn w:val="Normal"/>
    <w:uiPriority w:val="99"/>
    <w:unhideWhenUsed/>
    <w:rsid w:val="002B4210"/>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2B4210"/>
    <w:rPr>
      <w:sz w:val="24"/>
      <w:lang w:val="hu-HU"/>
    </w:rPr>
  </w:style>
  <w:style w:type="character" w:customStyle="1" w:styleId="Normal12HangingChar">
    <w:name w:val="Normal12Hanging Char"/>
    <w:link w:val="Normal12Hanging"/>
    <w:locked/>
    <w:rsid w:val="002B4210"/>
    <w:rPr>
      <w:rFonts w:ascii="Calibri" w:eastAsiaTheme="minorHAnsi" w:hAnsi="Calibri" w:cs="Calibri"/>
      <w:sz w:val="24"/>
      <w:szCs w:val="24"/>
    </w:rPr>
  </w:style>
  <w:style w:type="paragraph" w:customStyle="1" w:styleId="Normal12Hanging">
    <w:name w:val="Normal12Hanging"/>
    <w:basedOn w:val="Normal"/>
    <w:link w:val="Normal12HangingChar"/>
    <w:rsid w:val="002B4210"/>
    <w:pPr>
      <w:widowControl/>
      <w:spacing w:after="240"/>
      <w:ind w:left="567" w:hanging="567"/>
    </w:pPr>
    <w:rPr>
      <w:rFonts w:ascii="Calibri" w:eastAsiaTheme="minorHAnsi" w:hAnsi="Calibri" w:cs="Calibri"/>
      <w:szCs w:val="24"/>
      <w:lang w:val="en-GB"/>
    </w:rPr>
  </w:style>
  <w:style w:type="paragraph" w:customStyle="1" w:styleId="Normal24a">
    <w:name w:val="Normal24a"/>
    <w:basedOn w:val="Normal"/>
    <w:rsid w:val="002B4210"/>
    <w:pPr>
      <w:spacing w:after="480"/>
    </w:pPr>
  </w:style>
  <w:style w:type="paragraph" w:customStyle="1" w:styleId="Normal12a">
    <w:name w:val="Normal12a"/>
    <w:basedOn w:val="Normal"/>
    <w:rsid w:val="002B4210"/>
    <w:pPr>
      <w:spacing w:after="240"/>
    </w:pPr>
  </w:style>
  <w:style w:type="paragraph" w:customStyle="1" w:styleId="PageHeadingNotTOC">
    <w:name w:val="PageHeadingNotTOC"/>
    <w:basedOn w:val="Normal"/>
    <w:rsid w:val="002B4210"/>
    <w:pPr>
      <w:keepNext/>
      <w:spacing w:after="480"/>
      <w:jc w:val="center"/>
    </w:pPr>
    <w:rPr>
      <w:rFonts w:ascii="Arial" w:hAnsi="Arial" w:cs="Arial"/>
      <w:b/>
    </w:rPr>
  </w:style>
  <w:style w:type="paragraph" w:styleId="Footer">
    <w:name w:val="footer"/>
    <w:basedOn w:val="Normal"/>
    <w:link w:val="FooterChar"/>
    <w:rsid w:val="00F42365"/>
    <w:pPr>
      <w:tabs>
        <w:tab w:val="center" w:pos="4513"/>
        <w:tab w:val="right" w:pos="9026"/>
      </w:tabs>
    </w:pPr>
  </w:style>
  <w:style w:type="character" w:customStyle="1" w:styleId="FooterChar">
    <w:name w:val="Footer Char"/>
    <w:basedOn w:val="DefaultParagraphFont"/>
    <w:link w:val="Footer"/>
    <w:rsid w:val="00F42365"/>
    <w:rPr>
      <w:sz w:val="24"/>
      <w:lang w:val="hu-HU"/>
    </w:rPr>
  </w:style>
  <w:style w:type="paragraph" w:styleId="BalloonText">
    <w:name w:val="Balloon Text"/>
    <w:basedOn w:val="Normal"/>
    <w:link w:val="BalloonTextChar"/>
    <w:rsid w:val="00557A33"/>
    <w:rPr>
      <w:rFonts w:ascii="Segoe UI" w:hAnsi="Segoe UI" w:cs="Segoe UI"/>
      <w:sz w:val="18"/>
      <w:szCs w:val="18"/>
    </w:rPr>
  </w:style>
  <w:style w:type="character" w:customStyle="1" w:styleId="BalloonTextChar">
    <w:name w:val="Balloon Text Char"/>
    <w:basedOn w:val="DefaultParagraphFont"/>
    <w:link w:val="BalloonText"/>
    <w:rsid w:val="00557A3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8BB12-6392-4EFD-B3BD-275DC176F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3284</Words>
  <Characters>24404</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2024-04-11T12:50:00Z</dcterms:created>
  <dcterms:modified xsi:type="dcterms:W3CDTF">2024-04-11T12:50:00Z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A9-0113/2024</vt:lpwstr>
  </property>
  <property fmtid="{D5CDD505-2E9C-101B-9397-08002B2CF9AE}" pid="4" name="&lt;Type&gt;">
    <vt:lpwstr>RR</vt:lpwstr>
  </property>
</Properties>
</file>