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24206" w:rsidTr="0010095E">
        <w:trPr>
          <w:trHeight w:hRule="exact" w:val="1418"/>
        </w:trPr>
        <w:tc>
          <w:tcPr>
            <w:tcW w:w="6804" w:type="dxa"/>
            <w:shd w:val="clear" w:color="auto" w:fill="auto"/>
            <w:vAlign w:val="center"/>
          </w:tcPr>
          <w:p w:rsidR="00751A4A" w:rsidRPr="00224206" w:rsidRDefault="00E6607D" w:rsidP="0010095E">
            <w:pPr>
              <w:pStyle w:val="EPName"/>
            </w:pPr>
            <w:r w:rsidRPr="00224206">
              <w:t>Europos Parlamentas</w:t>
            </w:r>
          </w:p>
          <w:p w:rsidR="00751A4A" w:rsidRPr="00224206" w:rsidRDefault="00817416" w:rsidP="00756632">
            <w:pPr>
              <w:pStyle w:val="EPTerm"/>
              <w:rPr>
                <w:rStyle w:val="HideTWBExt"/>
                <w:noProof w:val="0"/>
                <w:vanish w:val="0"/>
                <w:color w:val="auto"/>
              </w:rPr>
            </w:pPr>
            <w:r w:rsidRPr="00224206">
              <w:t>2019-2024</w:t>
            </w:r>
          </w:p>
        </w:tc>
        <w:tc>
          <w:tcPr>
            <w:tcW w:w="2268" w:type="dxa"/>
            <w:shd w:val="clear" w:color="auto" w:fill="auto"/>
          </w:tcPr>
          <w:p w:rsidR="00751A4A" w:rsidRPr="00224206" w:rsidRDefault="00187494" w:rsidP="0010095E">
            <w:pPr>
              <w:pStyle w:val="EPLogo"/>
            </w:pPr>
            <w:r w:rsidRPr="00224206">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24206" w:rsidRDefault="00D058B8" w:rsidP="004C5D52">
      <w:pPr>
        <w:pStyle w:val="LineTop"/>
      </w:pPr>
    </w:p>
    <w:p w:rsidR="00680577" w:rsidRPr="00224206" w:rsidRDefault="00E6607D" w:rsidP="00680577">
      <w:pPr>
        <w:pStyle w:val="EPBodyTA1"/>
      </w:pPr>
      <w:r w:rsidRPr="00224206">
        <w:t>PRIIMTI TEKSTAI</w:t>
      </w:r>
    </w:p>
    <w:p w:rsidR="00D058B8" w:rsidRPr="00224206" w:rsidRDefault="00D058B8" w:rsidP="00D058B8">
      <w:pPr>
        <w:pStyle w:val="LineBottom"/>
      </w:pPr>
    </w:p>
    <w:p w:rsidR="00E6607D" w:rsidRPr="00224206" w:rsidRDefault="00E6607D" w:rsidP="00E6607D">
      <w:pPr>
        <w:pStyle w:val="ATHeading1"/>
      </w:pPr>
      <w:bookmarkStart w:id="0" w:name="TANumber"/>
      <w:r w:rsidRPr="00224206">
        <w:t>P9_TA(2024)0</w:t>
      </w:r>
      <w:r w:rsidR="00093467" w:rsidRPr="00224206">
        <w:t>240</w:t>
      </w:r>
      <w:bookmarkEnd w:id="0"/>
    </w:p>
    <w:p w:rsidR="00E6607D" w:rsidRPr="00224206" w:rsidRDefault="00E6607D" w:rsidP="00E6607D">
      <w:pPr>
        <w:pStyle w:val="ATHeading2"/>
      </w:pPr>
      <w:bookmarkStart w:id="1" w:name="title"/>
      <w:r w:rsidRPr="00224206">
        <w:t>2022 m. biudžeto įvykdymo patvirtinimas: Europos Sąjungos pagrindinių teisių agentūra</w:t>
      </w:r>
      <w:bookmarkEnd w:id="1"/>
    </w:p>
    <w:p w:rsidR="00E6607D" w:rsidRPr="00224206" w:rsidRDefault="00E6607D" w:rsidP="00E6607D">
      <w:pPr>
        <w:rPr>
          <w:i/>
          <w:vanish/>
        </w:rPr>
      </w:pPr>
      <w:r w:rsidRPr="00224206">
        <w:rPr>
          <w:i/>
        </w:rPr>
        <w:fldChar w:fldCharType="begin"/>
      </w:r>
      <w:r w:rsidRPr="00224206">
        <w:rPr>
          <w:i/>
        </w:rPr>
        <w:instrText xml:space="preserve"> TC"(</w:instrText>
      </w:r>
      <w:bookmarkStart w:id="2" w:name="DocNumber"/>
      <w:r w:rsidRPr="00224206">
        <w:rPr>
          <w:i/>
        </w:rPr>
        <w:instrText>A9-0112/2024</w:instrText>
      </w:r>
      <w:bookmarkEnd w:id="2"/>
      <w:r w:rsidRPr="00224206">
        <w:rPr>
          <w:i/>
        </w:rPr>
        <w:instrText xml:space="preserve"> - Pranešėjas: Petri Sarvamaa)"\l3 \n&gt; \* MERGEFORMAT </w:instrText>
      </w:r>
      <w:r w:rsidRPr="00224206">
        <w:rPr>
          <w:i/>
        </w:rPr>
        <w:fldChar w:fldCharType="end"/>
      </w:r>
    </w:p>
    <w:p w:rsidR="00E6607D" w:rsidRPr="00224206" w:rsidRDefault="00E6607D" w:rsidP="00E6607D">
      <w:pPr>
        <w:rPr>
          <w:vanish/>
        </w:rPr>
      </w:pPr>
      <w:bookmarkStart w:id="3" w:name="Commission"/>
      <w:r w:rsidRPr="00224206">
        <w:rPr>
          <w:vanish/>
        </w:rPr>
        <w:t>Biudžeto kontrolės komitetas</w:t>
      </w:r>
      <w:bookmarkEnd w:id="3"/>
    </w:p>
    <w:p w:rsidR="00E6607D" w:rsidRPr="00224206" w:rsidRDefault="00E6607D" w:rsidP="00E6607D">
      <w:pPr>
        <w:rPr>
          <w:vanish/>
        </w:rPr>
      </w:pPr>
      <w:bookmarkStart w:id="4" w:name="PE"/>
      <w:r w:rsidRPr="00224206">
        <w:rPr>
          <w:vanish/>
        </w:rPr>
        <w:t>PE753.542</w:t>
      </w:r>
      <w:bookmarkEnd w:id="4"/>
    </w:p>
    <w:p w:rsidR="00E6607D" w:rsidRPr="00224206" w:rsidRDefault="003B6EA4" w:rsidP="003B6EA4">
      <w:pPr>
        <w:pStyle w:val="ATHeading3"/>
      </w:pPr>
      <w:bookmarkStart w:id="5" w:name="Sujet"/>
      <w:r w:rsidRPr="00224206">
        <w:t>1. 20</w:t>
      </w:r>
      <w:r w:rsidR="00E6607D" w:rsidRPr="00224206">
        <w:t xml:space="preserve">24 m. </w:t>
      </w:r>
      <w:r w:rsidRPr="00224206">
        <w:t>balandžio</w:t>
      </w:r>
      <w:r w:rsidR="00E6607D" w:rsidRPr="00224206">
        <w:t xml:space="preserve"> 11 d. Europos Parlamento sprendimas dėl Europos Sąjungos pagrindinių teisių agentūros 2022 finansinių metų biudžeto įvykdymo patvirtinimo</w:t>
      </w:r>
      <w:bookmarkEnd w:id="5"/>
      <w:r w:rsidR="00E6607D" w:rsidRPr="00224206">
        <w:t xml:space="preserve"> </w:t>
      </w:r>
      <w:bookmarkStart w:id="6" w:name="References"/>
      <w:r w:rsidR="00E6607D" w:rsidRPr="00224206">
        <w:t>(2023/2171(DEC))</w:t>
      </w:r>
      <w:bookmarkEnd w:id="6"/>
    </w:p>
    <w:p w:rsidR="00E9329A" w:rsidRPr="00224206" w:rsidRDefault="00E9329A" w:rsidP="00E9329A">
      <w:pPr>
        <w:pStyle w:val="EPComma"/>
      </w:pPr>
      <w:bookmarkStart w:id="7" w:name="TextBodyBegin"/>
      <w:bookmarkEnd w:id="7"/>
      <w:r w:rsidRPr="00224206">
        <w:rPr>
          <w:i/>
        </w:rPr>
        <w:t>Europos Parlamentas</w:t>
      </w:r>
      <w:r w:rsidRPr="00224206">
        <w:t>,</w:t>
      </w:r>
    </w:p>
    <w:p w:rsidR="00E9329A" w:rsidRPr="00224206" w:rsidRDefault="00E9329A" w:rsidP="00E9329A">
      <w:pPr>
        <w:pStyle w:val="NormalHanging12a"/>
      </w:pPr>
      <w:r w:rsidRPr="00224206">
        <w:t>–</w:t>
      </w:r>
      <w:r w:rsidRPr="00224206">
        <w:tab/>
        <w:t>atsižvelgdamas į Europos Sąjungos pagrindinių teisių agentūros 2022 finansinių metų galutines metines ataskaitas,</w:t>
      </w:r>
    </w:p>
    <w:p w:rsidR="00E9329A" w:rsidRPr="00224206" w:rsidRDefault="00E9329A" w:rsidP="00E9329A">
      <w:pPr>
        <w:pStyle w:val="NormalHanging12a"/>
      </w:pPr>
      <w:r w:rsidRPr="00224206">
        <w:t>–</w:t>
      </w:r>
      <w:r w:rsidRPr="00224206">
        <w:tab/>
        <w:t>atsižvelgdamas į Audito Rūmų 2022 finansinių metų metinę ataskaitą dėl ES agentūrų kartu su agentūrų atsakymais</w:t>
      </w:r>
      <w:r w:rsidRPr="00224206">
        <w:rPr>
          <w:rStyle w:val="FootnoteReference"/>
        </w:rPr>
        <w:footnoteReference w:id="1"/>
      </w:r>
      <w:r w:rsidRPr="00224206">
        <w:t>,</w:t>
      </w:r>
    </w:p>
    <w:p w:rsidR="00E9329A" w:rsidRPr="00224206" w:rsidRDefault="00E9329A" w:rsidP="00E9329A">
      <w:pPr>
        <w:pStyle w:val="NormalHanging12a"/>
      </w:pPr>
      <w:r w:rsidRPr="00224206">
        <w:t>–</w:t>
      </w:r>
      <w:r w:rsidRPr="00224206">
        <w:tab/>
        <w:t>atsižvelgdamas į Audito Rūmų pagal Sutarties dėl Europos Sąjungos veikimo 287 straipsnį pateiktą sąskaitų patikimumo ir pagal jas atliktų operacijų teisėtumo ir tvarkingumo patikinimo pareiškimą</w:t>
      </w:r>
      <w:r w:rsidRPr="00224206">
        <w:rPr>
          <w:rStyle w:val="FootnoteReference"/>
        </w:rPr>
        <w:footnoteReference w:id="2"/>
      </w:r>
      <w:r w:rsidRPr="00224206">
        <w:t>,</w:t>
      </w:r>
    </w:p>
    <w:p w:rsidR="00E9329A" w:rsidRPr="00224206" w:rsidRDefault="00E9329A" w:rsidP="00E9329A">
      <w:pPr>
        <w:pStyle w:val="NormalHanging12a"/>
      </w:pPr>
      <w:r w:rsidRPr="00224206">
        <w:t>–</w:t>
      </w:r>
      <w:r w:rsidRPr="00224206">
        <w:tab/>
        <w:t xml:space="preserve">atsižvelgdamas į </w:t>
      </w:r>
      <w:r w:rsidR="002C7140" w:rsidRPr="00224206">
        <w:t xml:space="preserve">2024 m. vasario 22 d. </w:t>
      </w:r>
      <w:r w:rsidRPr="00224206">
        <w:t>Tarybos rekomendaciją dėl patvirtinimo, kad Agentūra įvykdė 2022 finansinių metų biudžetą (</w:t>
      </w:r>
      <w:r w:rsidR="007959D6" w:rsidRPr="00224206">
        <w:t>06180</w:t>
      </w:r>
      <w:r w:rsidRPr="00224206">
        <w:t>/2024 – C9-</w:t>
      </w:r>
      <w:r w:rsidR="007959D6" w:rsidRPr="00224206">
        <w:t>0109</w:t>
      </w:r>
      <w:r w:rsidRPr="00224206">
        <w:t>/2024),</w:t>
      </w:r>
    </w:p>
    <w:p w:rsidR="00E9329A" w:rsidRPr="00224206" w:rsidRDefault="00E9329A" w:rsidP="00E9329A">
      <w:pPr>
        <w:pStyle w:val="NormalHanging12a"/>
      </w:pPr>
      <w:r w:rsidRPr="00224206">
        <w:t>–</w:t>
      </w:r>
      <w:r w:rsidRPr="00224206">
        <w:tab/>
        <w:t>atsižvelgdamas į Sutarties dėl Europos Sąjungos veikimo 319 straipsnį,</w:t>
      </w:r>
    </w:p>
    <w:p w:rsidR="00E9329A" w:rsidRPr="00224206" w:rsidRDefault="00E9329A" w:rsidP="00E9329A">
      <w:pPr>
        <w:pStyle w:val="NormalHanging12a"/>
      </w:pPr>
      <w:r w:rsidRPr="00224206">
        <w:t>–</w:t>
      </w:r>
      <w:r w:rsidRPr="00224206">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224206">
        <w:rPr>
          <w:rStyle w:val="FootnoteReference"/>
        </w:rPr>
        <w:footnoteReference w:id="3"/>
      </w:r>
      <w:r w:rsidRPr="00224206">
        <w:t>, ypač į jo 70 straipsnį,</w:t>
      </w:r>
    </w:p>
    <w:p w:rsidR="00E9329A" w:rsidRPr="00224206" w:rsidRDefault="00E9329A" w:rsidP="00E9329A">
      <w:pPr>
        <w:pStyle w:val="NormalHanging12a"/>
      </w:pPr>
      <w:r w:rsidRPr="00224206">
        <w:t>–</w:t>
      </w:r>
      <w:r w:rsidRPr="00224206">
        <w:tab/>
        <w:t xml:space="preserve">atsižvelgdamas į 2007 m. vasario 15 d. Tarybos reglamentą (EB) Nr. 168/2007, </w:t>
      </w:r>
      <w:r w:rsidRPr="00224206">
        <w:lastRenderedPageBreak/>
        <w:t>įsteigiantį Europos Sąjungos pagrindinių teisių agentūrą</w:t>
      </w:r>
      <w:r w:rsidRPr="00224206">
        <w:rPr>
          <w:rStyle w:val="FootnoteReference"/>
        </w:rPr>
        <w:footnoteReference w:id="4"/>
      </w:r>
      <w:r w:rsidRPr="00224206">
        <w:t>, ypač į jo 21 straipsnį,</w:t>
      </w:r>
    </w:p>
    <w:p w:rsidR="00E9329A" w:rsidRPr="00224206" w:rsidRDefault="00E9329A" w:rsidP="00E9329A">
      <w:pPr>
        <w:pStyle w:val="NormalHanging12a"/>
      </w:pPr>
      <w:r w:rsidRPr="00224206">
        <w:t>–</w:t>
      </w:r>
      <w:r w:rsidRPr="00224206">
        <w:tab/>
        <w:t>atsižvelgdamas į 2018 m. gruodžio 18 d. Komisijos deleguotąjį reglamentą (ES) 2019/715 dėl finansinio pagrindų reglamento, taikomo organams, įsteigtiems pagal SESV ir Euratomo sutartį ir nurodytiems Europos Parlamento ir Tarybos reglamento (ES, Euratomas) 2018/10467 70 straipsnyje</w:t>
      </w:r>
      <w:r w:rsidRPr="00224206">
        <w:rPr>
          <w:rStyle w:val="FootnoteReference"/>
        </w:rPr>
        <w:footnoteReference w:id="5"/>
      </w:r>
      <w:r w:rsidRPr="00224206">
        <w:t>, ypač į jo 105 straipsnį,</w:t>
      </w:r>
    </w:p>
    <w:p w:rsidR="00E9329A" w:rsidRPr="00224206" w:rsidRDefault="00E9329A" w:rsidP="00E9329A">
      <w:pPr>
        <w:pStyle w:val="NormalHanging12a"/>
      </w:pPr>
      <w:r w:rsidRPr="00224206">
        <w:t>–</w:t>
      </w:r>
      <w:r w:rsidRPr="00224206">
        <w:tab/>
        <w:t>atsižvelgdamas į Darbo tvarkos taisyklių 100 straipsnį ir V priedą,</w:t>
      </w:r>
    </w:p>
    <w:p w:rsidR="00E9329A" w:rsidRPr="00224206" w:rsidRDefault="00E9329A" w:rsidP="00E9329A">
      <w:pPr>
        <w:pStyle w:val="NormalHanging12a"/>
      </w:pPr>
      <w:r w:rsidRPr="00224206">
        <w:t>–</w:t>
      </w:r>
      <w:r w:rsidRPr="00224206">
        <w:tab/>
        <w:t>atsižvelgdamas į Piliečių laisvių, teisingumo ir vidaus reikalų komiteto nuomonę,</w:t>
      </w:r>
    </w:p>
    <w:p w:rsidR="00E9329A" w:rsidRPr="00224206" w:rsidRDefault="00E9329A" w:rsidP="00E9329A">
      <w:pPr>
        <w:pStyle w:val="NormalHanging12a"/>
      </w:pPr>
      <w:r w:rsidRPr="00224206">
        <w:t>–</w:t>
      </w:r>
      <w:r w:rsidRPr="00224206">
        <w:tab/>
        <w:t>atsižvelgdamas į Biudžeto kontrolės komiteto pranešimą (A9</w:t>
      </w:r>
      <w:r w:rsidRPr="00224206">
        <w:noBreakHyphen/>
        <w:t>0112/2024),</w:t>
      </w:r>
    </w:p>
    <w:p w:rsidR="00E9329A" w:rsidRPr="00224206" w:rsidRDefault="00E9329A" w:rsidP="00E9329A">
      <w:pPr>
        <w:pStyle w:val="NormalHanging12a"/>
      </w:pPr>
      <w:r w:rsidRPr="00224206">
        <w:t>1.</w:t>
      </w:r>
      <w:r w:rsidRPr="00224206">
        <w:tab/>
        <w:t>patvirtina Europos Sąjungos pagrindinių teisių agentūros direktorei, kad Agentūros 2022 finansinių metų biudžetas įvykdytas;</w:t>
      </w:r>
    </w:p>
    <w:p w:rsidR="00E9329A" w:rsidRPr="00224206" w:rsidRDefault="00E9329A" w:rsidP="00E9329A">
      <w:pPr>
        <w:pStyle w:val="NormalHanging12a"/>
      </w:pPr>
      <w:r w:rsidRPr="00224206">
        <w:t>2.</w:t>
      </w:r>
      <w:r w:rsidRPr="00224206">
        <w:tab/>
        <w:t>išdėsto savo pastabas toliau pateikiamoje rezoliucijoje;</w:t>
      </w:r>
    </w:p>
    <w:p w:rsidR="00E9329A" w:rsidRPr="00224206" w:rsidRDefault="00E9329A" w:rsidP="00E9329A">
      <w:pPr>
        <w:pStyle w:val="NormalHanging12a"/>
      </w:pPr>
      <w:r w:rsidRPr="00224206">
        <w:t>3.</w:t>
      </w:r>
      <w:r w:rsidRPr="00224206">
        <w:tab/>
        <w:t xml:space="preserve">paveda Pirmininkei perduoti šį sprendimą ir rezoliuciją, kuri yra neatskiriama jo dalis, Europos Sąjungos pagrindinių teisių agentūros direktorei, Tarybai, Komisijai ir Audito Rūmams ir pasirūpinti, kad jie būtų paskelbti </w:t>
      </w:r>
      <w:r w:rsidRPr="00224206">
        <w:rPr>
          <w:i/>
        </w:rPr>
        <w:t>Europos Sąjungos oficialiajame leidinyje</w:t>
      </w:r>
      <w:r w:rsidRPr="00224206">
        <w:t xml:space="preserve"> (L serijoje).</w:t>
      </w:r>
    </w:p>
    <w:p w:rsidR="00E9329A" w:rsidRPr="00224206" w:rsidRDefault="00E9329A" w:rsidP="00E9329A"/>
    <w:p w:rsidR="00E9329A" w:rsidRPr="00224206" w:rsidRDefault="00E9329A" w:rsidP="00E9329A">
      <w:pPr>
        <w:pStyle w:val="PageHeading"/>
        <w:sectPr w:rsidR="00E9329A" w:rsidRPr="00224206" w:rsidSect="00332C2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E9329A" w:rsidRPr="00224206" w:rsidRDefault="00E9329A" w:rsidP="00367D1E">
      <w:pPr>
        <w:pStyle w:val="ATHeading3"/>
      </w:pPr>
      <w:bookmarkStart w:id="8" w:name="_Toc161986550"/>
      <w:r w:rsidRPr="00224206">
        <w:lastRenderedPageBreak/>
        <w:t xml:space="preserve">2. </w:t>
      </w:r>
      <w:r w:rsidR="004F5B30" w:rsidRPr="00224206">
        <w:t xml:space="preserve">2024 m. balandžio 11 d. Europos Parlamento sprendimas </w:t>
      </w:r>
      <w:bookmarkEnd w:id="8"/>
      <w:r w:rsidRPr="00224206">
        <w:t>dėl Europos Sąjungos pagrindinių teisių agentūros 2022 finansinių metų sąskaitų uždarymo</w:t>
      </w:r>
      <w:r w:rsidR="004F5B30" w:rsidRPr="00224206">
        <w:t xml:space="preserve"> </w:t>
      </w:r>
      <w:r w:rsidRPr="00224206">
        <w:t>(2023/2171(DEC))</w:t>
      </w:r>
    </w:p>
    <w:p w:rsidR="00E9329A" w:rsidRPr="00224206" w:rsidRDefault="00E9329A" w:rsidP="00E9329A">
      <w:pPr>
        <w:pStyle w:val="EPComma"/>
      </w:pPr>
      <w:r w:rsidRPr="00224206">
        <w:rPr>
          <w:i/>
        </w:rPr>
        <w:t>Europos Parlamentas</w:t>
      </w:r>
      <w:r w:rsidRPr="00224206">
        <w:t>,</w:t>
      </w:r>
    </w:p>
    <w:p w:rsidR="00E9329A" w:rsidRPr="00224206" w:rsidRDefault="00E9329A" w:rsidP="00E9329A">
      <w:pPr>
        <w:pStyle w:val="NormalHanging12a"/>
      </w:pPr>
      <w:r w:rsidRPr="00224206">
        <w:t>–</w:t>
      </w:r>
      <w:r w:rsidRPr="00224206">
        <w:tab/>
        <w:t>atsižvelgdamas į Europos Sąjungos pagrindinių teisių agentūros 2022 finansinių metų galutines metines ataskaitas,</w:t>
      </w:r>
    </w:p>
    <w:p w:rsidR="00E9329A" w:rsidRPr="00224206" w:rsidRDefault="00E9329A" w:rsidP="00E9329A">
      <w:pPr>
        <w:pStyle w:val="NormalHanging12a"/>
      </w:pPr>
      <w:r w:rsidRPr="00224206">
        <w:t>–</w:t>
      </w:r>
      <w:r w:rsidRPr="00224206">
        <w:tab/>
        <w:t>atsižvelgdamas į Audito Rūmų 2022 finansinių metų metinę ataskaitą dėl ES agentūrų kartu su agentūrų atsakymais</w:t>
      </w:r>
      <w:r w:rsidRPr="00224206">
        <w:rPr>
          <w:rStyle w:val="FootnoteReference"/>
        </w:rPr>
        <w:footnoteReference w:id="6"/>
      </w:r>
      <w:r w:rsidRPr="00224206">
        <w:t>,</w:t>
      </w:r>
    </w:p>
    <w:p w:rsidR="00E9329A" w:rsidRPr="00224206" w:rsidRDefault="00E9329A" w:rsidP="00E9329A">
      <w:pPr>
        <w:pStyle w:val="NormalHanging12a"/>
      </w:pPr>
      <w:r w:rsidRPr="00224206">
        <w:t>–</w:t>
      </w:r>
      <w:r w:rsidRPr="00224206">
        <w:tab/>
        <w:t>atsižvelgdamas į Audito Rūmų pagal Sutarties dėl Europos Sąjungos veikimo 287 straipsnį pateiktą sąskaitų patikimumo ir pagal jas atliktų operacijų teisėtumo ir tvarkingumo patikinimo pareiškimą</w:t>
      </w:r>
      <w:r w:rsidRPr="00224206">
        <w:rPr>
          <w:rStyle w:val="FootnoteReference"/>
        </w:rPr>
        <w:footnoteReference w:id="7"/>
      </w:r>
      <w:r w:rsidRPr="00224206">
        <w:t>,</w:t>
      </w:r>
    </w:p>
    <w:p w:rsidR="00E9329A" w:rsidRPr="00224206" w:rsidRDefault="00E9329A" w:rsidP="00E9329A">
      <w:pPr>
        <w:pStyle w:val="NormalHanging12a"/>
      </w:pPr>
      <w:r w:rsidRPr="00224206">
        <w:t>–</w:t>
      </w:r>
      <w:r w:rsidRPr="00224206">
        <w:tab/>
        <w:t xml:space="preserve">atsižvelgdamas į </w:t>
      </w:r>
      <w:r w:rsidR="00B32769" w:rsidRPr="00224206">
        <w:t xml:space="preserve">2024 m. vasario 22 d. </w:t>
      </w:r>
      <w:r w:rsidRPr="00224206">
        <w:t>Tarybos rekomendaciją dėl patvirtinimo, kad Agentūra įvykdė 2022 finansinių metų biudžetą (</w:t>
      </w:r>
      <w:r w:rsidR="00C05FA1" w:rsidRPr="00224206">
        <w:t>06180</w:t>
      </w:r>
      <w:r w:rsidRPr="00224206">
        <w:t>/2024 – C9-</w:t>
      </w:r>
      <w:r w:rsidR="00C05FA1" w:rsidRPr="00224206">
        <w:t>0109</w:t>
      </w:r>
      <w:r w:rsidRPr="00224206">
        <w:t>/2024),</w:t>
      </w:r>
    </w:p>
    <w:p w:rsidR="00E9329A" w:rsidRPr="00224206" w:rsidRDefault="00E9329A" w:rsidP="00E9329A">
      <w:pPr>
        <w:pStyle w:val="NormalHanging12a"/>
      </w:pPr>
      <w:r w:rsidRPr="00224206">
        <w:t>–</w:t>
      </w:r>
      <w:r w:rsidRPr="00224206">
        <w:tab/>
        <w:t>atsižvelgdamas į Sutarties dėl Europos Sąjungos veikimo 319 straipsnį,</w:t>
      </w:r>
    </w:p>
    <w:p w:rsidR="00E9329A" w:rsidRPr="00224206" w:rsidRDefault="00E9329A" w:rsidP="00E9329A">
      <w:pPr>
        <w:pStyle w:val="NormalHanging12a"/>
      </w:pPr>
      <w:r w:rsidRPr="00224206">
        <w:t>–</w:t>
      </w:r>
      <w:r w:rsidRPr="00224206">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224206">
        <w:rPr>
          <w:rStyle w:val="FootnoteReference"/>
        </w:rPr>
        <w:footnoteReference w:id="8"/>
      </w:r>
      <w:r w:rsidRPr="00224206">
        <w:t>, ypač į jo 70 straipsnį,</w:t>
      </w:r>
    </w:p>
    <w:p w:rsidR="00E9329A" w:rsidRPr="00224206" w:rsidRDefault="00E9329A" w:rsidP="00E9329A">
      <w:pPr>
        <w:pStyle w:val="NormalHanging12a"/>
      </w:pPr>
      <w:r w:rsidRPr="00224206">
        <w:t>–</w:t>
      </w:r>
      <w:r w:rsidRPr="00224206">
        <w:tab/>
        <w:t>atsižvelgdamas į 2007 m. vasario 15 d. Tarybos reglamentą (EB) Nr. 168/2007, įsteigiantį Europos Sąjungos pagrindinių teisių agentūrą</w:t>
      </w:r>
      <w:r w:rsidRPr="00224206">
        <w:rPr>
          <w:rStyle w:val="FootnoteReference"/>
        </w:rPr>
        <w:footnoteReference w:id="9"/>
      </w:r>
      <w:r w:rsidRPr="00224206">
        <w:t>, ypač į jo 21 straipsnį,</w:t>
      </w:r>
    </w:p>
    <w:p w:rsidR="00E9329A" w:rsidRPr="00224206" w:rsidRDefault="00E9329A" w:rsidP="00E9329A">
      <w:pPr>
        <w:pStyle w:val="NormalHanging12a"/>
      </w:pPr>
      <w:r w:rsidRPr="00224206">
        <w:t>–</w:t>
      </w:r>
      <w:r w:rsidRPr="00224206">
        <w:tab/>
        <w:t>atsižvelgdamas į 2018 m. gruodžio 18 d. Komisijos deleguotąjį reglamentą (ES) 2019/715 dėl finansinio pagrindų reglamento, taikomo organams, įsteigtiems pagal SESV ir Euratomo sutartį ir nurodytiems Europos Parlamento ir Tarybos reglamento (ES, Euratomas) 2018/10467 70 straipsnyje</w:t>
      </w:r>
      <w:r w:rsidRPr="00224206">
        <w:rPr>
          <w:rStyle w:val="FootnoteReference"/>
        </w:rPr>
        <w:footnoteReference w:id="10"/>
      </w:r>
      <w:r w:rsidRPr="00224206">
        <w:t>, ypač į jo 105 straipsnį,</w:t>
      </w:r>
    </w:p>
    <w:p w:rsidR="00E9329A" w:rsidRPr="00224206" w:rsidRDefault="00E9329A" w:rsidP="00E9329A">
      <w:pPr>
        <w:pStyle w:val="NormalHanging12a"/>
      </w:pPr>
      <w:r w:rsidRPr="00224206">
        <w:t>–</w:t>
      </w:r>
      <w:r w:rsidRPr="00224206">
        <w:tab/>
        <w:t>atsižvelgdamas į Darbo tvarkos taisyklių 100 straipsnį ir V priedą,</w:t>
      </w:r>
    </w:p>
    <w:p w:rsidR="00E9329A" w:rsidRPr="00224206" w:rsidRDefault="00E9329A" w:rsidP="00E9329A">
      <w:pPr>
        <w:pStyle w:val="NormalHanging12a"/>
      </w:pPr>
      <w:r w:rsidRPr="00224206">
        <w:t>–</w:t>
      </w:r>
      <w:r w:rsidRPr="00224206">
        <w:tab/>
        <w:t>atsižvelgdamas į Piliečių laisvių, teisingumo ir vidaus reikalų komiteto nuomonę,</w:t>
      </w:r>
    </w:p>
    <w:p w:rsidR="00E9329A" w:rsidRPr="00224206" w:rsidRDefault="00E9329A" w:rsidP="00E9329A">
      <w:pPr>
        <w:pStyle w:val="NormalHanging12a"/>
      </w:pPr>
      <w:r w:rsidRPr="00224206">
        <w:t>–</w:t>
      </w:r>
      <w:r w:rsidRPr="00224206">
        <w:tab/>
        <w:t>atsižvelgdamas į Biudžeto kontrolės komiteto pranešimą (A9</w:t>
      </w:r>
      <w:r w:rsidRPr="00224206">
        <w:noBreakHyphen/>
        <w:t>0112/2024),</w:t>
      </w:r>
    </w:p>
    <w:p w:rsidR="00E9329A" w:rsidRPr="00224206" w:rsidRDefault="00E9329A" w:rsidP="00E9329A">
      <w:pPr>
        <w:pStyle w:val="NormalHanging12a"/>
      </w:pPr>
      <w:r w:rsidRPr="00224206">
        <w:t>1.</w:t>
      </w:r>
      <w:r w:rsidRPr="00224206">
        <w:tab/>
        <w:t>pritaria Europos Sąjungos pagrindinių teisių agentūros 2022 finansinių metų sąskaitų uždarymui;</w:t>
      </w:r>
    </w:p>
    <w:p w:rsidR="00E9329A" w:rsidRPr="00224206" w:rsidRDefault="00E9329A" w:rsidP="00E9329A">
      <w:pPr>
        <w:pStyle w:val="NormalHanging12a"/>
      </w:pPr>
      <w:r w:rsidRPr="00224206">
        <w:t>2.</w:t>
      </w:r>
      <w:r w:rsidRPr="00224206">
        <w:tab/>
        <w:t xml:space="preserve">paveda Pirmininkei perduoti šį sprendimą Europos Sąjungos pagrindinių teisių agentūros direktorei, Tarybai, Komisijai ir Audito Rūmams ir pasirūpinti, kad jie būtų </w:t>
      </w:r>
      <w:r w:rsidRPr="00224206">
        <w:lastRenderedPageBreak/>
        <w:t xml:space="preserve">paskelbti </w:t>
      </w:r>
      <w:r w:rsidRPr="00224206">
        <w:rPr>
          <w:i/>
        </w:rPr>
        <w:t>Europos Sąjungos oficialiajame leidinyje</w:t>
      </w:r>
      <w:r w:rsidRPr="00224206">
        <w:t xml:space="preserve"> (L serijoje).</w:t>
      </w:r>
    </w:p>
    <w:p w:rsidR="00E9329A" w:rsidRPr="00224206" w:rsidRDefault="00E9329A" w:rsidP="00E9329A"/>
    <w:p w:rsidR="00E9329A" w:rsidRPr="00224206" w:rsidRDefault="00E9329A" w:rsidP="00E9329A">
      <w:pPr>
        <w:pStyle w:val="PageHeading"/>
        <w:sectPr w:rsidR="00E9329A" w:rsidRPr="00224206" w:rsidSect="00332C29">
          <w:footnotePr>
            <w:numRestart w:val="eachPage"/>
          </w:footnotePr>
          <w:endnotePr>
            <w:numFmt w:val="decimal"/>
          </w:endnotePr>
          <w:pgSz w:w="11906" w:h="16838" w:code="9"/>
          <w:pgMar w:top="1134" w:right="1418" w:bottom="1418" w:left="1418" w:header="567" w:footer="567" w:gutter="0"/>
          <w:cols w:space="720"/>
          <w:noEndnote/>
          <w:docGrid w:linePitch="326"/>
        </w:sectPr>
      </w:pPr>
    </w:p>
    <w:p w:rsidR="00E9329A" w:rsidRPr="00224206" w:rsidRDefault="00E9329A" w:rsidP="00367D1E">
      <w:pPr>
        <w:pStyle w:val="ATHeading3"/>
      </w:pPr>
      <w:bookmarkStart w:id="9" w:name="_Toc161986551"/>
      <w:r w:rsidRPr="00224206">
        <w:lastRenderedPageBreak/>
        <w:t xml:space="preserve">3. </w:t>
      </w:r>
      <w:r w:rsidR="00C05FA1" w:rsidRPr="00224206">
        <w:t xml:space="preserve">2024 m. balandžio 11 d. Europos Parlamento rezoliucija </w:t>
      </w:r>
      <w:bookmarkEnd w:id="9"/>
      <w:r w:rsidRPr="00224206">
        <w:t>su pastabomis, sudarančiomis neatskiriamą sprendimo dėl Europos Sąjungos pagrindinių teisių agentūros 2022 finansinių metų biudžeto įvykdymo patvirtinimo dalį</w:t>
      </w:r>
      <w:r w:rsidR="00C05FA1" w:rsidRPr="00224206">
        <w:t xml:space="preserve"> </w:t>
      </w:r>
      <w:r w:rsidRPr="00224206">
        <w:t>(2023/2171(DEC))</w:t>
      </w:r>
    </w:p>
    <w:p w:rsidR="00E9329A" w:rsidRPr="00224206" w:rsidRDefault="00E9329A" w:rsidP="00E9329A">
      <w:pPr>
        <w:pStyle w:val="EPComma"/>
      </w:pPr>
      <w:r w:rsidRPr="00224206">
        <w:rPr>
          <w:i/>
        </w:rPr>
        <w:t>Europos Parlamentas</w:t>
      </w:r>
      <w:r w:rsidRPr="00224206">
        <w:t>,</w:t>
      </w:r>
    </w:p>
    <w:p w:rsidR="00E9329A" w:rsidRPr="00224206" w:rsidRDefault="00E9329A" w:rsidP="00E9329A">
      <w:pPr>
        <w:pStyle w:val="NormalHanging12a"/>
      </w:pPr>
      <w:r w:rsidRPr="00224206">
        <w:t>–</w:t>
      </w:r>
      <w:r w:rsidRPr="00224206">
        <w:tab/>
        <w:t>atsižvelgdamas į savo sprendimą dėl Europos Sąjungos pagrindinių teisių agentūros 2022 finansinių metų biudžeto įvykdymo patvirtinimo,</w:t>
      </w:r>
    </w:p>
    <w:p w:rsidR="00E9329A" w:rsidRPr="00224206" w:rsidRDefault="00E9329A" w:rsidP="00E9329A">
      <w:pPr>
        <w:pStyle w:val="NormalHanging12a"/>
      </w:pPr>
      <w:r w:rsidRPr="00224206">
        <w:t>–</w:t>
      </w:r>
      <w:r w:rsidRPr="00224206">
        <w:tab/>
        <w:t>atsižvelgdamas į Darbo tvarkos taisyklių 100 straipsnį ir V priedą,</w:t>
      </w:r>
    </w:p>
    <w:p w:rsidR="00E9329A" w:rsidRPr="00224206" w:rsidRDefault="00E9329A" w:rsidP="00E9329A">
      <w:pPr>
        <w:pStyle w:val="NormalHanging12a"/>
      </w:pPr>
      <w:r w:rsidRPr="00224206">
        <w:t>–</w:t>
      </w:r>
      <w:r w:rsidRPr="00224206">
        <w:tab/>
        <w:t>atsižvelgdamas į Piliečių laisvių, teisingumo ir vidaus reikalų komiteto nuomonę,</w:t>
      </w:r>
    </w:p>
    <w:p w:rsidR="00E9329A" w:rsidRPr="00224206" w:rsidRDefault="00E9329A" w:rsidP="00E9329A">
      <w:pPr>
        <w:pStyle w:val="NormalHanging12a"/>
      </w:pPr>
      <w:r w:rsidRPr="00224206">
        <w:t>–</w:t>
      </w:r>
      <w:r w:rsidRPr="00224206">
        <w:tab/>
        <w:t>atsižvelgdamas į Biudžeto kontrolės komiteto pranešimą (A9</w:t>
      </w:r>
      <w:r w:rsidRPr="00224206">
        <w:noBreakHyphen/>
        <w:t>0112/2024),</w:t>
      </w:r>
    </w:p>
    <w:p w:rsidR="00E9329A" w:rsidRPr="00224206" w:rsidRDefault="00E9329A" w:rsidP="00E9329A">
      <w:pPr>
        <w:pStyle w:val="Normal12Hanging"/>
        <w:rPr>
          <w:szCs w:val="24"/>
        </w:rPr>
      </w:pPr>
      <w:r w:rsidRPr="00224206">
        <w:t>A.</w:t>
      </w:r>
      <w:r w:rsidRPr="00224206">
        <w:tab/>
        <w:t>kadangi, remiantis Europos Sąjungos pagrindinių teisių agentūros (toliau – Agentūra) pajamų ir išlaidų suvestine</w:t>
      </w:r>
      <w:r w:rsidRPr="00224206">
        <w:rPr>
          <w:szCs w:val="24"/>
          <w:vertAlign w:val="superscript"/>
        </w:rPr>
        <w:footnoteReference w:id="11"/>
      </w:r>
      <w:r w:rsidRPr="00224206">
        <w:t>, jos galutinis 2022 finansinių metų biudžetas sudarė 25 857 952 EUR, t. y. buvo 4,01 proc. didesnis negu 2021 m.; kadangi Agentūros biudžeto lėšos beveik išimtinai skiriamos iš Sąjungos biudžeto;</w:t>
      </w:r>
    </w:p>
    <w:p w:rsidR="00E9329A" w:rsidRPr="00224206" w:rsidRDefault="00E9329A" w:rsidP="00E9329A">
      <w:pPr>
        <w:pStyle w:val="Normal12Hanging"/>
        <w:rPr>
          <w:szCs w:val="24"/>
        </w:rPr>
      </w:pPr>
      <w:r w:rsidRPr="00224206">
        <w:t>B.</w:t>
      </w:r>
      <w:r w:rsidRPr="00224206">
        <w:tab/>
        <w:t>kadangi, kalbant apie Agentūros viešųjų pirkimų sektorių, 2022 m. nebuvo pranešta apie jokias problemas, dėl kurių reikėtų imtis taisomųjų veiksmų, taip pat nebuvo vykdomų ar neįgyvendintų taisomųjų veiksmų, susijusių su ankstesnių metų auditais ir vertinimais;</w:t>
      </w:r>
    </w:p>
    <w:p w:rsidR="00E9329A" w:rsidRPr="00224206" w:rsidRDefault="00E9329A" w:rsidP="00E9329A">
      <w:pPr>
        <w:pStyle w:val="Normal12Hanging"/>
        <w:rPr>
          <w:szCs w:val="24"/>
        </w:rPr>
      </w:pPr>
      <w:r w:rsidRPr="00224206">
        <w:t>C.</w:t>
      </w:r>
      <w:r w:rsidRPr="00224206">
        <w:tab/>
        <w:t>kadangi Audito Rūmai savo ataskaitoje dėl Agentūros 2022 finansinių metų metinių ataskaitų (toliau – Audito Rūmų ataskaita) nurodo, kad gavo pagrįstą patikinimą, jog Agentūros metinės ataskaitos yra patikimos ir kad jose atspindimos operacijos visais reikšmingais aspektais yra teisėtos ir tvarkingos;</w:t>
      </w:r>
    </w:p>
    <w:p w:rsidR="00E9329A" w:rsidRPr="00224206" w:rsidRDefault="00E9329A" w:rsidP="00E9329A">
      <w:pPr>
        <w:pStyle w:val="Normal12Hanging"/>
        <w:rPr>
          <w:b/>
          <w:i/>
          <w:szCs w:val="24"/>
        </w:rPr>
      </w:pPr>
      <w:r w:rsidRPr="00224206">
        <w:rPr>
          <w:b/>
          <w:i/>
        </w:rPr>
        <w:t>Biudžeto ir finansų valdymas</w:t>
      </w:r>
    </w:p>
    <w:p w:rsidR="00E9329A" w:rsidRPr="00224206" w:rsidRDefault="00E9329A" w:rsidP="00E9329A">
      <w:pPr>
        <w:pStyle w:val="NormalHanging12a"/>
        <w:tabs>
          <w:tab w:val="left" w:pos="567"/>
        </w:tabs>
        <w:rPr>
          <w:szCs w:val="24"/>
        </w:rPr>
      </w:pPr>
      <w:r w:rsidRPr="00224206">
        <w:t>1.</w:t>
      </w:r>
      <w:r w:rsidRPr="00224206">
        <w:tab/>
        <w:t>su pasitenkinimu pažymi, kad 2022 finansiniais metais vykdant biudžeto stebėseną biudžeto įvykdymo lygis buvo 100 proc. aptariamų metų įsipareigojimų asignavimų (toks pats kaip ir 2021 m.); pažymi, kad aptariamais metais mokėjimų asignavimų panaudojimo lygis buvo 73,59 proc., t. y. šiek tiek (2,64 proc.) didesnis, palyginti su 2021 m.;</w:t>
      </w:r>
    </w:p>
    <w:p w:rsidR="00E9329A" w:rsidRPr="00224206" w:rsidRDefault="00E9329A" w:rsidP="00E9329A">
      <w:pPr>
        <w:pStyle w:val="NormalHanging12a"/>
        <w:tabs>
          <w:tab w:val="left" w:pos="567"/>
        </w:tabs>
        <w:rPr>
          <w:szCs w:val="24"/>
        </w:rPr>
      </w:pPr>
      <w:r w:rsidRPr="00224206">
        <w:t>2.</w:t>
      </w:r>
      <w:r w:rsidRPr="00224206">
        <w:tab/>
        <w:t>pažymi, kad 2022 m. buvo priimti trys biudžeto pakeitimai, kuriais Agentūros biudžetas padidintas 1 562 781 EUR, atsižvelgiant į lėšas, gautas pagal bendradarbiavimo susitarimą su EEE ir Norvegijos dotacijų iniciatyvos finansinio mechanizmo biuru ir partnerystės susitarimus su Bulgarijos nacionaliniu statistikos institutu, Graikijos ombudsmenu ir Rumunijos prokuratūra, taip pat iš Austrijos valdžios institucijų gautas nuomos subsidijas ir vidaus asignuotąsias pajamas;</w:t>
      </w:r>
    </w:p>
    <w:p w:rsidR="00E9329A" w:rsidRPr="00224206" w:rsidRDefault="00E9329A" w:rsidP="00E9329A">
      <w:pPr>
        <w:pStyle w:val="NormalHanging12a"/>
      </w:pPr>
      <w:r w:rsidRPr="00224206">
        <w:t>3.</w:t>
      </w:r>
      <w:r w:rsidRPr="00224206">
        <w:tab/>
        <w:t xml:space="preserve">remdamasis Audito Rūmų ataskaita susirūpinęs pažymi, kad Agentūra iš 2022 m. į 2023 m. perkėlė 6,4 mln. EUR (26 proc.) turimų įsipareigojimų asignavimų, iš kurių 5,9 mln. EUR sudarė asignavimai pagal III antraštinę dalį, susiję su veiklos išlaidomis (2021 m. – 74 proc.); pažymi, kad aukštas perkėlimų lygis yra pasikartojanti Agentūros </w:t>
      </w:r>
      <w:r w:rsidRPr="00224206">
        <w:lastRenderedPageBreak/>
        <w:t>problema, kurią Audito Rūmai pastebi kelerius finansinius metus iš eilės, pradedant nuo 2018 m.; atkreipia dėmesį į pakartotinę Audito Rūmų nuomonę, kad dideli asignavimų perkėlimo į kitą laikotarpį rodikliai prieštarauja biudžeto metinio periodiškumo principui ir rodo struktūrines biudžeto proceso ir vykdymo ciklo problemas; remdamasis Agentūros atsakymu į Audito Rūmų pastabą ir Agentūros ataskaita „Europos Parlamento pastabos dėl Europos Sąjungos pagrindinių teisių agentūros 2021 m. biudžeto įvykdymo patvirtinimo ir priemonės, kurių ėmėsi Agentūra“ (toliau – Agentūros tolesnių veiksmų ataskaita), atkreipia dėmesį į šias pastabas dėl aukšto perkėlimų, susijusių su Agentūros operatyvine veikla, lygio: dėl sistemos, kurioje veikia Agentūra, specifikos prisiimti įsipareigojimus dėl veiklos išlaidų gerokai ankstesniu metų laikotarpiu sudėtinga, IT priemonė MATRIX patobulinta siekiant atidžiau stebėti biudžeto vykdymą ir iš anksto įvertinti perkėlimus į kitus metus (C8 asignavimai), biudžeto vykdymas turėtų būti vertinamas atsižvelgiant į galutinį rezultatą, kuris per pastaruosius 10 metų buvo didesnis nei 99 proc.; pripažįsta, kaip ir ankstesniais metais, kad didelius perkėlimus taip pat lemia Agentūros pagrindinės veiklos pobūdis;</w:t>
      </w:r>
    </w:p>
    <w:p w:rsidR="00E9329A" w:rsidRPr="00224206" w:rsidRDefault="00E9329A" w:rsidP="00E9329A">
      <w:pPr>
        <w:pStyle w:val="Normal12Hanging"/>
        <w:tabs>
          <w:tab w:val="left" w:pos="567"/>
        </w:tabs>
        <w:rPr>
          <w:b/>
          <w:i/>
          <w:szCs w:val="24"/>
        </w:rPr>
      </w:pPr>
      <w:r w:rsidRPr="00224206">
        <w:rPr>
          <w:b/>
          <w:i/>
        </w:rPr>
        <w:t>Veikla</w:t>
      </w:r>
    </w:p>
    <w:p w:rsidR="00E9329A" w:rsidRPr="00224206" w:rsidRDefault="00E9329A" w:rsidP="00E9329A">
      <w:pPr>
        <w:pStyle w:val="Normal12Hanging"/>
        <w:tabs>
          <w:tab w:val="left" w:pos="567"/>
        </w:tabs>
        <w:rPr>
          <w:szCs w:val="24"/>
        </w:rPr>
      </w:pPr>
      <w:r w:rsidRPr="00224206">
        <w:t>4.</w:t>
      </w:r>
      <w:r w:rsidRPr="00224206">
        <w:tab/>
        <w:t>puikiai vertina tai, kad Agentūra naudoja 25-ių pagrindinių veiklos rezultatų rodiklių (PVRR) sistemą savo veiklai vertinti; palankiai vertina aukštą pasiekimų pagal PVRR lygį 2022 m., nes Agentūra viršijo beveik visus kiekvienam PVRR nustatytus tikslus, išlaikydama didelį suinteresuotųjų subjektų pasitenkinimą Agentūros renginiais ir Agentūros rezultatų aktualumu, naudingumu ir patikimumu, taip pat prisideda prie aukšto pagrindinių teisių ir tendencijų supratimo lygio; palankiai vertina Agentūros pastangas, kuriomis prisidėta prie jos pasiekimų 2022 m., nepaisant to, kad buvo iš naujo nustatyti visos vykdomos veiklos ir žmogiškųjų bei finansinių išteklių prioritetai, o kai kurie Agentūros projektai buvo atidėti ir reorganizuoti;</w:t>
      </w:r>
    </w:p>
    <w:p w:rsidR="00E9329A" w:rsidRPr="00224206" w:rsidRDefault="00E9329A" w:rsidP="00E9329A">
      <w:pPr>
        <w:pStyle w:val="NormalHanging12a"/>
      </w:pPr>
      <w:r w:rsidRPr="00224206">
        <w:t>5.</w:t>
      </w:r>
      <w:r w:rsidRPr="00224206">
        <w:tab/>
        <w:t>teigiamai vertina Agentūros veiklą, ypač didelį veiklos 2022 m. rezultatyvumą, įskaitant leidinius, susitikimus, renginių organizavimą, techninę pagalbą ir gebėjimų stiprinimo veiklą, taip pat rašytinę ir žodinę informaciją; atkreipia dėmesį į tai, kad nuorodos į Agentūros darbą 2022 m. buvo pateiktos 213 leidinių ir žiniasklaidoje jis buvo paminėtas 4 319 kartų; palankiai vertina Agentūros veiklą, susijusią su strateginiu prioritetu Nr. 1 (tendencijų nustatymo veikla: rinkti ir analizuoti palyginamus duomenis ir įrodymus), kurį su Agentūra susiję suinteresuotieji subjektai įvertino kaip svarbiausią ir teikiantį didžiausią pridėtinę vertę; atsižvelgdamas į tai, atkreipia dėmesį į Agentūros 2022 m. pasiekimus, pavyzdžiui, paskelbtą ataskaitą „Romai 10-yje Europos šalių“, kurioje, be kita ko, atkreiptas dėmesys į romų įtraukties patobulinimus ir spragas, biuletenį prieglobsčio ir migracijos tema, kuriame daugiausia dėmesio skirta į valstybes nares ir Sąjungos šalis kandidates iš trečiųjų šalių per paskutinį 2021 m. ketvirtį atvykusių asmenų pagrindinių teisių padėčiai, ataskaitą „Algoritminis šališkumas. Dirbtinis intelektas ir diskriminacija“, dėl kurios paskelbimo Agentūra tapo pirmąja tarptautine žmogaus teisių organizacija, kovojančia, be kita ko, su algoritminiu šališkumu, ir kuri per pirmąsias septynias dienas po paskelbimo tapo dažniausiai parsisiųsta 2022 m. Agentūros ataskaita, taip pat ataskaitą „Pilietinės erdvės apsauga ES. Pagrindinės išvados ir FRA nuomonės“, kurioje apžvelgiami pagrindiniai pilietinės erdvės klausimai visoje Sąjungoje; atsižvelgdamas į pastarąją ataskaitą, palankiai vertina tai, kad Agentūra įrodė savo gebėjimą daryti įtaką politikos ir teisėkūros procesams pilietinės erdvės klausimu ir dalyvavo 2022 m. ES Tarybai pirmininkavusios Čekijos ir Komisijos vykdomuose projektuose šia tema;</w:t>
      </w:r>
    </w:p>
    <w:p w:rsidR="00E9329A" w:rsidRPr="00224206" w:rsidRDefault="00E9329A" w:rsidP="00E9329A">
      <w:pPr>
        <w:pStyle w:val="NormalHanging12a"/>
      </w:pPr>
      <w:r w:rsidRPr="00224206">
        <w:lastRenderedPageBreak/>
        <w:t>6.</w:t>
      </w:r>
      <w:r w:rsidRPr="00224206">
        <w:tab/>
        <w:t>palankiai vertina tai, kad Agentūra laiku reagavo į kylančias pagrindinių teisių problemas, pvz., ji parengė bendras gaires, pateiktas jos pranešime „Nacionalinių nepriklausomų mechanizmų, skirtų stebėti, kaip laikomasi pagrindinių teisių prie ES išorės sienų, nustatymas“, padėdama valstybėms narėms kurti arba stiprinti nacionalinius mechanizmus, skirtus stebėti, kaip laikomasi pagrindinių teisių, ir nustatyti apsaugos priemones, kurias taikant būtų užtikrintas šio mechanizmo nepriklausomumas; primena, jog pagal tarptautinę teisę reikalaujama, kad su visais pabėgėliais būtų elgiamasi jų nediskriminuojant;</w:t>
      </w:r>
    </w:p>
    <w:p w:rsidR="00E9329A" w:rsidRPr="00224206" w:rsidRDefault="00E9329A" w:rsidP="00E9329A">
      <w:pPr>
        <w:pStyle w:val="Normal12Hanging"/>
        <w:tabs>
          <w:tab w:val="left" w:pos="567"/>
        </w:tabs>
        <w:rPr>
          <w:szCs w:val="24"/>
        </w:rPr>
      </w:pPr>
      <w:r w:rsidRPr="00224206">
        <w:t>7.</w:t>
      </w:r>
      <w:r w:rsidRPr="00224206">
        <w:tab/>
        <w:t>džiaugdamasis pažymi, kad Agentūra skubiai ėmėsi priemonių, reaguodama į žmogaus teisių padėtį Ukrainoje po Rusijos neteisėtos ir neišprovokuotos invazijos, ir įvykdė keletą svarbių veiksmų, pvz., surengė internetinę apklausą apie iš Ukrainos bėgančių perkeltųjų asmenų patirtį, parengė du biuletenius apie poveikį pagrindinėms teisėms valstybėse narėse, susijusį su karu Ukrainoje, paskelbė Tarybos direktyvos 20</w:t>
      </w:r>
      <w:r w:rsidR="002E243E">
        <w:t>0</w:t>
      </w:r>
      <w:r w:rsidRPr="00224206">
        <w:t>1/55/EB</w:t>
      </w:r>
      <w:r w:rsidRPr="00224206">
        <w:rPr>
          <w:szCs w:val="24"/>
          <w:vertAlign w:val="superscript"/>
        </w:rPr>
        <w:footnoteReference w:id="12"/>
      </w:r>
      <w:r w:rsidRPr="00224206">
        <w:t xml:space="preserve"> įgyvendinimo 16-oje valstybių narių lentelę ir vykdė duomenų apie nuo karo bėgančių moterų patirtį, susijusią su smurtu ir kitais žmogaus teisių pažeidimais, rinkimo projektus;</w:t>
      </w:r>
    </w:p>
    <w:p w:rsidR="00E9329A" w:rsidRPr="00224206" w:rsidRDefault="00E9329A" w:rsidP="00E9329A">
      <w:pPr>
        <w:pStyle w:val="NormalHanging12a"/>
        <w:ind w:left="560" w:hanging="560"/>
      </w:pPr>
      <w:r w:rsidRPr="00224206">
        <w:t>8.</w:t>
      </w:r>
      <w:r w:rsidRPr="00224206">
        <w:tab/>
        <w:t>pripažįsta Agentūros vaidmenį, atliekamą suteikiant daugiau galimybių nacionalinei žmogaus teisių infrastruktūrai: bendradarbiaujama ir plėtojama sin</w:t>
      </w:r>
      <w:bookmarkStart w:id="10" w:name="_GoBack"/>
      <w:bookmarkEnd w:id="10"/>
      <w:r w:rsidRPr="00224206">
        <w:t>ergija su žmogaus teisių institucijomis ir partnerystė su pilietinės visuomenės institucijomis; atkreipia dėmesį į nuolatines Agentūros teikiamas konsultacijas prieglobsčio ir migracijos srityje, taip pat valstybėms narėms nuolat teikiamas su migracija susijusių pagrindinių teisių problemų apžvalgas; palankiai vertina Agentūros vaidmenį skatinant žmogaus teisėmis grindžiamą naratyvą – ji plėtoja veiksmingą komunikaciją, dalyvauja kuriant naujas skaitmenines taikomąsias programas bei priemones ir sutelkia žmogaus teisių subjektus, kad būtų propaguojamos Europos vertybės ir laisvės;</w:t>
      </w:r>
    </w:p>
    <w:p w:rsidR="00E9329A" w:rsidRPr="00224206" w:rsidRDefault="00E9329A" w:rsidP="00E9329A">
      <w:pPr>
        <w:pStyle w:val="NormalHanging12a"/>
      </w:pPr>
      <w:r w:rsidRPr="00224206">
        <w:t>9.</w:t>
      </w:r>
      <w:r w:rsidRPr="00224206">
        <w:tab/>
        <w:t>su dideliu susirūpinimu pažymi, kad, siekdama stebėti pagrindinių teisių ir teisinės valstybės padėtį Vengrijoje, Agentūra nusprendė bendradarbiauti su Nacionaliniu viešojo administravimo universitetu ir Pagrindinių teisių komisaro biuru ir jais pasikliauti, nors abi institucijos rėmė pagrindinių teisių padėties blogėjimą Vengrijoje; pažymi, kad, pavyzdžiui, 2022 m. teisinės valstybės principo taikymo ataskaitoje Komisija reiškė „padidėjusį susirūpinimą“ dėl Vengrijos pagrindinių teisių komisaro nepriklausomumo; apgailestauja, kad Agentūra vis dėlto nusprendė nepersvarstyti bendradarbiavimo su institucijomis, kurios iš esmės skatina demokratijos padėties blogėjimą, nors pagrindinė Agentūros užduotis turėtų būti prisidėti prie pagrindinių teisių gynimo, ypač probleminiais atvejais, tokiais kaip su Vengrijos vyriausybe susijęs atvejis; ragina Agentūrą sustabdyti bendradarbiavimą su šiomis institucijomis ir informuoti biudžeto įvykdymą tvirtinančią instituciją apie padarytą pažangą šioje srityje;</w:t>
      </w:r>
    </w:p>
    <w:p w:rsidR="00E9329A" w:rsidRPr="00224206" w:rsidRDefault="00E9329A" w:rsidP="00E9329A">
      <w:pPr>
        <w:pStyle w:val="Normal12Hanging"/>
        <w:tabs>
          <w:tab w:val="left" w:pos="567"/>
        </w:tabs>
        <w:rPr>
          <w:b/>
          <w:i/>
          <w:szCs w:val="24"/>
        </w:rPr>
      </w:pPr>
      <w:r w:rsidRPr="00224206">
        <w:rPr>
          <w:b/>
          <w:i/>
        </w:rPr>
        <w:t>Veiksmingumas ir nauda</w:t>
      </w:r>
    </w:p>
    <w:p w:rsidR="00E9329A" w:rsidRPr="00224206" w:rsidRDefault="00E9329A" w:rsidP="00E9329A">
      <w:pPr>
        <w:pStyle w:val="Normal12Hanging"/>
        <w:tabs>
          <w:tab w:val="left" w:pos="567"/>
        </w:tabs>
        <w:rPr>
          <w:szCs w:val="24"/>
        </w:rPr>
      </w:pPr>
      <w:r w:rsidRPr="00224206">
        <w:t>10.</w:t>
      </w:r>
      <w:r w:rsidRPr="00224206">
        <w:tab/>
        <w:t xml:space="preserve">pažymi, kad 2022 m. Agentūra tęsė bendradarbiavimą ir vykdė bendrą darbą su Teisingumo ir vidaus reikalų agentūrų tinklu ir jį sudarančiomis agentūromis, siekdama </w:t>
      </w:r>
      <w:r w:rsidRPr="00224206">
        <w:lastRenderedPageBreak/>
        <w:t>spręsti problemas bendrose darbo srityse, pvz., vidaus saugumo, migracijos, kovos su organizuotu nusikalstamumu, prieglobsčio ir sienų apsaugos, prisidėdama pagrindinių teisių srities ekspertinėmis žiniomis; atsižvelgdamas į tai, visų pirma atkreipia dėmesį į Agentūros bendradarbiavimą su Europos lyčių lygybės institutu rengiant tyrimą dėl smurto prieš moteris, su Europos Sąjungos prieglobsčio agentūra dėl kai kurių mokymo modulių peržiūros ir nelydimų vaikų globėjams skirtos brošiūros dėl laikinosios apsaugos parengimo, su Europos Sąjungos teisėsaugos mokymo agentūra palengvinant mokymus neapykantos nusikaltimų duomenų ir pranešimų apie juos klausimais ir su Europos Sąjungos bendradarbiavimo baudžiamosios teisenos srityje agentūra dėl kovos su kibernetiniais nusikaltimais ir pagrindinių teisių vadovo rengimo; atkreipia dėmesį į Agentūros 2022 m. vykdytą bendradarbiavimą su agentūromis ir kitais subjektais, nepriklausančiais Teisingumo ir vidaus reikalų agentūrų tinklui, pvz., Europos gyvenimo ir darbo sąlygų gerinimo fondu, Europos darbo institucija ir Eurostatu; ragina tirti ir nustatyti tolesnę sinergiją, kad būtų padidintas veiksmingumas ir sumažintos išlaidos;</w:t>
      </w:r>
    </w:p>
    <w:p w:rsidR="00E9329A" w:rsidRPr="00224206" w:rsidRDefault="00E9329A" w:rsidP="00E9329A">
      <w:pPr>
        <w:pStyle w:val="Normal12Hanging"/>
        <w:tabs>
          <w:tab w:val="left" w:pos="567"/>
        </w:tabs>
        <w:rPr>
          <w:szCs w:val="24"/>
        </w:rPr>
      </w:pPr>
      <w:r w:rsidRPr="00224206">
        <w:t>11.</w:t>
      </w:r>
      <w:r w:rsidRPr="00224206">
        <w:tab/>
        <w:t>remdamasis Agentūros atsakymais į Parlamento raštu pateiktus klausimus, pažymi, kad Agentūra ėmėsi iniciatyvų, kad padidintų savo veiksmingumą ir naudą automatizuodama pasikartojančias užduotis, parengdama dabartinių veiklos procesų aprašą ir juos pertvarkydama, persvarstydama organizacinę struktūrą, kad būtų geriau panaudoti esami ištekliai, sistemingiau steigdama bendradarbiavimo platformas, supaprastindama taisykles ir procedūras, taikomas finansinių ir žmogiškųjų išteklių valdymui, taip pat atlikdama kokybinius pastangų didinti veiksmingumą vertinimus;</w:t>
      </w:r>
    </w:p>
    <w:p w:rsidR="00E9329A" w:rsidRPr="00224206" w:rsidRDefault="00E9329A" w:rsidP="00E9329A">
      <w:pPr>
        <w:pStyle w:val="NormalHanging12a"/>
      </w:pPr>
      <w:r w:rsidRPr="00224206">
        <w:t>12.</w:t>
      </w:r>
      <w:r w:rsidRPr="00224206">
        <w:tab/>
        <w:t>palankiai vertina tai, kad 2022 m. Agentūra toliau automatizavo ir racionalizavo žmogiškųjų išteklių valdymo procesus, be kita ko, išplėsdama sistemos SYSPER naudojimą; atsižvelgdamas į tai pažymi, kad Agentūra pradėjo taikyti naują įdarbinimo priemonę, kad palengvintų atranką ir užtikrintų patogesnes naudoti sistemas kandidatams ir žmogiškųjų išteklių srities darbuotojams, ir įdiegė papildomas duomenų priemones, kad automatizuotų darbo užmokesčio tvarkymo aspektus; taip pat pažymi, kad Agentūra jau pradėjo taikyti Komisijos elektroninio archyvavimo ir įrašų valdymo sistemą (ARES), kuri padėjo integruoti priemonę „EU Sign“, sudarančią galimybę naudoti kvalifikuotą elektroninį parašą; palankiai vertina tai, kad buvo užbaigtas pasirengimas 2023 m. įdiegti Komisijos viešųjų pirkimų valdymo priemonę (e. viešieji pirkimai);</w:t>
      </w:r>
    </w:p>
    <w:p w:rsidR="00E9329A" w:rsidRPr="00224206" w:rsidRDefault="00E9329A" w:rsidP="00E9329A">
      <w:pPr>
        <w:pStyle w:val="NormalHanging12a"/>
      </w:pPr>
      <w:r w:rsidRPr="00224206">
        <w:t>13.</w:t>
      </w:r>
      <w:r w:rsidRPr="00224206">
        <w:tab/>
        <w:t>atkreipia dėmesį į Agentūros požiūrį „nuveikti daugiau mažesniais ištekliais“, kuriuo vadovaujantis jau sutaupyta 350 000 EUR ir tikimasi, kad 200 000 EUR bus sutaupyta dėl vidaus išteklių naudojimo kuriant naujas IT taikomąsias programas ir naujas debesija grindžiamas technologija, kurios padėjo Agentūrai toliau optimizuoti savo IT infrastruktūrą; pažymi, kad Agentūra taip pat siekia efektyvaus savo išteklių naudojimo, be kita ko, perimdama Komisijos taikomąsias programas, mažindama pastatų šildymo temperatūrą, taikydama bepopieres procedūras finansų ir sutarčių sudarymo srityje ir mažindama pašto ir kurjerių paslaugų mastą; ragina Agentūrą dalytis geriausia patirtimi šioje srityje pasitelkiant bendradarbiavimo su kitomis ES decentralizuotomis agentūromis kanalus;</w:t>
      </w:r>
    </w:p>
    <w:p w:rsidR="00E9329A" w:rsidRPr="00224206" w:rsidRDefault="00E9329A" w:rsidP="00E9329A">
      <w:pPr>
        <w:pStyle w:val="Normal12Hanging"/>
        <w:tabs>
          <w:tab w:val="left" w:pos="567"/>
        </w:tabs>
        <w:rPr>
          <w:szCs w:val="24"/>
        </w:rPr>
      </w:pPr>
      <w:r w:rsidRPr="00224206">
        <w:t>14.</w:t>
      </w:r>
      <w:r w:rsidRPr="00224206">
        <w:tab/>
        <w:t xml:space="preserve">remdamasis Audito Rūmų ataskaita pažymi, kad Agentūra nėra viena iš agentūrų, kurios yra parengusios organizacijos planus, kad pagerintų savo veiklos energijos vartojimo efektyvumą ir padidintų poveikio klimatui neutralumą, į savo metines veiklos ataskaitas įtraukusios tam tikros formos aplinkosaugos ataskaitas ir gavusios EMAS registraciją; </w:t>
      </w:r>
      <w:r w:rsidRPr="00224206">
        <w:lastRenderedPageBreak/>
        <w:t>vis dėlto, remdamasis Agentūros atsakymais į Parlamento raštu pateiktus klausimus, pažymi, kad EMAS sertifikavimas numatytas Agentūrai persikėlus į savo naujas patalpas, kurios taip pat turi atitikti Europos žaliojo kurso reikalavimus; palankiai vertina tai, kad Agentūra nustatė žaliuosius viešųjų pirkimų kriterijus, susijusius su aplinkosaugos ir socialiniais reikalavimais, ir atrankos bei sutarties skyrimo kriterijus, atsižvelgiant į apribojimus, susijusius su faktu, kad Agentūra daugiausia perka paslaugas;</w:t>
      </w:r>
    </w:p>
    <w:p w:rsidR="00E9329A" w:rsidRPr="00224206" w:rsidRDefault="00E9329A" w:rsidP="00E9329A">
      <w:pPr>
        <w:pStyle w:val="NormalHanging12a"/>
        <w:tabs>
          <w:tab w:val="left" w:pos="567"/>
        </w:tabs>
        <w:rPr>
          <w:b/>
          <w:i/>
          <w:szCs w:val="24"/>
        </w:rPr>
      </w:pPr>
      <w:r w:rsidRPr="00224206">
        <w:rPr>
          <w:b/>
          <w:i/>
        </w:rPr>
        <w:t>Personalo politika</w:t>
      </w:r>
    </w:p>
    <w:p w:rsidR="00E9329A" w:rsidRPr="00224206" w:rsidRDefault="00E9329A" w:rsidP="00E9329A">
      <w:pPr>
        <w:pStyle w:val="Normal12Hanging"/>
        <w:tabs>
          <w:tab w:val="left" w:pos="567"/>
        </w:tabs>
        <w:rPr>
          <w:szCs w:val="24"/>
        </w:rPr>
      </w:pPr>
      <w:r w:rsidRPr="00224206">
        <w:t>15.</w:t>
      </w:r>
      <w:r w:rsidRPr="00224206">
        <w:tab/>
        <w:t>pažymi, kad 2022 m. gruodžio 31 d. etatų planas buvo įvykdytas 94 proc.: paskirti 68 iš 72 laikinųjų darbuotojų, patvirtintų pagal Sąjungos biudžetą (patvirtintų pareigybių skaičius toks pat, kaip ir 2021 m.); be to, pažymi, kad 2022 m. Agentūroje dirbo 28,4 sutartininkų (etato ekvivalentais) bei 9 deleguotieji nacionaliniai ekspertai (etato ekvivalentais) (įskaitant vieną nacionalinį ekspertą be apmokėjimo); pažymi, kad 2022 m. darbuotojų kaita buvo maža (1,9 proc.); be to, pažymi, kad 2022 m. Agentūra toliau automatizavo ir racionalizavo žmogiškųjų išteklių valdymo procesus, kad būtų užtikrintas didesnis veiksmingumas;</w:t>
      </w:r>
    </w:p>
    <w:p w:rsidR="00E9329A" w:rsidRPr="00224206" w:rsidRDefault="00E9329A" w:rsidP="00E9329A">
      <w:pPr>
        <w:pStyle w:val="Normal12Hanging"/>
        <w:tabs>
          <w:tab w:val="left" w:pos="567"/>
        </w:tabs>
      </w:pPr>
      <w:r w:rsidRPr="00224206">
        <w:t>16.</w:t>
      </w:r>
      <w:r w:rsidRPr="00224206">
        <w:tab/>
        <w:t>puikiai vertina lyčių pusiausvyrą tarp Agentūros vyresniosios ir vidurinės grandies vadovybės narių: 3 vyrai (50 proc.) ir 3 moterys (50 proc.) vykdomojoje taryboje, 33 moterys tarp 65 valdančiosios tarybos narių (58 proc.) ir 57 moterys tarp 105 Agentūros bendrojo personalo narių (51 proc.); pažymi, kad lyčių pusiausvyra yra vienas iš pagrindinių Agentūros tikslų nediskriminavimo srityje, kuriam ypatingą dėmesį savo veikloje toliau skiria Agentūros organai, pvz., Lygybės ir įvairovės grupė, kuri siekia skatinti nediskriminavimą dėl lyties, kiek tai susiję su visais žmogiškųjų išteklių procesų Agentūroje aspektais;</w:t>
      </w:r>
    </w:p>
    <w:p w:rsidR="00E9329A" w:rsidRPr="00224206" w:rsidRDefault="00E9329A" w:rsidP="00E9329A">
      <w:pPr>
        <w:pStyle w:val="NormalHanging12a"/>
      </w:pPr>
      <w:r w:rsidRPr="00224206">
        <w:t>17.</w:t>
      </w:r>
      <w:r w:rsidRPr="00224206">
        <w:tab/>
        <w:t>atkreipia dėmesį į tai, kad 2022 m. spalio 1 d. Agentūroje dirbo darbuotojai iš 23 valstybių narių; palankiai vertina Agentūros pastangas užtikrinti geografinę pusiausvyrą; pažymi, kad įgyvendinant Agentūros lygių galimybių ir nediskriminavimo strategiją vienas iš pagrindinių žmogiškųjų išteklių procesų, pvz., įdarbinimo ir atrankos, tikslų yra įvairovės, įskaitant geografinę pusiausvyrą, skatinimas;</w:t>
      </w:r>
    </w:p>
    <w:p w:rsidR="00E9329A" w:rsidRPr="00224206" w:rsidRDefault="00E9329A" w:rsidP="00E9329A">
      <w:pPr>
        <w:pStyle w:val="Normal12Hanging"/>
        <w:tabs>
          <w:tab w:val="left" w:pos="567"/>
        </w:tabs>
        <w:rPr>
          <w:szCs w:val="24"/>
        </w:rPr>
      </w:pPr>
      <w:r w:rsidRPr="00224206">
        <w:t>18.</w:t>
      </w:r>
      <w:r w:rsidRPr="00224206">
        <w:tab/>
        <w:t>pažymi, kad Agentūra ėmėsi kelių asmenims su negalia integruoti skirtų priemonių, sudarydama tinkamas sąlygas, geriau pritaikydama savo patalpas, kad palengvintų prieinamumą, suteikdama išimtinį leidimą dirbti nuotoliniu būdu ir organizuodama reguliarius darbuotojų informuotumo apie negalią mokymus; palankiai vertina Agentūros pastangas pritraukti kandidatus su negalia, kad jie teiktų paraiškas dėl stažuočių; pažymi, kad Agentūra taip pat rengia paramos asmenims su negalia politiką;</w:t>
      </w:r>
    </w:p>
    <w:p w:rsidR="00E9329A" w:rsidRPr="00224206" w:rsidRDefault="00E9329A" w:rsidP="00E9329A">
      <w:pPr>
        <w:pStyle w:val="Normal12Hanging"/>
        <w:tabs>
          <w:tab w:val="left" w:pos="567"/>
        </w:tabs>
        <w:rPr>
          <w:szCs w:val="24"/>
        </w:rPr>
      </w:pPr>
      <w:r w:rsidRPr="00224206">
        <w:t>19.</w:t>
      </w:r>
      <w:r w:rsidRPr="00224206">
        <w:tab/>
        <w:t>pažymi, kad Agentūra rėmė savo darbuotojų gerovę teikdama psichologinės paramos paslaugas, skatindama fizinį aktyvumą pagal 2022 m. priimtą naują programą, pagal kurią teikiamas finansinis įnašas už narystę sporte, ir perimdama Komisijos taisykles dėl mišraus darbo;</w:t>
      </w:r>
    </w:p>
    <w:p w:rsidR="00E9329A" w:rsidRPr="00224206" w:rsidRDefault="00E9329A" w:rsidP="00E9329A">
      <w:pPr>
        <w:pStyle w:val="Normal12Hanging"/>
        <w:tabs>
          <w:tab w:val="left" w:pos="567"/>
        </w:tabs>
        <w:rPr>
          <w:szCs w:val="24"/>
        </w:rPr>
      </w:pPr>
      <w:r w:rsidRPr="00224206">
        <w:rPr>
          <w:b/>
          <w:i/>
        </w:rPr>
        <w:t>Interesų konfliktų prevencija ir valdymas, taip pat skaidrumas</w:t>
      </w:r>
    </w:p>
    <w:p w:rsidR="00E9329A" w:rsidRPr="00224206" w:rsidRDefault="00E9329A" w:rsidP="00E9329A">
      <w:pPr>
        <w:pStyle w:val="NormalHanging12a"/>
        <w:tabs>
          <w:tab w:val="left" w:pos="567"/>
        </w:tabs>
        <w:rPr>
          <w:szCs w:val="24"/>
        </w:rPr>
      </w:pPr>
      <w:r w:rsidRPr="00224206">
        <w:t>20.</w:t>
      </w:r>
      <w:r w:rsidRPr="00224206">
        <w:tab/>
        <w:t xml:space="preserve">pažymi, kad valdančiosios tarybos narių ir vadovybės narių gyvenimo aprašymai ir interesų deklaracijos skelbiami Agentūros interneto svetainėje; remdamasis Agentūros tolesnių veiksmų ataskaita pažymi, kad Agentūra priėmė sprendimą savo interneto </w:t>
      </w:r>
      <w:r w:rsidRPr="00224206">
        <w:lastRenderedPageBreak/>
        <w:t>svetainėje nebeskelbti informacijos apie vidaus ekspertus;</w:t>
      </w:r>
    </w:p>
    <w:p w:rsidR="00E9329A" w:rsidRPr="00224206" w:rsidRDefault="00E9329A" w:rsidP="00E9329A">
      <w:pPr>
        <w:pStyle w:val="NormalHanging12a"/>
        <w:tabs>
          <w:tab w:val="left" w:pos="567"/>
        </w:tabs>
        <w:rPr>
          <w:szCs w:val="24"/>
        </w:rPr>
      </w:pPr>
      <w:r w:rsidRPr="00224206">
        <w:t>21.</w:t>
      </w:r>
      <w:r w:rsidRPr="00224206">
        <w:tab/>
        <w:t>palankiai vertina 2022 m. Agentūros atliktą visų darbuotojų interesų deklaracijų peržiūrą ir (arba) atnaujinimą, po kurių buvo pateiktos kelios prevencinės rekomendacijos; be to, pažymi, kad Agentūra rengia privalomus darbuotojų mokymus etikos ir sąžiningumo klausimais ir teikia išorės veiklos vertinimo gaires; pažymi, kad, kalbant apie stebėseną, kaip buvę Agentūros darbuotojai laikosi taikytinų sprendimų „sukamųjų durų“ reiškinio ir susijusių apribojimų klausimais, Agentūra vertina galimybę atlikti atsitiktinę kontrolę; ragina Agentūrą informuoti biudžeto įvykdymą tvirtinančią instituciją apie pažangą, padarytą šioje srityje;</w:t>
      </w:r>
    </w:p>
    <w:p w:rsidR="00E9329A" w:rsidRPr="00224206" w:rsidRDefault="00E9329A" w:rsidP="00E9329A">
      <w:pPr>
        <w:pStyle w:val="NormalHanging12a"/>
        <w:tabs>
          <w:tab w:val="left" w:pos="567"/>
        </w:tabs>
        <w:rPr>
          <w:szCs w:val="24"/>
        </w:rPr>
      </w:pPr>
      <w:r w:rsidRPr="00224206">
        <w:t>22.</w:t>
      </w:r>
      <w:r w:rsidRPr="00224206">
        <w:tab/>
        <w:t>pažymi, kad 2022 m. Agentūra nustatė galimą riziką, kad gali kilti numanomas valdančiosios tarybos nario interesų konfliktas, susijęs su Agentūros pasirašyta ir EEE ir Norvegijos dotacijų iniciatyvos finansuojama projekto sutartimi; pažymi, kad atlikus vertinimą padaryta išvada, jog dėl minėtos padėties nekyla faktinis interesų konfliktas; vis dėlto palankiai vertina priemones, kurių imtasi siekiant sumažinti tokią riziką, įskaitant prašymą prieš kitą valdančiosios tarybos posėdį atnaujinti atitinkamo valdančiosios tarybos nario interesų deklaraciją, taip pat prašyti, kad tas narys susilaikytų priimant bet kokį valdančiosios tarybos sprendimą dėl atitinkamo projekto;</w:t>
      </w:r>
    </w:p>
    <w:p w:rsidR="00E9329A" w:rsidRPr="00224206" w:rsidRDefault="00E9329A" w:rsidP="00E9329A">
      <w:pPr>
        <w:pStyle w:val="Normal12Hanging"/>
        <w:tabs>
          <w:tab w:val="left" w:pos="567"/>
        </w:tabs>
        <w:rPr>
          <w:b/>
          <w:i/>
          <w:szCs w:val="24"/>
        </w:rPr>
      </w:pPr>
      <w:r w:rsidRPr="00224206">
        <w:rPr>
          <w:b/>
          <w:i/>
        </w:rPr>
        <w:t>Vidaus kontrolė</w:t>
      </w:r>
    </w:p>
    <w:p w:rsidR="00E9329A" w:rsidRPr="00224206" w:rsidRDefault="00E9329A" w:rsidP="00E9329A">
      <w:pPr>
        <w:pStyle w:val="NormalHanging12a"/>
        <w:tabs>
          <w:tab w:val="left" w:pos="567"/>
        </w:tabs>
        <w:rPr>
          <w:szCs w:val="24"/>
        </w:rPr>
      </w:pPr>
      <w:r w:rsidRPr="00224206">
        <w:t>23.</w:t>
      </w:r>
      <w:r w:rsidRPr="00224206">
        <w:tab/>
        <w:t>pažymi, kad 2022 m. Agentūra įvertino savo vidaus kontrolės sistemas ir padarė išvadą, kad jos yra veiksmingos, komponentai ir principai nustatyti ir apskritai veikia gerai, o kai kurie nedideli trūkumai susiję su 5, 13 ir 14 principais dėl būtinybės laiku parengti karjeros raidos ataskaitas, taip pat dėl poreikio tobulinti vidaus ir išorės komunikacijos srities suinteresuotųjų subjektų valdymo strategiją;</w:t>
      </w:r>
    </w:p>
    <w:p w:rsidR="00E9329A" w:rsidRPr="00224206" w:rsidRDefault="00E9329A" w:rsidP="00E9329A">
      <w:pPr>
        <w:pStyle w:val="NormalHanging12a"/>
        <w:tabs>
          <w:tab w:val="left" w:pos="567"/>
        </w:tabs>
        <w:rPr>
          <w:szCs w:val="24"/>
        </w:rPr>
      </w:pPr>
      <w:r w:rsidRPr="00224206">
        <w:t>24.</w:t>
      </w:r>
      <w:r w:rsidRPr="00224206">
        <w:tab/>
        <w:t>pažymi, kad šiuo metu įgyvendinamas veiksmų planas, susijęs su 2021 m. atnaujinta Agentūros kovos su sukčiavimu strategija, ir jame nagrinėjami visi jame numatyti veiksmai, įskaitant specialų sukčiavimo rizikos vertinimą, darbuotojų informuotumo apie sukčiavimo prevenciją ir informavimo apie pažeidimus taisykles didinimą ir savalaikį teisinės sistemos atnaujinimą;</w:t>
      </w:r>
    </w:p>
    <w:p w:rsidR="00E9329A" w:rsidRPr="00224206" w:rsidRDefault="00E9329A" w:rsidP="00E9329A">
      <w:pPr>
        <w:pStyle w:val="Normal12Hanging"/>
        <w:tabs>
          <w:tab w:val="left" w:pos="567"/>
        </w:tabs>
        <w:rPr>
          <w:b/>
          <w:i/>
          <w:szCs w:val="24"/>
        </w:rPr>
      </w:pPr>
      <w:r w:rsidRPr="00224206">
        <w:rPr>
          <w:b/>
          <w:i/>
        </w:rPr>
        <w:t>Kitos pastabos</w:t>
      </w:r>
    </w:p>
    <w:p w:rsidR="00E9329A" w:rsidRPr="00224206" w:rsidRDefault="00E9329A" w:rsidP="00E9329A">
      <w:pPr>
        <w:pStyle w:val="Normal12Hanging"/>
        <w:tabs>
          <w:tab w:val="left" w:pos="567"/>
        </w:tabs>
        <w:rPr>
          <w:szCs w:val="24"/>
        </w:rPr>
      </w:pPr>
      <w:r w:rsidRPr="00224206">
        <w:t>25.</w:t>
      </w:r>
      <w:r w:rsidRPr="00224206">
        <w:tab/>
        <w:t>palankiai vertina Agentūros pastangas didinti savo matomumą visuomenėje ir veiklą internete; palankiai vertina pagerėjusius rodiklius, susijusius su Agentūros naudojimusi įvairiomis socialinės žiniasklaidos platformomis 2022 m.; pažymi, kad 2022 m. Agentūra parengė socialinės žiniasklaidos kampaniją „Mūsų duomenys – tavo sąjungininkai“, siekdama informuoti jaunus žmones apie su jaunimu susijusius duomenis, kuriuos jie gali naudoti gindami savo interesus; taip pat pažymi, kad 2022 m. Agentūra, bendradarbiaudama su Tarybai pirmininkavusia Prancūzija, Komisijos ir Parlamento ryšių biurais Prancūzijoje ir Paryžiaus miestu, surengė arba dalyvavo bendrai organizuojant 134 susitikimus ir renginius, įskaitant praktinius seminarus ir internetinius seminarus, bei ketvirtąjį dialogą pagrindinių teisių klausimais Paryžiuje, taip pat surengė pirmą tokio pobūdžio žmogaus teisių srities lyderių ir ekspertų susitikimą su apgyvendinimu tema „Žmogaus teisės – Europos ateities pagrindas“, kuriame dalyvavo 60 įvairių suinteresuotųjų subjektų;</w:t>
      </w:r>
    </w:p>
    <w:p w:rsidR="00E9329A" w:rsidRPr="00224206" w:rsidRDefault="00E9329A" w:rsidP="00E9329A">
      <w:pPr>
        <w:pStyle w:val="NormalCenter12a"/>
      </w:pPr>
      <w:r w:rsidRPr="00224206">
        <w:t>°</w:t>
      </w:r>
    </w:p>
    <w:p w:rsidR="00E9329A" w:rsidRPr="00224206" w:rsidRDefault="00E9329A" w:rsidP="00E9329A">
      <w:pPr>
        <w:pStyle w:val="NormalCenter12a"/>
      </w:pPr>
      <w:r w:rsidRPr="00224206">
        <w:lastRenderedPageBreak/>
        <w:t>°</w:t>
      </w:r>
      <w:r w:rsidRPr="00224206">
        <w:tab/>
        <w:t>°</w:t>
      </w:r>
    </w:p>
    <w:p w:rsidR="00E365E1" w:rsidRPr="00224206" w:rsidRDefault="00E9329A" w:rsidP="00367D1E">
      <w:pPr>
        <w:ind w:left="567" w:hanging="567"/>
      </w:pPr>
      <w:r w:rsidRPr="00224206">
        <w:t>26.</w:t>
      </w:r>
      <w:r w:rsidRPr="00224206">
        <w:tab/>
        <w:t xml:space="preserve">pažymi, kad kitos su sprendimu dėl biudžeto įvykdymo patvirtinimo susijusios pastabos, kurios yra horizontaliojo pobūdžio, pateikiamos jo </w:t>
      </w:r>
      <w:r w:rsidR="00A51204" w:rsidRPr="00224206">
        <w:t>20</w:t>
      </w:r>
      <w:r w:rsidR="00E6607D" w:rsidRPr="00224206">
        <w:t xml:space="preserve">24 m. </w:t>
      </w:r>
      <w:r w:rsidR="00A51204" w:rsidRPr="00224206">
        <w:t>balandžio 11</w:t>
      </w:r>
      <w:r w:rsidRPr="00224206">
        <w:t> d. rezoliucijoje</w:t>
      </w:r>
      <w:r w:rsidRPr="00224206">
        <w:rPr>
          <w:rStyle w:val="FootnoteReference"/>
        </w:rPr>
        <w:footnoteReference w:id="13"/>
      </w:r>
      <w:r w:rsidRPr="00224206">
        <w:t xml:space="preserve"> dėl agentūrų veiklos, finansų valdymo ir kontrolės.</w:t>
      </w:r>
      <w:bookmarkStart w:id="11" w:name="TextBodyEnd"/>
      <w:bookmarkEnd w:id="11"/>
    </w:p>
    <w:sectPr w:rsidR="00E365E1" w:rsidRPr="00224206" w:rsidSect="00332C29">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607D" w:rsidRPr="00332C29" w:rsidRDefault="00E6607D">
      <w:r w:rsidRPr="00332C29">
        <w:separator/>
      </w:r>
    </w:p>
  </w:endnote>
  <w:endnote w:type="continuationSeparator" w:id="0">
    <w:p w:rsidR="00E6607D" w:rsidRPr="00332C29" w:rsidRDefault="00E6607D">
      <w:r w:rsidRPr="00332C2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329A" w:rsidRPr="00332C29" w:rsidRDefault="00E9329A" w:rsidP="00D06DDC">
    <w:pPr>
      <w:pStyle w:val="EPFooter"/>
    </w:pPr>
    <w:r w:rsidRPr="00332C29">
      <w:t>PE</w:t>
    </w:r>
    <w:r w:rsidRPr="00332C29">
      <w:rPr>
        <w:rStyle w:val="HideTWBExt"/>
      </w:rPr>
      <w:t>&lt;NoPE&gt;</w:t>
    </w:r>
    <w:r w:rsidRPr="00332C29">
      <w:t>753.542</w:t>
    </w:r>
    <w:r w:rsidRPr="00332C29">
      <w:rPr>
        <w:rStyle w:val="HideTWBExt"/>
      </w:rPr>
      <w:t>&lt;/NoPE&gt;&lt;Version&gt;</w:t>
    </w:r>
    <w:r w:rsidRPr="00332C29">
      <w:t>v02-00</w:t>
    </w:r>
    <w:r w:rsidRPr="00332C29">
      <w:rPr>
        <w:rStyle w:val="HideTWBExt"/>
      </w:rPr>
      <w:t>&lt;/Version&gt;</w:t>
    </w:r>
    <w:r w:rsidRPr="00332C29">
      <w:tab/>
    </w:r>
    <w:r w:rsidRPr="00332C29">
      <w:fldChar w:fldCharType="begin"/>
    </w:r>
    <w:r w:rsidRPr="00332C29">
      <w:instrText xml:space="preserve"> PAGE  \* MERGEFORMAT </w:instrText>
    </w:r>
    <w:r w:rsidRPr="00332C29">
      <w:fldChar w:fldCharType="separate"/>
    </w:r>
    <w:r w:rsidR="00332C29" w:rsidRPr="00332C29">
      <w:rPr>
        <w:noProof/>
      </w:rPr>
      <w:t>4</w:t>
    </w:r>
    <w:r w:rsidRPr="00332C29">
      <w:fldChar w:fldCharType="end"/>
    </w:r>
    <w:r w:rsidRPr="00332C29">
      <w:t>/</w:t>
    </w:r>
    <w:r w:rsidR="002E243E">
      <w:fldChar w:fldCharType="begin"/>
    </w:r>
    <w:r w:rsidR="002E243E">
      <w:instrText xml:space="preserve"> NUMPAGES  \* MERGEFORMAT </w:instrText>
    </w:r>
    <w:r w:rsidR="002E243E">
      <w:fldChar w:fldCharType="separate"/>
    </w:r>
    <w:r w:rsidR="00332C29" w:rsidRPr="00332C29">
      <w:rPr>
        <w:noProof/>
      </w:rPr>
      <w:t>6</w:t>
    </w:r>
    <w:r w:rsidR="002E243E">
      <w:rPr>
        <w:noProof/>
      </w:rPr>
      <w:fldChar w:fldCharType="end"/>
    </w:r>
    <w:r w:rsidRPr="00332C29">
      <w:tab/>
    </w:r>
    <w:r w:rsidRPr="00332C29">
      <w:rPr>
        <w:rStyle w:val="HideTWBExt"/>
      </w:rPr>
      <w:t>&lt;PathFdR&gt;</w:t>
    </w:r>
    <w:r w:rsidRPr="00332C29">
      <w:t>RR\1298898LT.docx</w:t>
    </w:r>
    <w:r w:rsidRPr="00332C29">
      <w:rPr>
        <w:rStyle w:val="HideTWBExt"/>
      </w:rPr>
      <w:t>&lt;/PathFdR&gt;</w:t>
    </w:r>
  </w:p>
  <w:p w:rsidR="00E9329A" w:rsidRPr="00332C29" w:rsidRDefault="00E9329A" w:rsidP="00D06DDC">
    <w:pPr>
      <w:pStyle w:val="EPFooter2"/>
    </w:pPr>
    <w:r w:rsidRPr="00332C29">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329A" w:rsidRPr="00332C29" w:rsidRDefault="00E9329A" w:rsidP="00D06DDC">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329A" w:rsidRPr="00332C29" w:rsidRDefault="00E9329A" w:rsidP="00D06DDC">
    <w:pPr>
      <w:pStyle w:val="EPFooter"/>
    </w:pPr>
    <w:r w:rsidRPr="00332C29">
      <w:rPr>
        <w:rStyle w:val="HideTWBExt"/>
      </w:rPr>
      <w:t>&lt;PathFdR&gt;</w:t>
    </w:r>
    <w:r w:rsidRPr="00332C29">
      <w:t>RR\1298898LT.docx</w:t>
    </w:r>
    <w:r w:rsidRPr="00332C29">
      <w:rPr>
        <w:rStyle w:val="HideTWBExt"/>
      </w:rPr>
      <w:t>&lt;/PathFdR&gt;</w:t>
    </w:r>
    <w:r w:rsidRPr="00332C29">
      <w:tab/>
    </w:r>
    <w:r w:rsidRPr="00332C29">
      <w:tab/>
      <w:t>PE</w:t>
    </w:r>
    <w:r w:rsidRPr="00332C29">
      <w:rPr>
        <w:rStyle w:val="HideTWBExt"/>
      </w:rPr>
      <w:t>&lt;NoPE&gt;</w:t>
    </w:r>
    <w:r w:rsidRPr="00332C29">
      <w:t>753.542</w:t>
    </w:r>
    <w:r w:rsidRPr="00332C29">
      <w:rPr>
        <w:rStyle w:val="HideTWBExt"/>
      </w:rPr>
      <w:t>&lt;/NoPE&gt;&lt;Version&gt;</w:t>
    </w:r>
    <w:r w:rsidRPr="00332C29">
      <w:t>v02-00</w:t>
    </w:r>
    <w:r w:rsidRPr="00332C29">
      <w:rPr>
        <w:rStyle w:val="HideTWBExt"/>
      </w:rPr>
      <w:t>&lt;/Version&gt;</w:t>
    </w:r>
  </w:p>
  <w:p w:rsidR="00E9329A" w:rsidRPr="00332C29" w:rsidRDefault="00E9329A" w:rsidP="00D06DDC">
    <w:pPr>
      <w:pStyle w:val="EPFooter2"/>
    </w:pPr>
    <w:r w:rsidRPr="00332C29">
      <w:t>LT</w:t>
    </w:r>
    <w:r w:rsidRPr="00332C29">
      <w:tab/>
    </w:r>
    <w:r w:rsidRPr="00332C29">
      <w:rPr>
        <w:b w:val="0"/>
        <w:i/>
        <w:color w:val="C0C0C0"/>
        <w:sz w:val="22"/>
      </w:rPr>
      <w:t>Suvienijusi įvairovę</w:t>
    </w:r>
    <w:r w:rsidRPr="00332C29">
      <w:tab/>
      <w:t>LT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32C29"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32C29"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32C2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607D" w:rsidRPr="00332C29" w:rsidRDefault="00E6607D">
      <w:r w:rsidRPr="00332C29">
        <w:separator/>
      </w:r>
    </w:p>
  </w:footnote>
  <w:footnote w:type="continuationSeparator" w:id="0">
    <w:p w:rsidR="00E6607D" w:rsidRPr="00332C29" w:rsidRDefault="00E6607D">
      <w:r w:rsidRPr="00332C29">
        <w:continuationSeparator/>
      </w:r>
    </w:p>
  </w:footnote>
  <w:footnote w:id="1">
    <w:p w:rsidR="00E9329A" w:rsidRPr="00332C29" w:rsidRDefault="00E9329A" w:rsidP="00332C29">
      <w:pPr>
        <w:pStyle w:val="FootnoteText"/>
        <w:ind w:left="567" w:hanging="567"/>
        <w:rPr>
          <w:sz w:val="24"/>
          <w:lang w:val="lt-LT"/>
        </w:rPr>
      </w:pPr>
      <w:r w:rsidRPr="00332C29">
        <w:rPr>
          <w:rStyle w:val="FootnoteReference"/>
          <w:sz w:val="24"/>
          <w:lang w:val="lt-LT"/>
        </w:rPr>
        <w:footnoteRef/>
      </w:r>
      <w:r w:rsidR="00332C29" w:rsidRPr="00332C29">
        <w:rPr>
          <w:sz w:val="24"/>
          <w:lang w:val="lt-LT"/>
        </w:rPr>
        <w:t xml:space="preserve"> </w:t>
      </w:r>
      <w:r w:rsidR="00332C29" w:rsidRPr="00332C29">
        <w:rPr>
          <w:sz w:val="24"/>
          <w:lang w:val="lt-LT"/>
        </w:rPr>
        <w:tab/>
      </w:r>
      <w:r w:rsidRPr="00332C29">
        <w:rPr>
          <w:sz w:val="24"/>
          <w:lang w:val="lt-LT"/>
        </w:rPr>
        <w:t>OL C, C/2023/594, 2023 10 27.</w:t>
      </w:r>
    </w:p>
  </w:footnote>
  <w:footnote w:id="2">
    <w:p w:rsidR="00E9329A" w:rsidRPr="00332C29" w:rsidRDefault="00E9329A" w:rsidP="00332C29">
      <w:pPr>
        <w:pStyle w:val="FootnoteText"/>
        <w:ind w:left="567" w:hanging="567"/>
        <w:rPr>
          <w:sz w:val="24"/>
          <w:lang w:val="lt-LT"/>
        </w:rPr>
      </w:pPr>
      <w:r w:rsidRPr="00332C29">
        <w:rPr>
          <w:rStyle w:val="FootnoteReference"/>
          <w:sz w:val="24"/>
          <w:lang w:val="lt-LT"/>
        </w:rPr>
        <w:footnoteRef/>
      </w:r>
      <w:r w:rsidR="00332C29" w:rsidRPr="00332C29">
        <w:rPr>
          <w:sz w:val="24"/>
          <w:lang w:val="lt-LT"/>
        </w:rPr>
        <w:t xml:space="preserve"> </w:t>
      </w:r>
      <w:r w:rsidR="00332C29" w:rsidRPr="00332C29">
        <w:rPr>
          <w:sz w:val="24"/>
          <w:lang w:val="lt-LT"/>
        </w:rPr>
        <w:tab/>
      </w:r>
      <w:r w:rsidRPr="00332C29">
        <w:rPr>
          <w:sz w:val="24"/>
          <w:lang w:val="lt-LT"/>
        </w:rPr>
        <w:t>OL C, C/2023/112, 2023 10 12.</w:t>
      </w:r>
    </w:p>
  </w:footnote>
  <w:footnote w:id="3">
    <w:p w:rsidR="00E9329A" w:rsidRPr="00332C29" w:rsidRDefault="00E9329A" w:rsidP="00332C29">
      <w:pPr>
        <w:pStyle w:val="FootnoteText"/>
        <w:ind w:left="567" w:hanging="567"/>
        <w:rPr>
          <w:sz w:val="24"/>
          <w:lang w:val="lt-LT"/>
        </w:rPr>
      </w:pPr>
      <w:r w:rsidRPr="00332C29">
        <w:rPr>
          <w:rStyle w:val="FootnoteReference"/>
          <w:sz w:val="24"/>
          <w:lang w:val="lt-LT"/>
        </w:rPr>
        <w:footnoteRef/>
      </w:r>
      <w:r w:rsidR="00332C29" w:rsidRPr="00332C29">
        <w:rPr>
          <w:sz w:val="24"/>
          <w:lang w:val="lt-LT"/>
        </w:rPr>
        <w:t xml:space="preserve"> </w:t>
      </w:r>
      <w:r w:rsidR="00332C29" w:rsidRPr="00332C29">
        <w:rPr>
          <w:sz w:val="24"/>
          <w:lang w:val="lt-LT"/>
        </w:rPr>
        <w:tab/>
      </w:r>
      <w:r w:rsidRPr="00332C29">
        <w:rPr>
          <w:sz w:val="24"/>
          <w:lang w:val="lt-LT"/>
        </w:rPr>
        <w:t>OL L 193, 2018 7 30, p. 1.</w:t>
      </w:r>
    </w:p>
  </w:footnote>
  <w:footnote w:id="4">
    <w:p w:rsidR="00E9329A" w:rsidRPr="00332C29" w:rsidRDefault="00E9329A" w:rsidP="00332C29">
      <w:pPr>
        <w:pStyle w:val="FootnoteText"/>
        <w:ind w:left="567" w:hanging="567"/>
        <w:rPr>
          <w:sz w:val="24"/>
          <w:lang w:val="lt-LT"/>
        </w:rPr>
      </w:pPr>
      <w:r w:rsidRPr="00332C29">
        <w:rPr>
          <w:rStyle w:val="FootnoteReference"/>
          <w:sz w:val="24"/>
          <w:lang w:val="lt-LT"/>
        </w:rPr>
        <w:footnoteRef/>
      </w:r>
      <w:r w:rsidR="00332C29" w:rsidRPr="00332C29">
        <w:rPr>
          <w:sz w:val="24"/>
          <w:lang w:val="lt-LT"/>
        </w:rPr>
        <w:t xml:space="preserve"> </w:t>
      </w:r>
      <w:r w:rsidR="00332C29" w:rsidRPr="00332C29">
        <w:rPr>
          <w:sz w:val="24"/>
          <w:lang w:val="lt-LT"/>
        </w:rPr>
        <w:tab/>
      </w:r>
      <w:r w:rsidRPr="00332C29">
        <w:rPr>
          <w:sz w:val="24"/>
          <w:lang w:val="lt-LT"/>
        </w:rPr>
        <w:t>OL L 53, 2007 2 22, p. 1.</w:t>
      </w:r>
    </w:p>
  </w:footnote>
  <w:footnote w:id="5">
    <w:p w:rsidR="00E9329A" w:rsidRPr="00332C29" w:rsidRDefault="00E9329A" w:rsidP="00332C29">
      <w:pPr>
        <w:pStyle w:val="FootnoteText"/>
        <w:ind w:left="567" w:hanging="567"/>
        <w:rPr>
          <w:sz w:val="24"/>
          <w:szCs w:val="24"/>
          <w:lang w:val="lt-LT"/>
        </w:rPr>
      </w:pPr>
      <w:r w:rsidRPr="00332C29">
        <w:rPr>
          <w:rStyle w:val="FootnoteReference"/>
          <w:sz w:val="24"/>
          <w:lang w:val="lt-LT"/>
        </w:rPr>
        <w:footnoteRef/>
      </w:r>
      <w:r w:rsidR="00332C29" w:rsidRPr="00332C29">
        <w:rPr>
          <w:sz w:val="24"/>
          <w:lang w:val="lt-LT"/>
        </w:rPr>
        <w:t xml:space="preserve"> </w:t>
      </w:r>
      <w:r w:rsidR="00332C29" w:rsidRPr="00332C29">
        <w:rPr>
          <w:sz w:val="24"/>
          <w:lang w:val="lt-LT"/>
        </w:rPr>
        <w:tab/>
      </w:r>
      <w:r w:rsidRPr="00332C29">
        <w:rPr>
          <w:sz w:val="24"/>
          <w:lang w:val="lt-LT"/>
        </w:rPr>
        <w:t>OL L 122, 2019 5 10, p. 1.</w:t>
      </w:r>
    </w:p>
  </w:footnote>
  <w:footnote w:id="6">
    <w:p w:rsidR="00E9329A" w:rsidRPr="00332C29" w:rsidRDefault="00E9329A" w:rsidP="00332C29">
      <w:pPr>
        <w:pStyle w:val="FootnoteText"/>
        <w:ind w:left="567" w:hanging="567"/>
        <w:rPr>
          <w:sz w:val="24"/>
          <w:lang w:val="lt-LT"/>
        </w:rPr>
      </w:pPr>
      <w:r w:rsidRPr="00332C29">
        <w:rPr>
          <w:rStyle w:val="FootnoteReference"/>
          <w:sz w:val="24"/>
          <w:lang w:val="lt-LT"/>
        </w:rPr>
        <w:footnoteRef/>
      </w:r>
      <w:r w:rsidR="00332C29" w:rsidRPr="00332C29">
        <w:rPr>
          <w:sz w:val="24"/>
          <w:lang w:val="lt-LT"/>
        </w:rPr>
        <w:t xml:space="preserve"> </w:t>
      </w:r>
      <w:r w:rsidR="00332C29" w:rsidRPr="00332C29">
        <w:rPr>
          <w:sz w:val="24"/>
          <w:lang w:val="lt-LT"/>
        </w:rPr>
        <w:tab/>
      </w:r>
      <w:r w:rsidRPr="00332C29">
        <w:rPr>
          <w:sz w:val="24"/>
          <w:lang w:val="lt-LT"/>
        </w:rPr>
        <w:t>OL C, C/2023/594, 2023 10 27.</w:t>
      </w:r>
    </w:p>
  </w:footnote>
  <w:footnote w:id="7">
    <w:p w:rsidR="00E9329A" w:rsidRPr="00332C29" w:rsidRDefault="00E9329A" w:rsidP="00332C29">
      <w:pPr>
        <w:pStyle w:val="FootnoteText"/>
        <w:ind w:left="567" w:hanging="567"/>
        <w:rPr>
          <w:sz w:val="24"/>
          <w:lang w:val="lt-LT"/>
        </w:rPr>
      </w:pPr>
      <w:r w:rsidRPr="00332C29">
        <w:rPr>
          <w:rStyle w:val="FootnoteReference"/>
          <w:sz w:val="24"/>
          <w:lang w:val="lt-LT"/>
        </w:rPr>
        <w:footnoteRef/>
      </w:r>
      <w:r w:rsidR="00332C29" w:rsidRPr="00332C29">
        <w:rPr>
          <w:sz w:val="24"/>
          <w:lang w:val="lt-LT"/>
        </w:rPr>
        <w:t xml:space="preserve"> </w:t>
      </w:r>
      <w:r w:rsidR="00332C29" w:rsidRPr="00332C29">
        <w:rPr>
          <w:sz w:val="24"/>
          <w:lang w:val="lt-LT"/>
        </w:rPr>
        <w:tab/>
      </w:r>
      <w:r w:rsidRPr="00332C29">
        <w:rPr>
          <w:sz w:val="24"/>
          <w:lang w:val="lt-LT"/>
        </w:rPr>
        <w:t>OL C, C/2023/112, 2023 10 12.</w:t>
      </w:r>
    </w:p>
  </w:footnote>
  <w:footnote w:id="8">
    <w:p w:rsidR="00E9329A" w:rsidRPr="00332C29" w:rsidRDefault="00E9329A" w:rsidP="00332C29">
      <w:pPr>
        <w:pStyle w:val="FootnoteText"/>
        <w:ind w:left="567" w:hanging="567"/>
        <w:rPr>
          <w:sz w:val="24"/>
          <w:lang w:val="lt-LT"/>
        </w:rPr>
      </w:pPr>
      <w:r w:rsidRPr="00332C29">
        <w:rPr>
          <w:rStyle w:val="FootnoteReference"/>
          <w:sz w:val="24"/>
          <w:lang w:val="lt-LT"/>
        </w:rPr>
        <w:footnoteRef/>
      </w:r>
      <w:r w:rsidR="00332C29" w:rsidRPr="00332C29">
        <w:rPr>
          <w:sz w:val="24"/>
          <w:lang w:val="lt-LT"/>
        </w:rPr>
        <w:t xml:space="preserve"> </w:t>
      </w:r>
      <w:r w:rsidR="00332C29" w:rsidRPr="00332C29">
        <w:rPr>
          <w:sz w:val="24"/>
          <w:lang w:val="lt-LT"/>
        </w:rPr>
        <w:tab/>
      </w:r>
      <w:r w:rsidRPr="00332C29">
        <w:rPr>
          <w:sz w:val="24"/>
          <w:lang w:val="lt-LT"/>
        </w:rPr>
        <w:t>OL L 193, 2018 7 30, p. 1.</w:t>
      </w:r>
    </w:p>
  </w:footnote>
  <w:footnote w:id="9">
    <w:p w:rsidR="00E9329A" w:rsidRPr="00332C29" w:rsidRDefault="00E9329A" w:rsidP="00332C29">
      <w:pPr>
        <w:pStyle w:val="FootnoteText"/>
        <w:ind w:left="567" w:hanging="567"/>
        <w:rPr>
          <w:sz w:val="24"/>
          <w:lang w:val="lt-LT"/>
        </w:rPr>
      </w:pPr>
      <w:r w:rsidRPr="00332C29">
        <w:rPr>
          <w:rStyle w:val="FootnoteReference"/>
          <w:sz w:val="24"/>
          <w:lang w:val="lt-LT"/>
        </w:rPr>
        <w:footnoteRef/>
      </w:r>
      <w:r w:rsidR="00332C29" w:rsidRPr="00332C29">
        <w:rPr>
          <w:sz w:val="24"/>
          <w:lang w:val="lt-LT"/>
        </w:rPr>
        <w:t xml:space="preserve"> </w:t>
      </w:r>
      <w:r w:rsidR="00332C29" w:rsidRPr="00332C29">
        <w:rPr>
          <w:sz w:val="24"/>
          <w:lang w:val="lt-LT"/>
        </w:rPr>
        <w:tab/>
      </w:r>
      <w:r w:rsidRPr="00332C29">
        <w:rPr>
          <w:sz w:val="24"/>
          <w:lang w:val="lt-LT"/>
        </w:rPr>
        <w:t>OL L 53, 2007 2 22, p. 1.</w:t>
      </w:r>
    </w:p>
  </w:footnote>
  <w:footnote w:id="10">
    <w:p w:rsidR="00E9329A" w:rsidRPr="00332C29" w:rsidRDefault="00E9329A" w:rsidP="00332C29">
      <w:pPr>
        <w:pStyle w:val="FootnoteText"/>
        <w:ind w:left="567" w:hanging="567"/>
        <w:rPr>
          <w:sz w:val="24"/>
          <w:szCs w:val="24"/>
          <w:lang w:val="lt-LT"/>
        </w:rPr>
      </w:pPr>
      <w:r w:rsidRPr="00332C29">
        <w:rPr>
          <w:rStyle w:val="FootnoteReference"/>
          <w:sz w:val="24"/>
          <w:lang w:val="lt-LT"/>
        </w:rPr>
        <w:footnoteRef/>
      </w:r>
      <w:r w:rsidR="00332C29" w:rsidRPr="00332C29">
        <w:rPr>
          <w:sz w:val="24"/>
          <w:lang w:val="lt-LT"/>
        </w:rPr>
        <w:t xml:space="preserve"> </w:t>
      </w:r>
      <w:r w:rsidR="00332C29" w:rsidRPr="00332C29">
        <w:rPr>
          <w:sz w:val="24"/>
          <w:lang w:val="lt-LT"/>
        </w:rPr>
        <w:tab/>
      </w:r>
      <w:r w:rsidRPr="00332C29">
        <w:rPr>
          <w:sz w:val="24"/>
          <w:lang w:val="lt-LT"/>
        </w:rPr>
        <w:t>OL L 122, 2019 5 10, p. 1.</w:t>
      </w:r>
    </w:p>
  </w:footnote>
  <w:footnote w:id="11">
    <w:p w:rsidR="00E9329A" w:rsidRPr="00332C29" w:rsidRDefault="00E9329A" w:rsidP="00332C29">
      <w:pPr>
        <w:pStyle w:val="FootnoteText"/>
        <w:ind w:left="567" w:hanging="567"/>
        <w:rPr>
          <w:sz w:val="24"/>
          <w:lang w:val="lt-LT"/>
        </w:rPr>
      </w:pPr>
      <w:r w:rsidRPr="00332C29">
        <w:rPr>
          <w:rStyle w:val="FootnoteReference"/>
          <w:sz w:val="24"/>
          <w:lang w:val="lt-LT"/>
        </w:rPr>
        <w:footnoteRef/>
      </w:r>
      <w:r w:rsidR="00332C29" w:rsidRPr="00332C29">
        <w:rPr>
          <w:sz w:val="24"/>
          <w:lang w:val="lt-LT"/>
        </w:rPr>
        <w:t xml:space="preserve"> </w:t>
      </w:r>
      <w:r w:rsidR="00332C29" w:rsidRPr="00332C29">
        <w:rPr>
          <w:sz w:val="24"/>
          <w:lang w:val="lt-LT"/>
        </w:rPr>
        <w:tab/>
      </w:r>
      <w:r w:rsidRPr="00332C29">
        <w:rPr>
          <w:sz w:val="24"/>
          <w:lang w:val="lt-LT"/>
        </w:rPr>
        <w:t>OL C 38, 2023 1 31, p. 189.</w:t>
      </w:r>
    </w:p>
  </w:footnote>
  <w:footnote w:id="12">
    <w:p w:rsidR="00E9329A" w:rsidRPr="00332C29" w:rsidRDefault="00E9329A" w:rsidP="00332C29">
      <w:pPr>
        <w:ind w:left="567" w:hanging="567"/>
      </w:pPr>
      <w:r w:rsidRPr="00332C29">
        <w:rPr>
          <w:rStyle w:val="FootnoteReference"/>
        </w:rPr>
        <w:footnoteRef/>
      </w:r>
      <w:r w:rsidR="00332C29" w:rsidRPr="00332C29">
        <w:t xml:space="preserve"> </w:t>
      </w:r>
      <w:r w:rsidR="00332C29" w:rsidRPr="00332C29">
        <w:tab/>
      </w:r>
      <w:r w:rsidRPr="00332C29">
        <w:t>2001 m. liepos 20 d. Tarybos direktyva 2001/55/EB dėl minimalių normų, suteikiant perkeltiesiems asmenims laikiną apsaugą esant masiniam srautui, ir dėl priemonių, skatinančių valstybių narių tarpusavio pastangų priimant tokius asmenis ir atsakant už tokio veiksmo padarinius pusiausvyrą (OL L 212, 2001 8 7, p. 12).</w:t>
      </w:r>
    </w:p>
  </w:footnote>
  <w:footnote w:id="13">
    <w:p w:rsidR="00E9329A" w:rsidRPr="00332C29" w:rsidRDefault="00E9329A" w:rsidP="00332C29">
      <w:pPr>
        <w:pStyle w:val="FootnoteText"/>
        <w:ind w:left="567" w:hanging="567"/>
        <w:rPr>
          <w:sz w:val="24"/>
          <w:lang w:val="lt-LT"/>
        </w:rPr>
      </w:pPr>
      <w:r w:rsidRPr="00367D1E">
        <w:rPr>
          <w:rStyle w:val="FootnoteReference"/>
          <w:sz w:val="24"/>
          <w:lang w:val="lt-LT"/>
        </w:rPr>
        <w:footnoteRef/>
      </w:r>
      <w:r w:rsidR="00332C29" w:rsidRPr="00367D1E">
        <w:rPr>
          <w:sz w:val="24"/>
          <w:lang w:val="lt-LT"/>
        </w:rPr>
        <w:t xml:space="preserve"> </w:t>
      </w:r>
      <w:r w:rsidR="00332C29" w:rsidRPr="00367D1E">
        <w:rPr>
          <w:sz w:val="24"/>
          <w:lang w:val="lt-LT"/>
        </w:rPr>
        <w:tab/>
      </w:r>
      <w:r w:rsidRPr="00367D1E">
        <w:rPr>
          <w:sz w:val="24"/>
          <w:lang w:val="lt-LT"/>
        </w:rPr>
        <w:t>Priimti tekstai, P9_TA(2024)0</w:t>
      </w:r>
      <w:r w:rsidR="00EF4FBE" w:rsidRPr="00367D1E">
        <w:rPr>
          <w:sz w:val="24"/>
          <w:lang w:val="lt-LT"/>
        </w:rPr>
        <w:t>280</w:t>
      </w:r>
      <w:r w:rsidRPr="00367D1E">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329A" w:rsidRPr="00332C29" w:rsidRDefault="00E932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329A" w:rsidRPr="00332C29" w:rsidRDefault="00E932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329A" w:rsidRPr="00332C29" w:rsidRDefault="00E9329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32C29"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32C29"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32C2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2/2024"/>
    <w:docVar w:name="dvlangue" w:val="LT"/>
    <w:docVar w:name="dvnumam" w:val="0"/>
    <w:docVar w:name="dvpe" w:val="753.542"/>
    <w:docVar w:name="dvrapporteur" w:val="Pranešėjas: "/>
    <w:docVar w:name="dvtitre" w:val="2024 m. balanzio 11 d. Europos Parlamento sprendimas dėl Europos Sąjungos pagrindinių teisių agentūros 2022 finansinių metų biudžeto įvykdymo patvirtinimo(2023/2171(DEC))"/>
  </w:docVars>
  <w:rsids>
    <w:rsidRoot w:val="00E6607D"/>
    <w:rsid w:val="00002272"/>
    <w:rsid w:val="00064002"/>
    <w:rsid w:val="000677B9"/>
    <w:rsid w:val="000831BA"/>
    <w:rsid w:val="00093467"/>
    <w:rsid w:val="000A42CC"/>
    <w:rsid w:val="000E7DD9"/>
    <w:rsid w:val="0010095E"/>
    <w:rsid w:val="00125B37"/>
    <w:rsid w:val="00144156"/>
    <w:rsid w:val="00187494"/>
    <w:rsid w:val="001F32AE"/>
    <w:rsid w:val="00224206"/>
    <w:rsid w:val="002767FF"/>
    <w:rsid w:val="002B18FE"/>
    <w:rsid w:val="002B5493"/>
    <w:rsid w:val="002C7140"/>
    <w:rsid w:val="002E243E"/>
    <w:rsid w:val="00332C29"/>
    <w:rsid w:val="00343214"/>
    <w:rsid w:val="00361C00"/>
    <w:rsid w:val="00367D1E"/>
    <w:rsid w:val="00395FA1"/>
    <w:rsid w:val="003B6EA4"/>
    <w:rsid w:val="003E15D4"/>
    <w:rsid w:val="00411CCE"/>
    <w:rsid w:val="0041666E"/>
    <w:rsid w:val="00421060"/>
    <w:rsid w:val="00471C19"/>
    <w:rsid w:val="004867E3"/>
    <w:rsid w:val="00494A28"/>
    <w:rsid w:val="004C0004"/>
    <w:rsid w:val="004C5D52"/>
    <w:rsid w:val="004F5B30"/>
    <w:rsid w:val="0050519A"/>
    <w:rsid w:val="005072A1"/>
    <w:rsid w:val="00514517"/>
    <w:rsid w:val="00545827"/>
    <w:rsid w:val="00560270"/>
    <w:rsid w:val="005C2568"/>
    <w:rsid w:val="006037C0"/>
    <w:rsid w:val="006631B6"/>
    <w:rsid w:val="00680577"/>
    <w:rsid w:val="006F74FA"/>
    <w:rsid w:val="00711F10"/>
    <w:rsid w:val="00731ADD"/>
    <w:rsid w:val="00734777"/>
    <w:rsid w:val="00747932"/>
    <w:rsid w:val="00751A4A"/>
    <w:rsid w:val="00756632"/>
    <w:rsid w:val="00762C74"/>
    <w:rsid w:val="00786EC0"/>
    <w:rsid w:val="007959D6"/>
    <w:rsid w:val="007D1690"/>
    <w:rsid w:val="007E22AD"/>
    <w:rsid w:val="00817416"/>
    <w:rsid w:val="00842779"/>
    <w:rsid w:val="00865F67"/>
    <w:rsid w:val="00881A7B"/>
    <w:rsid w:val="008840E5"/>
    <w:rsid w:val="00887B3E"/>
    <w:rsid w:val="008B2AFC"/>
    <w:rsid w:val="008C2AC6"/>
    <w:rsid w:val="00930C23"/>
    <w:rsid w:val="0093193B"/>
    <w:rsid w:val="009509D8"/>
    <w:rsid w:val="00950B64"/>
    <w:rsid w:val="00981893"/>
    <w:rsid w:val="009A7B22"/>
    <w:rsid w:val="00A1687D"/>
    <w:rsid w:val="00A43E52"/>
    <w:rsid w:val="00A4678D"/>
    <w:rsid w:val="00A51204"/>
    <w:rsid w:val="00A778C7"/>
    <w:rsid w:val="00AB441E"/>
    <w:rsid w:val="00AB6293"/>
    <w:rsid w:val="00AE0928"/>
    <w:rsid w:val="00AF3B82"/>
    <w:rsid w:val="00B12E95"/>
    <w:rsid w:val="00B22876"/>
    <w:rsid w:val="00B32769"/>
    <w:rsid w:val="00B558F0"/>
    <w:rsid w:val="00BD48FE"/>
    <w:rsid w:val="00BD7BD8"/>
    <w:rsid w:val="00BE6ADC"/>
    <w:rsid w:val="00C05BFE"/>
    <w:rsid w:val="00C05FA1"/>
    <w:rsid w:val="00C23CD4"/>
    <w:rsid w:val="00C61C0C"/>
    <w:rsid w:val="00C941CB"/>
    <w:rsid w:val="00CC2357"/>
    <w:rsid w:val="00CD120F"/>
    <w:rsid w:val="00CF071A"/>
    <w:rsid w:val="00D058B8"/>
    <w:rsid w:val="00D56C11"/>
    <w:rsid w:val="00D834A0"/>
    <w:rsid w:val="00D872DF"/>
    <w:rsid w:val="00D91E21"/>
    <w:rsid w:val="00DA5051"/>
    <w:rsid w:val="00DA7FCD"/>
    <w:rsid w:val="00E365E1"/>
    <w:rsid w:val="00E6607D"/>
    <w:rsid w:val="00E820A4"/>
    <w:rsid w:val="00E9329A"/>
    <w:rsid w:val="00EB006A"/>
    <w:rsid w:val="00EB4772"/>
    <w:rsid w:val="00ED169E"/>
    <w:rsid w:val="00ED4235"/>
    <w:rsid w:val="00EF4FBE"/>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FE50E4"/>
  <w15:chartTrackingRefBased/>
  <w15:docId w15:val="{8765A7BD-F659-424F-8943-A915B3425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9329A"/>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9329A"/>
    <w:pPr>
      <w:spacing w:before="480" w:after="240"/>
    </w:pPr>
  </w:style>
  <w:style w:type="paragraph" w:customStyle="1" w:styleId="PageHeading">
    <w:name w:val="PageHeading"/>
    <w:basedOn w:val="Normal"/>
    <w:rsid w:val="00E9329A"/>
    <w:pPr>
      <w:keepNext/>
      <w:spacing w:after="480"/>
      <w:jc w:val="center"/>
    </w:pPr>
    <w:rPr>
      <w:rFonts w:ascii="Arial" w:hAnsi="Arial" w:cs="Arial"/>
      <w:b/>
    </w:rPr>
  </w:style>
  <w:style w:type="paragraph" w:customStyle="1" w:styleId="NormalBold">
    <w:name w:val="NormalBold"/>
    <w:basedOn w:val="Normal"/>
    <w:rsid w:val="00E9329A"/>
    <w:rPr>
      <w:b/>
    </w:rPr>
  </w:style>
  <w:style w:type="paragraph" w:customStyle="1" w:styleId="NormalHanging12a">
    <w:name w:val="NormalHanging12a"/>
    <w:basedOn w:val="Normal"/>
    <w:link w:val="NormalHanging12aChar"/>
    <w:rsid w:val="00E9329A"/>
    <w:pPr>
      <w:spacing w:after="240"/>
      <w:ind w:left="567" w:hanging="567"/>
    </w:pPr>
  </w:style>
  <w:style w:type="paragraph" w:customStyle="1" w:styleId="NormalCenter12a">
    <w:name w:val="NormalCenter12a"/>
    <w:basedOn w:val="Normal"/>
    <w:rsid w:val="00E9329A"/>
    <w:pPr>
      <w:spacing w:after="240"/>
      <w:jc w:val="center"/>
    </w:pPr>
  </w:style>
  <w:style w:type="paragraph" w:styleId="Header">
    <w:name w:val="header"/>
    <w:basedOn w:val="Normal"/>
    <w:link w:val="HeaderChar"/>
    <w:rsid w:val="00E9329A"/>
    <w:pPr>
      <w:tabs>
        <w:tab w:val="center" w:pos="4513"/>
        <w:tab w:val="right" w:pos="9026"/>
      </w:tabs>
    </w:pPr>
  </w:style>
  <w:style w:type="character" w:customStyle="1" w:styleId="HeaderChar">
    <w:name w:val="Header Char"/>
    <w:basedOn w:val="DefaultParagraphFont"/>
    <w:link w:val="Header"/>
    <w:rsid w:val="00E9329A"/>
    <w:rPr>
      <w:sz w:val="24"/>
      <w:lang w:val="lt-LT"/>
    </w:rPr>
  </w:style>
  <w:style w:type="paragraph" w:customStyle="1" w:styleId="EPFooter">
    <w:name w:val="EPFooter"/>
    <w:basedOn w:val="Normal"/>
    <w:rsid w:val="00E9329A"/>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E9329A"/>
    <w:rPr>
      <w:sz w:val="24"/>
      <w:lang w:val="lt-LT"/>
    </w:rPr>
  </w:style>
  <w:style w:type="paragraph" w:customStyle="1" w:styleId="Normal12Hanging">
    <w:name w:val="Normal12Hanging"/>
    <w:basedOn w:val="Normal"/>
    <w:rsid w:val="00E9329A"/>
    <w:pPr>
      <w:spacing w:after="240"/>
      <w:ind w:left="567" w:hanging="567"/>
    </w:pPr>
  </w:style>
  <w:style w:type="paragraph" w:styleId="BalloonText">
    <w:name w:val="Balloon Text"/>
    <w:basedOn w:val="Normal"/>
    <w:link w:val="BalloonTextChar"/>
    <w:rsid w:val="004F5B30"/>
    <w:rPr>
      <w:rFonts w:ascii="Segoe UI" w:hAnsi="Segoe UI" w:cs="Segoe UI"/>
      <w:sz w:val="18"/>
      <w:szCs w:val="18"/>
    </w:rPr>
  </w:style>
  <w:style w:type="character" w:customStyle="1" w:styleId="BalloonTextChar">
    <w:name w:val="Balloon Text Char"/>
    <w:basedOn w:val="DefaultParagraphFont"/>
    <w:link w:val="BalloonText"/>
    <w:rsid w:val="004F5B30"/>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4A7694-794A-4217-93E3-279DC8BC67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3201</Words>
  <Characters>22102</Characters>
  <Application>Microsoft Office Word</Application>
  <DocSecurity>0</DocSecurity>
  <Lines>184</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BINKEVICIUTE Aurelija</cp:lastModifiedBy>
  <cp:revision>2</cp:revision>
  <cp:lastPrinted>2004-11-19T15:42:00Z</cp:lastPrinted>
  <dcterms:created xsi:type="dcterms:W3CDTF">2024-05-14T20:40:00Z</dcterms:created>
  <dcterms:modified xsi:type="dcterms:W3CDTF">2024-05-14T20:40:00Z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P9_TA(2024)0240_</vt:lpwstr>
  </property>
  <property fmtid="{D5CDD505-2E9C-101B-9397-08002B2CF9AE}" pid="4" name="&lt;Type&gt;">
    <vt:lpwstr>RR</vt:lpwstr>
  </property>
</Properties>
</file>