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C4A09" w:rsidRPr="008E5ABC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C4A09" w:rsidRPr="008E5ABC" w:rsidRDefault="008E5ABC">
            <w:pPr>
              <w:pStyle w:val="EPName"/>
            </w:pPr>
            <w:r w:rsidRPr="008E5ABC">
              <w:t>Európsky parlament</w:t>
            </w:r>
          </w:p>
          <w:p w:rsidR="007C4A09" w:rsidRPr="008E5ABC" w:rsidRDefault="008E5ABC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5AB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C4A09" w:rsidRPr="008E5ABC" w:rsidRDefault="008E5ABC">
            <w:pPr>
              <w:pStyle w:val="EPLogo"/>
            </w:pPr>
            <w:r w:rsidRPr="008E5AB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4A09" w:rsidRPr="008E5ABC" w:rsidRDefault="007C4A09">
      <w:pPr>
        <w:pStyle w:val="LineTop"/>
      </w:pPr>
    </w:p>
    <w:p w:rsidR="007C4A09" w:rsidRPr="008E5ABC" w:rsidRDefault="008E5ABC">
      <w:pPr>
        <w:pStyle w:val="EPBodyTA1"/>
      </w:pPr>
      <w:r w:rsidRPr="008E5ABC">
        <w:t>PRIJATÉ TEXTY</w:t>
      </w:r>
    </w:p>
    <w:p w:rsidR="007C4A09" w:rsidRPr="008E5ABC" w:rsidRDefault="007C4A09">
      <w:pPr>
        <w:pStyle w:val="LineBottom"/>
      </w:pPr>
    </w:p>
    <w:p w:rsidR="007C4A09" w:rsidRPr="008E5ABC" w:rsidRDefault="008E5ABC">
      <w:pPr>
        <w:pStyle w:val="ATHeading1"/>
      </w:pPr>
      <w:bookmarkStart w:id="0" w:name="TANumber"/>
      <w:r w:rsidRPr="008E5ABC">
        <w:t>P9_TA(2024)0</w:t>
      </w:r>
      <w:r w:rsidR="002D6A38" w:rsidRPr="008E5ABC">
        <w:t>24</w:t>
      </w:r>
      <w:bookmarkEnd w:id="0"/>
      <w:r w:rsidR="00682CF2">
        <w:t>0</w:t>
      </w:r>
    </w:p>
    <w:p w:rsidR="007C4A09" w:rsidRPr="008E5ABC" w:rsidRDefault="008E5ABC">
      <w:pPr>
        <w:pStyle w:val="ATHeading2"/>
      </w:pPr>
      <w:bookmarkStart w:id="1" w:name="title"/>
      <w:r w:rsidRPr="008E5ABC">
        <w:t>Absolutórium za rok 2022: Agentúra Európskej únie pre základné práva</w:t>
      </w:r>
      <w:bookmarkEnd w:id="1"/>
    </w:p>
    <w:p w:rsidR="007C4A09" w:rsidRPr="008E5ABC" w:rsidRDefault="008E5ABC">
      <w:pPr>
        <w:rPr>
          <w:i/>
          <w:vanish/>
        </w:rPr>
      </w:pPr>
      <w:r w:rsidRPr="008E5ABC">
        <w:rPr>
          <w:i/>
        </w:rPr>
        <w:fldChar w:fldCharType="begin"/>
      </w:r>
      <w:r w:rsidRPr="008E5ABC">
        <w:rPr>
          <w:i/>
        </w:rPr>
        <w:instrText xml:space="preserve"> TC"(</w:instrText>
      </w:r>
      <w:bookmarkStart w:id="2" w:name="DocNumber"/>
      <w:r w:rsidRPr="008E5ABC">
        <w:rPr>
          <w:i/>
        </w:rPr>
        <w:instrText>A9-0112/2024</w:instrText>
      </w:r>
      <w:bookmarkEnd w:id="2"/>
      <w:r w:rsidRPr="008E5ABC">
        <w:rPr>
          <w:i/>
        </w:rPr>
        <w:instrText xml:space="preserve"> - Spravodajca: </w:instrText>
      </w:r>
      <w:proofErr w:type="spellStart"/>
      <w:r w:rsidRPr="008E5ABC">
        <w:rPr>
          <w:i/>
        </w:rPr>
        <w:instrText>Petri</w:instrText>
      </w:r>
      <w:proofErr w:type="spellEnd"/>
      <w:r w:rsidRPr="008E5ABC">
        <w:rPr>
          <w:i/>
        </w:rPr>
        <w:instrText xml:space="preserve"> </w:instrText>
      </w:r>
      <w:proofErr w:type="spellStart"/>
      <w:r w:rsidRPr="008E5ABC">
        <w:rPr>
          <w:i/>
        </w:rPr>
        <w:instrText>Sarvamaa</w:instrText>
      </w:r>
      <w:proofErr w:type="spellEnd"/>
      <w:r w:rsidRPr="008E5ABC">
        <w:rPr>
          <w:i/>
        </w:rPr>
        <w:instrText xml:space="preserve">)"\l3 \n&gt; \* MERGEFORMAT </w:instrText>
      </w:r>
      <w:r w:rsidRPr="008E5ABC">
        <w:rPr>
          <w:i/>
        </w:rPr>
        <w:fldChar w:fldCharType="end"/>
      </w:r>
    </w:p>
    <w:p w:rsidR="007C4A09" w:rsidRPr="008E5ABC" w:rsidRDefault="008E5ABC">
      <w:pPr>
        <w:rPr>
          <w:vanish/>
        </w:rPr>
      </w:pPr>
      <w:bookmarkStart w:id="3" w:name="Commission"/>
      <w:r w:rsidRPr="008E5ABC">
        <w:rPr>
          <w:vanish/>
        </w:rPr>
        <w:t>Výbor pre kontrolu rozpočtu</w:t>
      </w:r>
      <w:bookmarkEnd w:id="3"/>
    </w:p>
    <w:p w:rsidR="007C4A09" w:rsidRPr="008E5ABC" w:rsidRDefault="008E5ABC">
      <w:pPr>
        <w:rPr>
          <w:vanish/>
        </w:rPr>
      </w:pPr>
      <w:bookmarkStart w:id="4" w:name="PE"/>
      <w:r w:rsidRPr="008E5ABC">
        <w:rPr>
          <w:vanish/>
        </w:rPr>
        <w:t>PE753.542</w:t>
      </w:r>
      <w:bookmarkEnd w:id="4"/>
    </w:p>
    <w:p w:rsidR="007C4A09" w:rsidRPr="008E5ABC" w:rsidRDefault="008E5ABC">
      <w:pPr>
        <w:pStyle w:val="ATHeading3"/>
      </w:pPr>
      <w:bookmarkStart w:id="5" w:name="Sujet"/>
      <w:r w:rsidRPr="008E5ABC">
        <w:t>1. Rozhodnutie Európskeho parlamentu z 11. apríla 2024 o absolutóriu za plnenie rozpočtu Agentúry Európskej únie pre základné práva za rozpočtový rok 2022</w:t>
      </w:r>
      <w:bookmarkEnd w:id="5"/>
      <w:r w:rsidRPr="008E5ABC">
        <w:t xml:space="preserve"> </w:t>
      </w:r>
      <w:bookmarkStart w:id="6" w:name="References"/>
      <w:r w:rsidRPr="008E5ABC">
        <w:t>(2023/2171(DEC))</w:t>
      </w:r>
      <w:bookmarkEnd w:id="6"/>
    </w:p>
    <w:p w:rsidR="007C4A09" w:rsidRPr="008E5ABC" w:rsidRDefault="008E5ABC">
      <w:pPr>
        <w:pStyle w:val="EPComma"/>
      </w:pPr>
      <w:bookmarkStart w:id="7" w:name="TextBodyBegin"/>
      <w:bookmarkEnd w:id="7"/>
      <w:r w:rsidRPr="008E5ABC">
        <w:rPr>
          <w:i/>
        </w:rPr>
        <w:t>Európsky parlament</w:t>
      </w:r>
      <w:r w:rsidRPr="008E5ABC">
        <w:t>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konečnú ročnú účtovnú závierku Agentúry Európskej únie pre základné práva za rozpočtový rok 2022,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výročnú správu Dvora audítorov o agentúrach EÚ za rozpočtový rok 2022 spolu s odpoveďami agentúr</w:t>
      </w:r>
      <w:r w:rsidRPr="008E5ABC">
        <w:rPr>
          <w:rStyle w:val="FootnoteReference"/>
        </w:rPr>
        <w:footnoteReference w:id="1"/>
      </w:r>
      <w:r w:rsidRPr="008E5ABC">
        <w:t>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vyhlásenie o vierohodnosti</w:t>
      </w:r>
      <w:r w:rsidRPr="008E5ABC">
        <w:rPr>
          <w:rStyle w:val="FootnoteReference"/>
        </w:rPr>
        <w:footnoteReference w:id="2"/>
      </w:r>
      <w:r w:rsidRPr="008E5ABC">
        <w:t xml:space="preserve"> vedenia účtov a zákonnosti a správnosti príslušných operácií, ktoré poskytol Dvor audítorov za rozpočtový rok 2022 v súlade s článkom 287 Zmluvy o fungovaní Európskej únie,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odporúčanie Rady z 22. februára 2024 o udelení absolutória agentúre za plnenie rozpočtu za rozpočtový rok 2022 (06180/2024 – C9</w:t>
      </w:r>
      <w:r w:rsidRPr="008E5ABC">
        <w:noBreakHyphen/>
        <w:t>0109/2024),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článok 319 Zmluvy o fungovaní Európskej únie,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 xml:space="preserve">so zreteľom na nariadenie Európskeho parlamentu a Rady (EÚ, </w:t>
      </w:r>
      <w:proofErr w:type="spellStart"/>
      <w:r w:rsidRPr="008E5ABC">
        <w:t>Euratom</w:t>
      </w:r>
      <w:proofErr w:type="spellEnd"/>
      <w:r w:rsidRPr="008E5ABC"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8E5ABC">
        <w:t>Euratom</w:t>
      </w:r>
      <w:proofErr w:type="spellEnd"/>
      <w:r w:rsidRPr="008E5ABC">
        <w:t>) č. 966/2012</w:t>
      </w:r>
      <w:r w:rsidRPr="008E5ABC">
        <w:rPr>
          <w:rStyle w:val="FootnoteReference"/>
        </w:rPr>
        <w:footnoteReference w:id="3"/>
      </w:r>
      <w:r w:rsidRPr="008E5ABC">
        <w:t>, a najmä na jeho článok 70,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nariadenie Rady (ES) č. 168/2007 z 15. februára 2007, ktorým sa zriaďuje Agentúra Európskej únie pre základné práva</w:t>
      </w:r>
      <w:r w:rsidRPr="008E5ABC">
        <w:rPr>
          <w:rStyle w:val="FootnoteReference"/>
        </w:rPr>
        <w:footnoteReference w:id="4"/>
      </w:r>
      <w:r w:rsidRPr="008E5ABC">
        <w:t>, a najmä na jeho článok 21,</w:t>
      </w:r>
    </w:p>
    <w:p w:rsidR="007C4A09" w:rsidRPr="008E5ABC" w:rsidRDefault="008E5ABC">
      <w:pPr>
        <w:pStyle w:val="NormalHanging12a"/>
      </w:pPr>
      <w:r w:rsidRPr="008E5ABC">
        <w:lastRenderedPageBreak/>
        <w:t>–</w:t>
      </w:r>
      <w:r w:rsidRPr="008E5ABC"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8E5ABC">
        <w:t>Euratome</w:t>
      </w:r>
      <w:proofErr w:type="spellEnd"/>
      <w:r w:rsidRPr="008E5ABC">
        <w:t xml:space="preserve"> a uvedené v článku 70 nariadenia Európskeho parlamentu a Rady (EÚ, </w:t>
      </w:r>
      <w:proofErr w:type="spellStart"/>
      <w:r w:rsidRPr="008E5ABC">
        <w:t>Euratom</w:t>
      </w:r>
      <w:proofErr w:type="spellEnd"/>
      <w:r w:rsidRPr="008E5ABC">
        <w:t>) 2018/1046</w:t>
      </w:r>
      <w:r w:rsidRPr="008E5ABC">
        <w:rPr>
          <w:rStyle w:val="FootnoteReference"/>
        </w:rPr>
        <w:footnoteReference w:id="5"/>
      </w:r>
      <w:r w:rsidRPr="008E5ABC">
        <w:t>, a najmä na jeho článok 105,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článok 100 a prílohu V k rokovaciemu poriadku,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stanovisko Výboru pre občianske slobody, spravodlivosť a vnútorné veci,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správu Výboru pre kontrolu rozpočtu (A9-0112/2024),</w:t>
      </w:r>
    </w:p>
    <w:p w:rsidR="007C4A09" w:rsidRPr="008E5ABC" w:rsidRDefault="008E5ABC">
      <w:pPr>
        <w:pStyle w:val="NormalHanging12a"/>
      </w:pPr>
      <w:r w:rsidRPr="008E5ABC">
        <w:t>1.</w:t>
      </w:r>
      <w:r w:rsidRPr="008E5ABC">
        <w:tab/>
        <w:t>udeľuje absolutórium riaditeľovi Agentúry Európskej únie pre základné práva za plnenie rozpočtu agentúry za rozpočtový rok 2022;</w:t>
      </w:r>
    </w:p>
    <w:p w:rsidR="007C4A09" w:rsidRPr="008E5ABC" w:rsidRDefault="008E5ABC">
      <w:pPr>
        <w:pStyle w:val="NormalHanging12a"/>
      </w:pPr>
      <w:r w:rsidRPr="008E5ABC">
        <w:t>2.</w:t>
      </w:r>
      <w:r w:rsidRPr="008E5ABC">
        <w:tab/>
        <w:t>uvádza svoje poznámky v priloženom uznesení;</w:t>
      </w:r>
    </w:p>
    <w:p w:rsidR="007C4A09" w:rsidRPr="008E5ABC" w:rsidRDefault="008E5ABC">
      <w:pPr>
        <w:pStyle w:val="NormalHanging12a"/>
      </w:pPr>
      <w:r w:rsidRPr="008E5ABC">
        <w:t>3.</w:t>
      </w:r>
      <w:r w:rsidRPr="008E5ABC">
        <w:tab/>
        <w:t xml:space="preserve">poveruje svoju predsedníčku, aby postúpila toto rozhodnutie a uznesenie, ktoré je jeho neoddeliteľnou súčasťou, riaditeľovi Agentúry Európskej únie pre základné práva, Rade, Komisii a Dvoru audítorov a aby zabezpečila ich uverejnenie v </w:t>
      </w:r>
      <w:r w:rsidRPr="008E5ABC">
        <w:rPr>
          <w:i/>
          <w:iCs/>
        </w:rPr>
        <w:t>Úradnom vestníku Európskej únie</w:t>
      </w:r>
      <w:r w:rsidRPr="008E5ABC">
        <w:t xml:space="preserve"> (v sérii L).</w:t>
      </w:r>
    </w:p>
    <w:p w:rsidR="007C4A09" w:rsidRPr="008E5ABC" w:rsidRDefault="007C4A09"/>
    <w:p w:rsidR="007C4A09" w:rsidRPr="008E5ABC" w:rsidRDefault="007C4A09">
      <w:pPr>
        <w:widowControl/>
        <w:rPr>
          <w:rFonts w:ascii="Arial" w:hAnsi="Arial" w:cs="Arial"/>
          <w:b/>
        </w:rPr>
        <w:sectPr w:rsidR="007C4A09" w:rsidRPr="008E5ABC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7C4A09" w:rsidRPr="008E5ABC" w:rsidRDefault="008E5ABC">
      <w:pPr>
        <w:pStyle w:val="NormalBold"/>
      </w:pPr>
      <w:r w:rsidRPr="008E5ABC">
        <w:lastRenderedPageBreak/>
        <w:t>2. Rozhodnutie Európskeho parlamentu z 11. apríla 2024 o účtovnej závierke Agentúry Európskej únie pre základné práva za rozpočtový rok 2022 (2023/2171(DEC))</w:t>
      </w:r>
    </w:p>
    <w:p w:rsidR="007C4A09" w:rsidRPr="008E5ABC" w:rsidRDefault="008E5ABC">
      <w:pPr>
        <w:pStyle w:val="EPComma"/>
      </w:pPr>
      <w:r w:rsidRPr="008E5ABC">
        <w:rPr>
          <w:i/>
        </w:rPr>
        <w:t>Európsky parlament</w:t>
      </w:r>
      <w:r w:rsidRPr="008E5ABC">
        <w:t>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konečnú ročnú účtovnú závierku Agentúry Európskej únie pre základné práva za rozpočtový rok 2022,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výročnú správu Dvora audítorov o agentúrach EÚ za rozpočtový rok 2022 spolu s odpoveďami agentúr</w:t>
      </w:r>
      <w:r w:rsidRPr="008E5ABC">
        <w:rPr>
          <w:rStyle w:val="FootnoteReference"/>
        </w:rPr>
        <w:footnoteReference w:id="6"/>
      </w:r>
      <w:r w:rsidRPr="008E5ABC">
        <w:t>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vyhlásenie o vierohodnosti</w:t>
      </w:r>
      <w:r w:rsidRPr="008E5ABC">
        <w:rPr>
          <w:rStyle w:val="FootnoteReference"/>
        </w:rPr>
        <w:footnoteReference w:id="7"/>
      </w:r>
      <w:r w:rsidRPr="008E5ABC">
        <w:t xml:space="preserve"> vedenia účtov a zákonnosti a správnosti príslušných operácií, ktoré poskytol Dvor audítorov za rozpočtový rok 2022 v súlade s článkom 287 Zmluvy o fungovaní Európskej únie,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odporúčanie Rady z 22. februára 2024 o udelení absolutória agentúre za plnenie rozpočtu za rozpočtový rok 2022 (06180/2024 – C9</w:t>
      </w:r>
      <w:r w:rsidRPr="008E5ABC">
        <w:noBreakHyphen/>
        <w:t>0109/2024),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článok 319 Zmluvy o fungovaní Európskej únie,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 xml:space="preserve">so zreteľom na nariadenie Európskeho parlamentu a Rady (EÚ, </w:t>
      </w:r>
      <w:proofErr w:type="spellStart"/>
      <w:r w:rsidRPr="008E5ABC">
        <w:t>Euratom</w:t>
      </w:r>
      <w:proofErr w:type="spellEnd"/>
      <w:r w:rsidRPr="008E5ABC"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8E5ABC">
        <w:t>Euratom</w:t>
      </w:r>
      <w:proofErr w:type="spellEnd"/>
      <w:r w:rsidRPr="008E5ABC">
        <w:t>) č. 966/2012</w:t>
      </w:r>
      <w:r w:rsidRPr="008E5ABC">
        <w:rPr>
          <w:rStyle w:val="FootnoteReference"/>
        </w:rPr>
        <w:footnoteReference w:id="8"/>
      </w:r>
      <w:r w:rsidRPr="008E5ABC">
        <w:t>, a najmä na jeho článok 70,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nariadenie Rady (ES) č. 168/2007 z 15. februára 2007, ktorým sa zriaďuje Agentúra Európskej únie pre základné práva</w:t>
      </w:r>
      <w:r w:rsidRPr="008E5ABC">
        <w:rPr>
          <w:rStyle w:val="FootnoteReference"/>
        </w:rPr>
        <w:footnoteReference w:id="9"/>
      </w:r>
      <w:r w:rsidRPr="008E5ABC">
        <w:t>, a najmä na jeho článok 21,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 xml:space="preserve">so zreteľom na delegované nariadenie Komisie (EÚ) 2019/715 z 18. decembra 2018 o rámcovom nariadení o rozpočtových pravidlách pre subjekty zriadené podľa ZFEÚ a Zmluvy o </w:t>
      </w:r>
      <w:proofErr w:type="spellStart"/>
      <w:r w:rsidRPr="008E5ABC">
        <w:t>Euratome</w:t>
      </w:r>
      <w:proofErr w:type="spellEnd"/>
      <w:r w:rsidRPr="008E5ABC">
        <w:t xml:space="preserve"> a uvedené v článku 70 nariadenia Európskeho parlamentu a Rady (EÚ, </w:t>
      </w:r>
      <w:proofErr w:type="spellStart"/>
      <w:r w:rsidRPr="008E5ABC">
        <w:t>Euratom</w:t>
      </w:r>
      <w:proofErr w:type="spellEnd"/>
      <w:r w:rsidRPr="008E5ABC">
        <w:t>) 2018/1046</w:t>
      </w:r>
      <w:r w:rsidRPr="008E5ABC">
        <w:rPr>
          <w:rStyle w:val="FootnoteReference"/>
        </w:rPr>
        <w:footnoteReference w:id="10"/>
      </w:r>
      <w:r w:rsidRPr="008E5ABC">
        <w:t>, a najmä na jeho článok 105,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článok 100 a prílohu V k rokovaciemu poriadku,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stanovisko Výboru pre občianske slobody, spravodlivosť a vnútorné veci,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správu Výboru pre kontrolu rozpočtu (A9-0112/2024),</w:t>
      </w:r>
    </w:p>
    <w:p w:rsidR="007C4A09" w:rsidRPr="008E5ABC" w:rsidRDefault="008E5ABC">
      <w:pPr>
        <w:pStyle w:val="NormalHanging12a"/>
      </w:pPr>
      <w:r w:rsidRPr="008E5ABC">
        <w:t>1.</w:t>
      </w:r>
      <w:r w:rsidRPr="008E5ABC">
        <w:tab/>
        <w:t>schvaľuje účtovnú závierku Agentúry Európskej únie pre základné práva za rozpočtový rok 2022;</w:t>
      </w:r>
    </w:p>
    <w:p w:rsidR="007C4A09" w:rsidRPr="008E5ABC" w:rsidRDefault="008E5ABC">
      <w:pPr>
        <w:pStyle w:val="NormalHanging12a"/>
      </w:pPr>
      <w:r w:rsidRPr="008E5ABC">
        <w:t>2.</w:t>
      </w:r>
      <w:r w:rsidRPr="008E5ABC">
        <w:tab/>
        <w:t xml:space="preserve">poveruje svoju predsedníčku, aby postúpila toto rozhodnutie riaditeľovi Agentúry Európskej únie pre základné práva, Rade, Komisii a Dvoru audítorov a aby zabezpečila </w:t>
      </w:r>
      <w:r w:rsidRPr="008E5ABC">
        <w:lastRenderedPageBreak/>
        <w:t xml:space="preserve">jeho uverejnenie v </w:t>
      </w:r>
      <w:r w:rsidRPr="008E5ABC">
        <w:rPr>
          <w:i/>
          <w:iCs/>
        </w:rPr>
        <w:t>Úradnom vestníku Európskej únie</w:t>
      </w:r>
      <w:r w:rsidRPr="008E5ABC">
        <w:t xml:space="preserve"> (v sérii L).</w:t>
      </w:r>
    </w:p>
    <w:p w:rsidR="007C4A09" w:rsidRPr="008E5ABC" w:rsidRDefault="007C4A09"/>
    <w:p w:rsidR="007C4A09" w:rsidRPr="008E5ABC" w:rsidRDefault="007C4A09">
      <w:pPr>
        <w:widowControl/>
        <w:rPr>
          <w:rFonts w:ascii="Arial" w:hAnsi="Arial" w:cs="Arial"/>
          <w:b/>
        </w:rPr>
        <w:sectPr w:rsidR="007C4A09" w:rsidRPr="008E5ABC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7C4A09" w:rsidRPr="008E5ABC" w:rsidRDefault="008E5ABC">
      <w:pPr>
        <w:pStyle w:val="NormalBold"/>
      </w:pPr>
      <w:r w:rsidRPr="008E5ABC">
        <w:lastRenderedPageBreak/>
        <w:t>3. Uznesenia Európskeho parlamentu z 11. apríla 2024 s poznámkami, ktoré je neoddeliteľnou súčasťou rozhodnutia o absolutóriu za plnenie rozpočtu Agentúry Európskej únie pre základné práva za rozpočtový rok 2022 (2023/2171(DEC))</w:t>
      </w:r>
    </w:p>
    <w:p w:rsidR="007C4A09" w:rsidRPr="008E5ABC" w:rsidRDefault="008E5ABC">
      <w:pPr>
        <w:pStyle w:val="EPComma"/>
      </w:pPr>
      <w:r w:rsidRPr="008E5ABC">
        <w:rPr>
          <w:i/>
        </w:rPr>
        <w:t>Európsky parlament</w:t>
      </w:r>
      <w:r w:rsidRPr="008E5ABC">
        <w:t>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svoje rozhodnutie o absolutóriu za plnenie rozpočtu Agentúry Európskej únie pre základné práva za rozpočtový rok 2022,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článok 100 a prílohu V k rokovaciemu poriadku,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stanovisko Výboru pre občianske slobody, spravodlivosť a vnútorné veci,</w:t>
      </w:r>
    </w:p>
    <w:p w:rsidR="007C4A09" w:rsidRPr="008E5ABC" w:rsidRDefault="008E5ABC">
      <w:pPr>
        <w:pStyle w:val="NormalHanging12a"/>
      </w:pPr>
      <w:r w:rsidRPr="008E5ABC">
        <w:t>–</w:t>
      </w:r>
      <w:r w:rsidRPr="008E5ABC">
        <w:tab/>
        <w:t>so zreteľom na správu Výboru pre kontrolu rozpočtu (A9-0112/2024),</w:t>
      </w:r>
    </w:p>
    <w:p w:rsidR="007C4A09" w:rsidRPr="008E5ABC" w:rsidRDefault="008E5ABC">
      <w:pPr>
        <w:pStyle w:val="Normal12Hanging"/>
        <w:rPr>
          <w:szCs w:val="24"/>
        </w:rPr>
      </w:pPr>
      <w:r w:rsidRPr="008E5ABC">
        <w:t>A.</w:t>
      </w:r>
      <w:r w:rsidRPr="008E5ABC">
        <w:tab/>
        <w:t>keďže podľa výkazu príjmov a výdavkov</w:t>
      </w:r>
      <w:r w:rsidRPr="008E5ABC">
        <w:rPr>
          <w:szCs w:val="24"/>
          <w:vertAlign w:val="superscript"/>
        </w:rPr>
        <w:footnoteReference w:id="11"/>
      </w:r>
      <w:r w:rsidRPr="008E5ABC">
        <w:t xml:space="preserve"> konečný rozpočet Agentúry Európskej únie pre základné práva (ďalej len „agentúra“) na rozpočtový rok 2022 predstavoval 25 857 952 EUR, čo v porovnaní s rokom 2021 predstavuje zvýšenie o 4,01 %; keďže rozpočet agentúry pochádza takmer výlučne z rozpočtu Únie;</w:t>
      </w:r>
    </w:p>
    <w:p w:rsidR="007C4A09" w:rsidRPr="008E5ABC" w:rsidRDefault="008E5ABC">
      <w:pPr>
        <w:pStyle w:val="Normal12Hanging"/>
        <w:rPr>
          <w:szCs w:val="24"/>
        </w:rPr>
      </w:pPr>
      <w:r w:rsidRPr="008E5ABC">
        <w:t>B.</w:t>
      </w:r>
      <w:r w:rsidRPr="008E5ABC">
        <w:tab/>
        <w:t>keďže pokiaľ ide o oblasť obstarávania agentúry, v roku 2022 neboli hlásené žiadne problémy, ktoré by si vyžadovali nápravné opatrenia, neprebiehajú žiadne nápravné opatrenia z auditov a posúdení z predchádzajúcich rokov a nie sú žiadne nápravné opatrenia, ktoré by boli nevyriešené;</w:t>
      </w:r>
    </w:p>
    <w:p w:rsidR="007C4A09" w:rsidRPr="008E5ABC" w:rsidRDefault="008E5ABC">
      <w:pPr>
        <w:pStyle w:val="Normal12Hanging"/>
        <w:rPr>
          <w:szCs w:val="24"/>
        </w:rPr>
      </w:pPr>
      <w:r w:rsidRPr="008E5ABC">
        <w:t>C.</w:t>
      </w:r>
      <w:r w:rsidRPr="008E5ABC">
        <w:tab/>
        <w:t>keďže Dvor audítorov vo svojej správe o overení ročnej účtovnej závierky agentúry za rozpočtový rok 2022 (ďalej len „správa Dvora audítorov“) uvádza, že získal primeranú istotu o tom, že ročná účtovná závierka agentúry je spoľahlivá a že príslušné operácie sú zákonné a správne vo všetkých významných aspektoch;</w:t>
      </w:r>
    </w:p>
    <w:p w:rsidR="007C4A09" w:rsidRPr="008E5ABC" w:rsidRDefault="008E5ABC">
      <w:pPr>
        <w:pStyle w:val="Normal12Hanging"/>
        <w:rPr>
          <w:b/>
          <w:i/>
          <w:szCs w:val="24"/>
        </w:rPr>
      </w:pPr>
      <w:r w:rsidRPr="008E5ABC">
        <w:rPr>
          <w:b/>
          <w:i/>
        </w:rPr>
        <w:t>Rozpočtové a finančné riadenie</w:t>
      </w:r>
    </w:p>
    <w:p w:rsidR="007C4A09" w:rsidRPr="008E5ABC" w:rsidRDefault="008E5ABC">
      <w:pPr>
        <w:pStyle w:val="NormalHanging12a"/>
        <w:tabs>
          <w:tab w:val="left" w:pos="567"/>
        </w:tabs>
        <w:rPr>
          <w:szCs w:val="24"/>
        </w:rPr>
      </w:pPr>
      <w:r w:rsidRPr="008E5ABC">
        <w:t>1.</w:t>
      </w:r>
      <w:r w:rsidRPr="008E5ABC">
        <w:tab/>
        <w:t>s uznaním konštatuje, že úsilie o monitorovanie rozpočtu v priebehu rozpočtového roka 2022 prinieslo mieru plnenia viazaných rozpočtových prostriedkov v bežnom roku na úrovni 100,00 % (rovnako ako v roku 2021); konštatuje, že miera plnenia platobných rozpočtových prostriedkov v bežnom roku bola 73,59 %, čo predstavuje mierne zvýšenie o 2,64 % v porovnaní s rokom 2021;</w:t>
      </w:r>
    </w:p>
    <w:p w:rsidR="007C4A09" w:rsidRPr="008E5ABC" w:rsidRDefault="008E5ABC">
      <w:pPr>
        <w:pStyle w:val="NormalHanging12a"/>
        <w:tabs>
          <w:tab w:val="left" w:pos="567"/>
        </w:tabs>
        <w:rPr>
          <w:szCs w:val="24"/>
        </w:rPr>
      </w:pPr>
      <w:r w:rsidRPr="008E5ABC">
        <w:t>2.</w:t>
      </w:r>
      <w:r w:rsidRPr="008E5ABC">
        <w:tab/>
        <w:t>konštatuje, že v roku 2022 boli prijaté tri pozmeňujúce návrhy k rozpočtu, na základe ktorých sa rozpočet agentúry zvýšil o 1 562 781 EUR, pričom išlo o finančné prostriedky prijaté v rámci dohody o spolupráci s Úradom pre finančný mechanizmus EHP, grantov Nórska a dohody o partnerstve s Národným štatistickým úradom Bulharska, gréckym ombudsmanom a rumunskou prokuratúrou, ako aj z dotácií na nájomné získaných od rakúskych orgánov a vnútorných pripísaných príjmov;</w:t>
      </w:r>
    </w:p>
    <w:p w:rsidR="007C4A09" w:rsidRPr="008E5ABC" w:rsidRDefault="008E5ABC">
      <w:pPr>
        <w:pStyle w:val="NormalHanging12a"/>
      </w:pPr>
      <w:r w:rsidRPr="008E5ABC">
        <w:t>3.</w:t>
      </w:r>
      <w:r w:rsidRPr="008E5ABC">
        <w:tab/>
        <w:t xml:space="preserve">so znepokojením berie na vedomie, že podľa správy Dvora audítorov agentúra preniesla 6,4 milióna EUR (26 %) dostupných viazaných rozpočtových prostriedkov z roku 2022 do roku 2023, z toho 5,9 milióna EUR sú rozpočtové prostriedky v rámci hlavy III v </w:t>
      </w:r>
      <w:r w:rsidRPr="008E5ABC">
        <w:lastRenderedPageBreak/>
        <w:t>súvislosti s operačnými výdavkami (74 % v roku 2021); zdôrazňuje, že vysoká miera prenosov je pre agentúru opakujúcim sa problémom, ktorý Dvor audítorov pozoruje už niekoľko rozpočtových rokov za sebou, počnúc rokom 2018; berie na vedomie opätovné stanovisko Dvora audítorov, že vysoká miera prenosov je v rozpore so zásadou ročnej platnosti rozpočtu a naznačuje štrukturálne problémy v rozpočtovom procese a cykle plnenia rozpočtu; na základe odpovede agentúry na pripomienku Dvora audítorov a na základe správy agentúry s názvom Pripomienky Európskeho parlamentu k udeleniu absolutória za rok 2021 Agentúre Európskej únie pre základné práva a opatrenia prijaté agentúrou (správa o opatreniach prijatých agentúrou) berie na vedomie nasledujúce pripomienky k vysokej miere prenosov v súvislosti s prevádzkovými činnosťami agentúry: vzhľadom na špecifický rámec, v ktorom agentúra pracuje, je ťažké viazať operačné výdavky v oveľa skoršej fáze roka; došlo k vylepšeniam nástroja IT MATRIX s cieľom dôkladnejšie monitorovať plnenie rozpočtu a skôr odhadnúť prenosy (prostriedky C8) na nasledujúci rok; plnenie rozpočtu by sa malo posudzovať s prihliadnutím na konečné plnenie, ktoré bolo v posledných 10 rokoch vyššie ako 99 %;  rovnako ako v predchádzajúcich rokoch uznáva, že vysoká miera prenosov tiež odráža povahu hlavnej činnosti agentúry;</w:t>
      </w:r>
    </w:p>
    <w:p w:rsidR="007C4A09" w:rsidRPr="008E5ABC" w:rsidRDefault="008E5ABC">
      <w:pPr>
        <w:pStyle w:val="Normal12Hanging"/>
        <w:tabs>
          <w:tab w:val="left" w:pos="567"/>
        </w:tabs>
        <w:rPr>
          <w:b/>
          <w:i/>
          <w:szCs w:val="24"/>
        </w:rPr>
      </w:pPr>
      <w:r w:rsidRPr="008E5ABC">
        <w:rPr>
          <w:b/>
          <w:i/>
        </w:rPr>
        <w:t>Výkonnosť</w:t>
      </w:r>
    </w:p>
    <w:p w:rsidR="007C4A09" w:rsidRPr="008E5ABC" w:rsidRDefault="008E5ABC">
      <w:pPr>
        <w:pStyle w:val="Normal12Hanging"/>
        <w:tabs>
          <w:tab w:val="left" w:pos="567"/>
        </w:tabs>
        <w:rPr>
          <w:szCs w:val="24"/>
        </w:rPr>
      </w:pPr>
      <w:r w:rsidRPr="008E5ABC">
        <w:t>4.</w:t>
      </w:r>
      <w:r w:rsidRPr="008E5ABC">
        <w:tab/>
        <w:t>s uspokojením konštatuje, že agentúra používa systém 25 kľúčových ukazovateľov výkonnosti (KPI) ako súčasť merania výkonnosti; oceňuje vysokú mieru úspešnosti pri dosahovaní kľúčových ukazovateľov výkonnosti v roku 2022, keď agentúra prekročila takmer všetky ciele stanovené pre jednotlivé kľúčové ukazovatele výkonnosti, udržiavala vysokú mieru spokojnosti zainteresovaných strán, pokiaľ ide o podujatia agentúry a relevantnosť, užitočnosť a spoľahlivosť výstupov agentúry, a prispela k vysokej úrovni porozumenia základným právam a trendom; oceňuje úsilie agentúry, ktoré prispelo k jej úspechom v roku 2022 napriek zmene priorít všetkých prebiehajúcich činností a ľudských a finančných zdrojov a odloženiu a reorganizácii niektorých projektov agentúry;</w:t>
      </w:r>
    </w:p>
    <w:p w:rsidR="007C4A09" w:rsidRPr="008E5ABC" w:rsidRDefault="008E5ABC">
      <w:pPr>
        <w:pStyle w:val="NormalHanging12a"/>
      </w:pPr>
      <w:r w:rsidRPr="008E5ABC">
        <w:t>5.</w:t>
      </w:r>
      <w:r w:rsidRPr="008E5ABC">
        <w:tab/>
        <w:t xml:space="preserve">s uznaním berie na vedomie výkonnosť agentúry, najmä veľké množstvo výstupov zrealizovaných v roku 2022 vrátane publikácií, stretnutí, organizovania podujatí, technickej pomoci a činností v oblasti budovania kapacít, ako aj písomných a ústnych vstupov; berie na vedomie, že v roku 2022 sa na prácu agentúry odkazovalo v 213 publikáciách a v médiách bola spomenutá 4319-krát; oceňuje činnosti agentúry v súvislosti so strategickou prioritou 1 (Identifikácia trendov: zhromažďovanie a analýza porovnateľných údajov a dôkazov), ktoré podľa zainteresovaných strán agentúry boli najrelevantnejšie a mali najväčšiu pridanú hodnotu; v tejto súvislosti berie na vedomie úspechy agentúry v roku 2022, ako je uverejnenie správy s názvom Rómovia v desiatich európskych krajinách, v ktorej sa okrem iného zdôraznili zlepšenia a nedostatky v začleňovaní Rómov, bulletin o azyle a migrácii so zameraním na situáciu v oblasti základných práv ľudí prichádzajúcich do členských štátov a kandidátskych krajín Únie z tretích krajín počas posledného štvrťroku 2021, správa s názvom Algoritmická zaujatosť. Umelá inteligencia a diskriminácia, vďaka ktorej sa agentúra stala prvou medzinárodnou organizáciou pre ľudské práva, ktorá sa okrem iného zaoberala zaujatosťou v algoritmoch, pričom v prvých siedmich dňoch po jej uverejnení sa stala najviac sťahovanou správou agentúry v roku 2022, ako aj správa s názvom Ochrana občianskeho priestoru v EÚ – kľúčové zistenia a stanoviská agentúry FRA, ktorá poskytuje prehľad hlavných otázok občianskeho priestoru v celej Únii; v súvislosti s touto správou oceňuje, že agentúra preukázala svoju schopnosť ovplyvňovať politické a </w:t>
      </w:r>
      <w:r w:rsidRPr="008E5ABC">
        <w:lastRenderedPageBreak/>
        <w:t>legislatívne procesy v oblasti občianskeho priestoru a že bola v roku 2022 zapojená do projektov českého predsedníctva Rady a Komisie na túto tému;</w:t>
      </w:r>
    </w:p>
    <w:p w:rsidR="007C4A09" w:rsidRPr="008E5ABC" w:rsidRDefault="008E5ABC">
      <w:pPr>
        <w:pStyle w:val="NormalHanging12a"/>
      </w:pPr>
      <w:r w:rsidRPr="008E5ABC">
        <w:t>6.</w:t>
      </w:r>
      <w:r w:rsidRPr="008E5ABC">
        <w:tab/>
        <w:t>víta včasnú reakciu agentúry na vznikajúce otázky základných práv, ako je všeobecné usmernenie agentúry uvedené v jej správe o vytvorení nezávislých vnútroštátnych mechanizmov na monitorovanie dodržiavania základných práv na vonkajších hraniciach EÚ, ktoré poskytuje podporu členským štátom pri vytváraní alebo posilňovaní vnútroštátnych mechanizmov na monitorovanie dodržiavania základných práv a zavádzaní záruk na zaistenie nezávislosti mechanizmu; pripomína, že medzinárodné právo vyžaduje nediskriminačné zaobchádzanie so všetkými utečencami;</w:t>
      </w:r>
    </w:p>
    <w:p w:rsidR="007C4A09" w:rsidRPr="008E5ABC" w:rsidRDefault="008E5ABC">
      <w:pPr>
        <w:pStyle w:val="Normal12Hanging"/>
        <w:tabs>
          <w:tab w:val="left" w:pos="567"/>
        </w:tabs>
        <w:rPr>
          <w:szCs w:val="24"/>
        </w:rPr>
      </w:pPr>
      <w:r w:rsidRPr="008E5ABC">
        <w:t>7.</w:t>
      </w:r>
      <w:r w:rsidRPr="008E5ABC">
        <w:tab/>
        <w:t>s uznaním konštatuje, že agentúra urýchlene prijala opatrenia s cieľom reagovať na situáciu v oblasti ľudských práv na Ukrajine po nezákonnej a nevyprovokovanej invázii Ruska, a to prostredníctvom niekoľkých hlavných opatrení, ako je online prieskum o skúsenostiach vysídlených osôb utekajúcich z Ukrajiny, dva bulletiny o dôsledkoch pre základné práva v členských štátoch v súvislosti s vojnou na Ukrajine, uverejnenie tabuľk</w:t>
      </w:r>
      <w:r w:rsidR="00C94D3E">
        <w:t>y o vykonávaní smernice Rady 200</w:t>
      </w:r>
      <w:bookmarkStart w:id="8" w:name="_GoBack"/>
      <w:bookmarkEnd w:id="8"/>
      <w:r w:rsidRPr="008E5ABC">
        <w:t>1/55/ES</w:t>
      </w:r>
      <w:r w:rsidRPr="008E5ABC">
        <w:rPr>
          <w:szCs w:val="24"/>
          <w:vertAlign w:val="superscript"/>
        </w:rPr>
        <w:footnoteReference w:id="12"/>
      </w:r>
      <w:r w:rsidRPr="008E5ABC">
        <w:t xml:space="preserve"> v 16 členských štátoch a projekty zberu údajov o skúsenostiach žien utekajúcich pred vojnou v súvislosti s násilím a iným porušovaním ľudských práv;</w:t>
      </w:r>
    </w:p>
    <w:p w:rsidR="007C4A09" w:rsidRPr="008E5ABC" w:rsidRDefault="008E5ABC">
      <w:pPr>
        <w:pStyle w:val="NormalHanging12a"/>
        <w:ind w:left="560" w:hanging="560"/>
      </w:pPr>
      <w:r w:rsidRPr="008E5ABC">
        <w:t>8.</w:t>
      </w:r>
      <w:r w:rsidRPr="008E5ABC">
        <w:tab/>
        <w:t xml:space="preserve">uznáva úlohu agentúry pri posilňovaní vnútroštátnej infraštruktúry v oblasti ľudských práv prostredníctvom spolupráce a vytvárania synergií s inštitúciami pre ľudské práva a partnerstiev s inštitúciami občianskej spoločnosti; berie na vedomie pokračujúce usmerňovanie agentúry v oblasti azylu a migrácie s pravidelnými prehľadmi otázok, čo sa týka základných práv súvisiacich s migráciou, určenými členským štátom; víta úlohu agentúry pri podpore </w:t>
      </w:r>
      <w:proofErr w:type="spellStart"/>
      <w:r w:rsidRPr="008E5ABC">
        <w:t>naratívu</w:t>
      </w:r>
      <w:proofErr w:type="spellEnd"/>
      <w:r w:rsidRPr="008E5ABC">
        <w:t xml:space="preserve"> založeného na ľudských právach rozvíjaním účinnej komunikácie, zapájaním sa do vývoja nových digitálnych aplikácií a nástrojov a spájaním aktérov v oblasti ľudských práv s cieľom presadzovať európske hodnoty a slobody;</w:t>
      </w:r>
    </w:p>
    <w:p w:rsidR="007C4A09" w:rsidRPr="008E5ABC" w:rsidRDefault="008E5ABC">
      <w:pPr>
        <w:pStyle w:val="NormalHanging12a"/>
      </w:pPr>
      <w:r w:rsidRPr="008E5ABC">
        <w:t>9.</w:t>
      </w:r>
      <w:r w:rsidRPr="008E5ABC">
        <w:tab/>
        <w:t>s veľkým znepokojením konštatuje, že pri monitorovaní situácie v oblasti základných práv a právneho štátu v Maďarsku sa agentúra rozhodla spolupracovať s Národnou univerzitou verejnej služby a Úradom komisára pre základné práva a spoliehať sa na ich informácie, hoci obe inštitúcie v minulosti podporovali zhoršovanie situácie v oblasti základných práv v Maďarsku; konštatuje napríklad, že Komisia vo svojej Správe o právnom štáte 2022 vyjadrila vážne obavy v súvislosti s nezávislosťou maďarského komisára pre základné práva; vyjadruje poľutovanie nad tým, že agentúra sa napriek tomu rozhodla neprehodnotiť spoluprácu s inštitúciami, ktoré v zásade podporujú úpadok demokracie, hoci hlavnou úlohou agentúry by malo byť prispievanie k obrane základných práv, najmä v problematických situáciách, ako je prípad maďarskej vlády; vyzýva agentúru, aby pozastavila spoluprácu s týmito inštitúciami a informovala orgán udeľujúci absolutórium o svojom pokroku v tejto oblasti;</w:t>
      </w:r>
    </w:p>
    <w:p w:rsidR="007C4A09" w:rsidRPr="008E5ABC" w:rsidRDefault="008E5ABC">
      <w:pPr>
        <w:pStyle w:val="Normal12Hanging"/>
        <w:tabs>
          <w:tab w:val="left" w:pos="567"/>
        </w:tabs>
        <w:rPr>
          <w:b/>
          <w:i/>
          <w:szCs w:val="24"/>
        </w:rPr>
      </w:pPr>
      <w:r w:rsidRPr="008E5ABC">
        <w:rPr>
          <w:b/>
          <w:i/>
        </w:rPr>
        <w:t>Efektívnosť a zisky</w:t>
      </w:r>
    </w:p>
    <w:p w:rsidR="007C4A09" w:rsidRPr="008E5ABC" w:rsidRDefault="008E5ABC">
      <w:pPr>
        <w:pStyle w:val="Normal12Hanging"/>
        <w:tabs>
          <w:tab w:val="left" w:pos="567"/>
        </w:tabs>
        <w:rPr>
          <w:szCs w:val="24"/>
        </w:rPr>
      </w:pPr>
      <w:r w:rsidRPr="008E5ABC">
        <w:t>10.</w:t>
      </w:r>
      <w:r w:rsidRPr="008E5ABC">
        <w:tab/>
        <w:t xml:space="preserve">konštatuje, že v roku 2022 agentúra pokračovala v spolupráci so sieťou agentúr v oblasti </w:t>
      </w:r>
      <w:r w:rsidRPr="008E5ABC">
        <w:lastRenderedPageBreak/>
        <w:t xml:space="preserve">spravodlivosti a vnútorných vecí (JHAN) a agentúrami, ktoré ju tvoria, s cieľom riešiť výzvy v ich spoločných oblastiach činnosti, ako je vnútorná bezpečnosť, migrácia, organizovaná trestná činnosť, azyl a hranice, a to tým, že prispievala odbornými znalosťami v oblasti základných práv; v tejto súvislosti berie na vedomie najmä spoluprácu agentúry s Európskym inštitútom pre rodovú rovnosť pri príprave prieskumu o násilí páchanom na ženách, s Agentúrou Európskej únie pre azyl pri preskúmaní niektorých modulov odbornej prípravy a príprave brožúry o dočasnej ochrane opatrovníkov detí bez sprievodu, s Agentúrou Európskej únie pre odbornú prípravu v oblasti presadzovania práva pri sprostredkovaní školení o údajoch o trestných činoch z nenávisti a súvisiacom podávaní správ a s Agentúrou Európskej únie pre justičnú spoluprácu v trestných veciach pri vypracúvaní príručky o počítačovej kriminalite a základných právach; berie na vedomie spoluprácu agentúry s agentúrami a ďalšími subjektmi mimo oblasti JHAN, ako sú Európska nadácia pre zlepšovanie životných a pracovných podmienok, Európsky orgán práce a </w:t>
      </w:r>
      <w:proofErr w:type="spellStart"/>
      <w:r w:rsidRPr="008E5ABC">
        <w:t>Eurostat</w:t>
      </w:r>
      <w:proofErr w:type="spellEnd"/>
      <w:r w:rsidRPr="008E5ABC">
        <w:t>, v roku 2022; nabáda na preskúmanie a určenie ďalších synergií s cieľom zvýšiť efektívnosť a znížiť náklady;</w:t>
      </w:r>
    </w:p>
    <w:p w:rsidR="007C4A09" w:rsidRPr="008E5ABC" w:rsidRDefault="008E5ABC">
      <w:pPr>
        <w:pStyle w:val="Normal12Hanging"/>
        <w:tabs>
          <w:tab w:val="left" w:pos="567"/>
        </w:tabs>
        <w:rPr>
          <w:szCs w:val="24"/>
        </w:rPr>
      </w:pPr>
      <w:r w:rsidRPr="008E5ABC">
        <w:t>11.</w:t>
      </w:r>
      <w:r w:rsidRPr="008E5ABC">
        <w:tab/>
        <w:t>na základe odpovedí agentúry na písomné otázky Európskeho parlamentu konštatuje, že agentúra prijala iniciatívy s cieľom zvýšiť svoju efektívnosť a zisky prostredníctvom automatizácie opakujúcich sa úloh, mapovania a prepracovania súčasných prevádzkových procesov, preskúmania organizačnej štruktúry s cieľom lepšie využívať existujúce zdroje, systematickejšieho zriaďovania platforiem spolupráce, zjednodušenia pravidiel a postupov vzťahujúcich sa na riadenie finančných a ľudských zdrojov, ako aj kvalitatívneho hodnotenia úsilia o zvýšenie efektívnosti;</w:t>
      </w:r>
    </w:p>
    <w:p w:rsidR="007C4A09" w:rsidRPr="008E5ABC" w:rsidRDefault="008E5ABC">
      <w:pPr>
        <w:pStyle w:val="NormalHanging12a"/>
      </w:pPr>
      <w:r w:rsidRPr="008E5ABC">
        <w:t>12.</w:t>
      </w:r>
      <w:r w:rsidRPr="008E5ABC">
        <w:tab/>
        <w:t>víta skutočnosť, že v roku 2022 agentúra pokračovala v automatizácii a zefektívňovaní procesov v oblasti ľudských zdrojov, a to aj rozšírením využívania systému SYSPER; v tejto súvislosti konštatuje, že agentúra spustila nový nástroj pre nábor zamestnancov s cieľom uľahčiť výber zamestnancov a vytvoriť používateľsky ústretovejšie prostredie pre uchádzačov a pre ľudské zdroje a zaviedla ďalšie dátové nástroje na automatizáciu aspektov spracovania miezd; taktiež konštatuje, že agentúra medzitým prijala elektronický systém Komisie na archiváciu a správu záznamov (ARES), ktorý viedol k integrácii riešenia EU SIGN, ktoré umožňuje používanie kvalifikovaného elektronického podpisu; oceňuje dokončenie prípravy na zavedenie nástroja Komisie na riadenie verejného obstarávania (elektronické obstarávanie) v roku 2023;</w:t>
      </w:r>
    </w:p>
    <w:p w:rsidR="007C4A09" w:rsidRPr="008E5ABC" w:rsidRDefault="008E5ABC">
      <w:pPr>
        <w:pStyle w:val="NormalHanging12a"/>
      </w:pPr>
      <w:r w:rsidRPr="008E5ABC">
        <w:t>13.</w:t>
      </w:r>
      <w:r w:rsidRPr="008E5ABC">
        <w:tab/>
        <w:t xml:space="preserve">berie na vedomie prístup agentúry „urobiť viac za menej“ s úsporami vo výške 350 000 EUR, ktoré sa už dosiahli, a 200 000 EUR, ktoré sa majú dosiahnuť v dôsledku využívania interných zdrojov na vývoj nových IT aplikácií a nových technológií založených na </w:t>
      </w:r>
      <w:proofErr w:type="spellStart"/>
      <w:r w:rsidRPr="008E5ABC">
        <w:t>cloude</w:t>
      </w:r>
      <w:proofErr w:type="spellEnd"/>
      <w:r w:rsidRPr="008E5ABC">
        <w:t>, ktoré agentúre pomohli ďalej optimalizovať svoju IT infraštruktúru; konštatuje, že agentúra sa usiluje aj o efektívne využívanie svojich zdrojov tým, že okrem iného prevzala aplikácie Komisie, znižuje teplotu vykurovania budov, využíva bezpapierové postupy v oblasti financií a uzatvárania zmlúv a obmedzuje poštové a kuriérske služby; nabáda agentúru, aby v tejto súvislosti sprostredkúvala najlepšie postupy prostredníctvom svojich kanálov spolupráce s inými decentralizovanými agentúrami EÚ;</w:t>
      </w:r>
    </w:p>
    <w:p w:rsidR="007C4A09" w:rsidRPr="008E5ABC" w:rsidRDefault="008E5ABC">
      <w:pPr>
        <w:pStyle w:val="Normal12Hanging"/>
        <w:tabs>
          <w:tab w:val="left" w:pos="567"/>
        </w:tabs>
        <w:rPr>
          <w:szCs w:val="24"/>
        </w:rPr>
      </w:pPr>
      <w:r w:rsidRPr="008E5ABC">
        <w:t>14.</w:t>
      </w:r>
      <w:r w:rsidRPr="008E5ABC">
        <w:tab/>
        <w:t xml:space="preserve">konštatuje, že podľa správy Dvora audítorov agentúra nie je medzi agentúrami, ktoré vypracovali podnikové plány s cieľom zlepšiť energetickú efektívnosť a klimatickú neutralitu svojich činností, majú určitú formu environmentálnych správ zahrnutých do svojich výročných správ o činnosti a získali registráciu EMAS; na základe odpovedí agentúry na písomné otázky Európskeho parlamentu však konštatuje, že certifikácia </w:t>
      </w:r>
      <w:r w:rsidRPr="008E5ABC">
        <w:lastRenderedPageBreak/>
        <w:t>EMAS sa plánuje, keď sa agentúra presťahuje do svojich nových priestorov, ktoré tiež budú musieť spĺňať požiadavky Európskej zelenej dohody; oceňuje, že agentúra zaviedla ekologické kritériá pre verejné obstarávanie v súvislosti s environmentálnymi a sociálnymi požiadavkami a podmienky účasti a kritériá na vyhodnotenie ponúk v medziach vyplývajúcich zo skutočnosti, že agentúra väčšinou obstaráva služby;</w:t>
      </w:r>
    </w:p>
    <w:p w:rsidR="007C4A09" w:rsidRPr="008E5ABC" w:rsidRDefault="008E5ABC">
      <w:pPr>
        <w:pStyle w:val="NormalHanging12a"/>
        <w:tabs>
          <w:tab w:val="left" w:pos="567"/>
        </w:tabs>
        <w:rPr>
          <w:b/>
          <w:i/>
          <w:szCs w:val="24"/>
        </w:rPr>
      </w:pPr>
      <w:r w:rsidRPr="008E5ABC">
        <w:rPr>
          <w:b/>
          <w:i/>
        </w:rPr>
        <w:t>Personálna politika</w:t>
      </w:r>
    </w:p>
    <w:p w:rsidR="007C4A09" w:rsidRPr="008E5ABC" w:rsidRDefault="008E5ABC">
      <w:pPr>
        <w:pStyle w:val="Normal12Hanging"/>
        <w:tabs>
          <w:tab w:val="left" w:pos="567"/>
        </w:tabs>
        <w:rPr>
          <w:szCs w:val="24"/>
        </w:rPr>
      </w:pPr>
      <w:r w:rsidRPr="008E5ABC">
        <w:t>15.</w:t>
      </w:r>
      <w:r w:rsidRPr="008E5ABC">
        <w:tab/>
        <w:t>konštatuje, že k 31. decembru 2022 bol plán pracovných miest naplnený na 94 %, pričom zo 72 dočasných zamestnancov povolených v rámci rozpočtu Únie (rovnaký počet schválených pracovných miest ako v roku 2021) bolo vymenovaných 68 dočasných zamestnancov; konštatuje, že okrem toho v roku 2022 pre agentúru pracovalo 28,4 zmluvných zamestnancov (ekvivalent plného pracovného času) a 9 vyslaných národných expertov (ekvivalent plného pracovného času) vrátane jedného bezplatného; berie na vedomie nízku mieru fluktuácie zamestnancov (1,9 %) v roku 2022; okrem toho konštatuje, že v roku 2022 agentúra pokračovala v automatizácii a zefektívňovaní procesov v oblasti ľudských zdrojov s cieľom dosiahnuť ďalšiu účinnosť;</w:t>
      </w:r>
    </w:p>
    <w:p w:rsidR="007C4A09" w:rsidRPr="008E5ABC" w:rsidRDefault="008E5ABC">
      <w:pPr>
        <w:pStyle w:val="Normal12Hanging"/>
        <w:tabs>
          <w:tab w:val="left" w:pos="567"/>
        </w:tabs>
      </w:pPr>
      <w:r w:rsidRPr="008E5ABC">
        <w:t>16.</w:t>
      </w:r>
      <w:r w:rsidRPr="008E5ABC">
        <w:tab/>
        <w:t>s uspokojením berie na vedomie vyvážené zastúpenie mužov a žien medzi členmi vrcholového manažmentu a stredného manažmentu agentúry, kde sú 3 muži (50 %) a 3 ženy (50 %), na úrovni správnej rady, kde zo 65 členov je 33 žien (51 %), a medzi všetkými zamestnancami agentúry, kde zo 105 zamestnancov je 57 žien (54 %); konštatuje, že rodová rovnováha je jedným zo základných cieľov agentúry v oblasti nediskriminácie a naďalej sa jej venuje osobitná pozornosť pri práci jej orgánov, ako je skupina pre rovnosť a rozmanitosť, ktorá sa usiluje o podporu nediskriminácie na základe rodu vo všetkých aspektoch procesov týkajúcich sa ľudských zdrojov v agentúre;</w:t>
      </w:r>
    </w:p>
    <w:p w:rsidR="007C4A09" w:rsidRPr="008E5ABC" w:rsidRDefault="008E5ABC">
      <w:pPr>
        <w:pStyle w:val="NormalHanging12a"/>
      </w:pPr>
      <w:r w:rsidRPr="008E5ABC">
        <w:t>17.</w:t>
      </w:r>
      <w:r w:rsidRPr="008E5ABC">
        <w:tab/>
        <w:t>konštatuje, že agentúra k 1. októbru 2022 zamestnávala personál z 23 členských štátov; víta úsilie agentúry o dosiahnutie geografickej rovnováhy; konštatuje, že v rámci stratégie agentúry zameranej na rovnaké príležitosti a nediskrimináciu je podpora rozmanitosti vrátane geografickej rovnováhy súčasťou všeobecných cieľov v procesoch týkajúcich sa ľudských zdrojov, ako je prijímanie a výber zamestnancov;</w:t>
      </w:r>
    </w:p>
    <w:p w:rsidR="007C4A09" w:rsidRPr="008E5ABC" w:rsidRDefault="008E5ABC">
      <w:pPr>
        <w:pStyle w:val="Normal12Hanging"/>
        <w:tabs>
          <w:tab w:val="left" w:pos="567"/>
        </w:tabs>
        <w:rPr>
          <w:szCs w:val="24"/>
        </w:rPr>
      </w:pPr>
      <w:r w:rsidRPr="008E5ABC">
        <w:t>18.</w:t>
      </w:r>
      <w:r w:rsidRPr="008E5ABC">
        <w:tab/>
        <w:t xml:space="preserve">konštatuje, že agentúra prijala niekoľko opatrení na integráciu osôb so zdravotným postihnutím tým, že im poskytla ubytovanie, zlepšila svoje priestory s cieľom uľahčiť prístupnosť, umožnila výnimočnú </w:t>
      </w:r>
      <w:proofErr w:type="spellStart"/>
      <w:r w:rsidRPr="008E5ABC">
        <w:t>teleprácu</w:t>
      </w:r>
      <w:proofErr w:type="spellEnd"/>
      <w:r w:rsidRPr="008E5ABC">
        <w:t xml:space="preserve"> a organizovala pravidelnú odbornú prípravu pre zamestnancov v oblasti zvyšovania povedomia o zdravotnom postihnutí; víta úsilie agentúry o prilákanie žiadostí o stáže od uchádzačov so zdravotným postihnutím; konštatuje, že agentúra tiež pripravuje politiku podpory pre osoby so zdravotným postihnutím;</w:t>
      </w:r>
    </w:p>
    <w:p w:rsidR="007C4A09" w:rsidRPr="008E5ABC" w:rsidRDefault="008E5ABC">
      <w:pPr>
        <w:pStyle w:val="Normal12Hanging"/>
        <w:tabs>
          <w:tab w:val="left" w:pos="567"/>
        </w:tabs>
        <w:rPr>
          <w:szCs w:val="24"/>
        </w:rPr>
      </w:pPr>
      <w:r w:rsidRPr="008E5ABC">
        <w:t>19.</w:t>
      </w:r>
      <w:r w:rsidRPr="008E5ABC">
        <w:tab/>
        <w:t>konštatuje, že agentúra podporila dobré pracovné podmienky svojich zamestnancov poskytovaním služieb psychologickej podpory, nabádaním k fyzickej aktivite prostredníctvom nového programu prijatého v roku 2022, ktorý poskytuje finančný príspevok na členstvo v športových zariadeniach, a prijatím pravidiel Komisie týkajúcich sa hybridnej práce;</w:t>
      </w:r>
    </w:p>
    <w:p w:rsidR="007C4A09" w:rsidRPr="008E5ABC" w:rsidRDefault="008E5ABC">
      <w:pPr>
        <w:pStyle w:val="Normal12Hanging"/>
        <w:tabs>
          <w:tab w:val="left" w:pos="567"/>
        </w:tabs>
        <w:rPr>
          <w:szCs w:val="24"/>
        </w:rPr>
      </w:pPr>
      <w:r w:rsidRPr="008E5ABC">
        <w:rPr>
          <w:b/>
          <w:i/>
        </w:rPr>
        <w:t>Prevencia, riešenie konfliktov záujmov a transparentnosť</w:t>
      </w:r>
    </w:p>
    <w:p w:rsidR="007C4A09" w:rsidRPr="008E5ABC" w:rsidRDefault="008E5ABC">
      <w:pPr>
        <w:pStyle w:val="NormalHanging12a"/>
        <w:tabs>
          <w:tab w:val="left" w:pos="567"/>
        </w:tabs>
        <w:rPr>
          <w:szCs w:val="24"/>
        </w:rPr>
      </w:pPr>
      <w:r w:rsidRPr="008E5ABC">
        <w:lastRenderedPageBreak/>
        <w:t>20.</w:t>
      </w:r>
      <w:r w:rsidRPr="008E5ABC">
        <w:tab/>
        <w:t>berie na vedomie, že životopisy a vyhlásenia o záujmoch členov správnej rady a riadiaceho tímu sú uverejnené na webovom sídle agentúry; konštatuje, že podľa správy agentúry o následných opatreniach agentúra prijala rozhodnutie, že na svojom webovom sídle už nebude uverejňovať informácie o interných odborníkoch;</w:t>
      </w:r>
    </w:p>
    <w:p w:rsidR="007C4A09" w:rsidRPr="008E5ABC" w:rsidRDefault="008E5ABC">
      <w:pPr>
        <w:pStyle w:val="NormalHanging12a"/>
        <w:tabs>
          <w:tab w:val="left" w:pos="567"/>
        </w:tabs>
        <w:rPr>
          <w:szCs w:val="24"/>
        </w:rPr>
      </w:pPr>
      <w:r w:rsidRPr="008E5ABC">
        <w:t>21.</w:t>
      </w:r>
      <w:r w:rsidRPr="008E5ABC">
        <w:tab/>
        <w:t>víta skutočnosť, že agentúra vykonala v roku 2022 revíziu/aktualizáciu vyhlásení o záujmoch všetkých zamestnancov, v dôsledku čoho boli vydané niektoré preventívne odporúčania; okrem toho konštatuje, že agentúra poskytuje zamestnancom povinnú odbornú prípravu v oblasti etiky a integrity a poskytuje usmernenia na posudzovanie vonkajších činností; konštatuje, že pokiaľ ide o monitorovanie dodržiavania platných rozhodnutí v oblasti „javu otáčavých dverí“ a súvisiacich obmedzení bývalými zamestnancami agentúry, agentúra posudzuje možnosť vykonávať náhodné kontroly; vyzýva agentúru, aby podala orgánu udeľujúcemu absolutórium správu o pokroku v tejto veci;</w:t>
      </w:r>
    </w:p>
    <w:p w:rsidR="007C4A09" w:rsidRPr="008E5ABC" w:rsidRDefault="008E5ABC">
      <w:pPr>
        <w:pStyle w:val="NormalHanging12a"/>
        <w:tabs>
          <w:tab w:val="left" w:pos="567"/>
        </w:tabs>
        <w:rPr>
          <w:szCs w:val="24"/>
        </w:rPr>
      </w:pPr>
      <w:r w:rsidRPr="008E5ABC">
        <w:t>22.</w:t>
      </w:r>
      <w:r w:rsidRPr="008E5ABC">
        <w:tab/>
        <w:t>konštatuje, že v roku 2022 agentúra zistila potenciálne riziko vnímaného konfliktu záujmov člena správnej rady v súvislosti so zmluvou o projekte podpísanou agentúrou a financovanou z grantov EHP/Nórska; konštatuje, že na základe posúdenia sa dospelo k záveru, že situácia nepredstavuje skutočný konflikt záujmov; víta však opatrenia prijaté na zmiernenie takýchto rizík vrátane žiadosti o aktualizáciu vyhlásenia o záujmoch príslušného člena správnej rady pred nasledujúcou schôdzou správnej rady, ako aj požiadavky, aby sa dotknutý člen zdržal hlasovania o akomkoľvek rozhodnutí správnej rady v súvislosti s daným projektom;</w:t>
      </w:r>
    </w:p>
    <w:p w:rsidR="007C4A09" w:rsidRPr="008E5ABC" w:rsidRDefault="008E5ABC">
      <w:pPr>
        <w:pStyle w:val="Normal12Hanging"/>
        <w:tabs>
          <w:tab w:val="left" w:pos="567"/>
        </w:tabs>
        <w:rPr>
          <w:b/>
          <w:i/>
          <w:szCs w:val="24"/>
        </w:rPr>
      </w:pPr>
      <w:r w:rsidRPr="008E5ABC">
        <w:rPr>
          <w:b/>
          <w:i/>
        </w:rPr>
        <w:t>Vnútorná kontrola</w:t>
      </w:r>
    </w:p>
    <w:p w:rsidR="007C4A09" w:rsidRPr="008E5ABC" w:rsidRDefault="008E5ABC">
      <w:pPr>
        <w:pStyle w:val="NormalHanging12a"/>
        <w:tabs>
          <w:tab w:val="left" w:pos="567"/>
        </w:tabs>
        <w:rPr>
          <w:szCs w:val="24"/>
        </w:rPr>
      </w:pPr>
      <w:r w:rsidRPr="008E5ABC">
        <w:t>23.</w:t>
      </w:r>
      <w:r w:rsidRPr="008E5ABC">
        <w:tab/>
        <w:t>konštatuje, že agentúra v roku 2022 posúdila svoje systémy vnútornej kontroly a dospela k záveru, že sú účinné a že zložky a zásady sú prítomné a fungujú celkovo dobre, pričom niektoré menšie nedostatky sa týkajú zásad 5, 13 a 14 v súvislosti s včasným dokončením správy o kariérnom rozvoji, ako aj s potrebou zlepšiť stratégiu riadenia internej a externej komunikácie zainteresovaných strán;</w:t>
      </w:r>
    </w:p>
    <w:p w:rsidR="007C4A09" w:rsidRPr="008E5ABC" w:rsidRDefault="008E5ABC">
      <w:pPr>
        <w:pStyle w:val="NormalHanging12a"/>
        <w:tabs>
          <w:tab w:val="left" w:pos="567"/>
        </w:tabs>
        <w:rPr>
          <w:szCs w:val="24"/>
        </w:rPr>
      </w:pPr>
      <w:r w:rsidRPr="008E5ABC">
        <w:t>24.</w:t>
      </w:r>
      <w:r w:rsidRPr="008E5ABC">
        <w:tab/>
        <w:t>konštatuje, že akčný plán, pokiaľ ide o stratégiu agentúry pre boj proti podvodom aktualizovanú v roku 2021, sa vykonáva a zahŕňa všetky opatrenia v tejto oblasti vrátane osobitného posúdenia rizika podvodov, zvyšovania informovanosti zamestnancov o pravidlách predchádzania podvodom a oznamovania protispoločenskej činnosti a včasnej aktualizácie právneho rámca;</w:t>
      </w:r>
    </w:p>
    <w:p w:rsidR="007C4A09" w:rsidRPr="008E5ABC" w:rsidRDefault="008E5ABC">
      <w:pPr>
        <w:pStyle w:val="Normal12Hanging"/>
        <w:tabs>
          <w:tab w:val="left" w:pos="567"/>
        </w:tabs>
        <w:rPr>
          <w:b/>
          <w:i/>
          <w:szCs w:val="24"/>
        </w:rPr>
      </w:pPr>
      <w:r w:rsidRPr="008E5ABC">
        <w:rPr>
          <w:b/>
          <w:i/>
        </w:rPr>
        <w:t>Ďalšie pripomienky</w:t>
      </w:r>
    </w:p>
    <w:p w:rsidR="007C4A09" w:rsidRPr="008E5ABC" w:rsidRDefault="008E5ABC">
      <w:pPr>
        <w:pStyle w:val="Normal12Hanging"/>
        <w:tabs>
          <w:tab w:val="left" w:pos="567"/>
        </w:tabs>
        <w:rPr>
          <w:szCs w:val="24"/>
        </w:rPr>
      </w:pPr>
      <w:r w:rsidRPr="008E5ABC">
        <w:t>25.</w:t>
      </w:r>
      <w:r w:rsidRPr="008E5ABC">
        <w:tab/>
        <w:t>víta úsilie, ktoré agentúra vynaložila na zvýšenie svojej viditeľnosti na verejnosti a online; oceňuje lepšie ukazovatele agentúry, pokiaľ ide o využívanie rôznych platforiem sociálnych médií v roku 2022; konštatuje, že v roku 2022 agentúra vytvorila kampaň na sociálnych médiách s názvom „</w:t>
      </w:r>
      <w:proofErr w:type="spellStart"/>
      <w:r w:rsidRPr="008E5ABC">
        <w:t>Our</w:t>
      </w:r>
      <w:proofErr w:type="spellEnd"/>
      <w:r w:rsidRPr="008E5ABC">
        <w:t xml:space="preserve"> </w:t>
      </w:r>
      <w:proofErr w:type="spellStart"/>
      <w:r w:rsidRPr="008E5ABC">
        <w:t>Data</w:t>
      </w:r>
      <w:proofErr w:type="spellEnd"/>
      <w:r w:rsidRPr="008E5ABC">
        <w:t xml:space="preserve">, </w:t>
      </w:r>
      <w:proofErr w:type="spellStart"/>
      <w:r w:rsidRPr="008E5ABC">
        <w:t>Your</w:t>
      </w:r>
      <w:proofErr w:type="spellEnd"/>
      <w:r w:rsidRPr="008E5ABC">
        <w:t xml:space="preserve"> </w:t>
      </w:r>
      <w:proofErr w:type="spellStart"/>
      <w:r w:rsidRPr="008E5ABC">
        <w:t>Ally</w:t>
      </w:r>
      <w:proofErr w:type="spellEnd"/>
      <w:r w:rsidRPr="008E5ABC">
        <w:t xml:space="preserve">“ s cieľom informovať mladých ľudí o údajoch týkajúcich sa mládeže, ktoré môžu použiť pri svojich podporných činnostiach; ďalej konštatuje, že v roku 2022 agentúra (spolu)organizovala 134 stretnutí a podujatí vrátane seminárov a </w:t>
      </w:r>
      <w:proofErr w:type="spellStart"/>
      <w:r w:rsidRPr="008E5ABC">
        <w:t>webinárov</w:t>
      </w:r>
      <w:proofErr w:type="spellEnd"/>
      <w:r w:rsidRPr="008E5ABC">
        <w:t xml:space="preserve">, ako aj štvrtý dialóg o základných právach v Paríži v spolupráci s francúzskym predsedníctvom Rady, styčnými kanceláriami Komisie a Európskeho parlamentu vo Francúzsku a mestom Paríž a stretnutie vedúcich predstaviteľov a odborníkov v oblasti ľudských práv s názvom Ľudské práva v centre budúcnosti Európy, ktoré bolo prvé svojho druhu a na ktorom sa zúčastnilo 60 rôznych </w:t>
      </w:r>
      <w:r w:rsidRPr="008E5ABC">
        <w:lastRenderedPageBreak/>
        <w:t>zainteresovaných strán;</w:t>
      </w:r>
    </w:p>
    <w:p w:rsidR="007C4A09" w:rsidRPr="008E5ABC" w:rsidRDefault="008E5ABC">
      <w:pPr>
        <w:pStyle w:val="NormalCenter12a"/>
      </w:pPr>
      <w:r w:rsidRPr="008E5ABC">
        <w:t>°</w:t>
      </w:r>
    </w:p>
    <w:p w:rsidR="007C4A09" w:rsidRPr="008E5ABC" w:rsidRDefault="008E5ABC">
      <w:pPr>
        <w:pStyle w:val="NormalCenter12a"/>
      </w:pPr>
      <w:r w:rsidRPr="008E5ABC">
        <w:t>°</w:t>
      </w:r>
      <w:r w:rsidRPr="008E5ABC">
        <w:tab/>
        <w:t>°</w:t>
      </w:r>
    </w:p>
    <w:p w:rsidR="007C4A09" w:rsidRPr="008E5ABC" w:rsidRDefault="008E5ABC">
      <w:pPr>
        <w:pStyle w:val="Normal12Hanging"/>
        <w:tabs>
          <w:tab w:val="left" w:pos="567"/>
        </w:tabs>
      </w:pPr>
      <w:r w:rsidRPr="008E5ABC">
        <w:t>26.</w:t>
      </w:r>
      <w:r w:rsidRPr="008E5ABC">
        <w:tab/>
        <w:t>pokiaľ ide o ďalšie poznámky horizontálnej povahy, ktoré sú súčasťou rozhodnutia o absolutóriu, odvoláva sa na svoje uznesenie z 11. apríla 2024</w:t>
      </w:r>
      <w:r w:rsidRPr="008E5ABC">
        <w:rPr>
          <w:rStyle w:val="FootnoteReference"/>
        </w:rPr>
        <w:footnoteReference w:id="13"/>
      </w:r>
      <w:r w:rsidRPr="008E5ABC">
        <w:t xml:space="preserve"> o výkonnosti, finančnom riadení a kontrole agentúr.</w:t>
      </w:r>
    </w:p>
    <w:p w:rsidR="007C4A09" w:rsidRPr="008E5ABC" w:rsidRDefault="007C4A09">
      <w:bookmarkStart w:id="9" w:name="TextBodyEnd"/>
      <w:bookmarkEnd w:id="9"/>
    </w:p>
    <w:sectPr w:rsidR="007C4A09" w:rsidRPr="008E5A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A09" w:rsidRDefault="008E5ABC">
      <w:r>
        <w:separator/>
      </w:r>
    </w:p>
  </w:endnote>
  <w:endnote w:type="continuationSeparator" w:id="0">
    <w:p w:rsidR="007C4A09" w:rsidRDefault="008E5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A09" w:rsidRDefault="008E5ABC">
    <w:pPr>
      <w:pStyle w:val="EPFooter"/>
    </w:pPr>
    <w:r>
      <w:t>PE</w:t>
    </w:r>
    <w:r>
      <w:rPr>
        <w:rStyle w:val="HideTWBExt"/>
      </w:rPr>
      <w:t>&lt;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</w:t>
    </w:r>
    <w:r>
      <w:t>753.542</w:t>
    </w:r>
    <w:r>
      <w:rPr>
        <w:rStyle w:val="HideTWBExt"/>
      </w:rPr>
      <w:t>&lt;/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&gt;&lt;Version&gt;</w:t>
    </w:r>
    <w:r>
      <w:t>v02-00</w:t>
    </w:r>
    <w:r>
      <w:rPr>
        <w:rStyle w:val="HideTWBExt"/>
      </w:rPr>
      <w:t>&lt;/</w:t>
    </w:r>
    <w:proofErr w:type="spellStart"/>
    <w:r>
      <w:rPr>
        <w:rStyle w:val="HideTWBExt"/>
      </w:rPr>
      <w:t>Version</w:t>
    </w:r>
    <w:proofErr w:type="spellEnd"/>
    <w:r>
      <w:rPr>
        <w:rStyle w:val="HideTWBExt"/>
      </w:rPr>
      <w:t>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>/</w:t>
    </w:r>
    <w:r w:rsidR="00C94D3E">
      <w:fldChar w:fldCharType="begin"/>
    </w:r>
    <w:r w:rsidR="00C94D3E">
      <w:instrText xml:space="preserve"> NUMPAGES  \* MERGEFORMAT </w:instrText>
    </w:r>
    <w:r w:rsidR="00C94D3E">
      <w:fldChar w:fldCharType="separate"/>
    </w:r>
    <w:r>
      <w:rPr>
        <w:noProof/>
      </w:rPr>
      <w:t>4</w:t>
    </w:r>
    <w:r w:rsidR="00C94D3E">
      <w:rPr>
        <w:noProof/>
      </w:rPr>
      <w:fldChar w:fldCharType="end"/>
    </w:r>
    <w:r>
      <w:tab/>
    </w:r>
    <w:r>
      <w:rPr>
        <w:rStyle w:val="HideTWBExt"/>
      </w:rPr>
      <w:t>&lt;PathFdR&gt;</w:t>
    </w:r>
    <w:r>
      <w:t>RR\1298898SK.docx</w:t>
    </w:r>
    <w:r>
      <w:rPr>
        <w:rStyle w:val="HideTWBExt"/>
      </w:rPr>
      <w:t>&lt;/</w:t>
    </w:r>
    <w:proofErr w:type="spellStart"/>
    <w:r>
      <w:rPr>
        <w:rStyle w:val="HideTWBExt"/>
      </w:rPr>
      <w:t>PathFdR</w:t>
    </w:r>
    <w:proofErr w:type="spellEnd"/>
    <w:r>
      <w:rPr>
        <w:rStyle w:val="HideTWBExt"/>
      </w:rPr>
      <w:t>&gt;</w:t>
    </w:r>
  </w:p>
  <w:p w:rsidR="007C4A09" w:rsidRDefault="008E5ABC"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A09" w:rsidRDefault="008E5ABC">
    <w:pPr>
      <w:pStyle w:val="EPFooter"/>
    </w:pPr>
    <w:r>
      <w:rPr>
        <w:rStyle w:val="HideTWBExt"/>
      </w:rPr>
      <w:t>&lt;PathFdR&gt;</w:t>
    </w:r>
    <w:r>
      <w:t>RR\1298898SK.docx</w:t>
    </w:r>
    <w:r>
      <w:rPr>
        <w:rStyle w:val="HideTWBExt"/>
      </w:rPr>
      <w:t>&lt;/</w:t>
    </w:r>
    <w:proofErr w:type="spellStart"/>
    <w:r>
      <w:rPr>
        <w:rStyle w:val="HideTWBExt"/>
      </w:rPr>
      <w:t>PathFdR</w:t>
    </w:r>
    <w:proofErr w:type="spellEnd"/>
    <w:r>
      <w:rPr>
        <w:rStyle w:val="HideTWBExt"/>
      </w:rPr>
      <w:t>&gt;</w:t>
    </w:r>
    <w:r>
      <w:tab/>
    </w:r>
    <w:r>
      <w:tab/>
      <w:t>PE</w:t>
    </w:r>
    <w:r>
      <w:rPr>
        <w:rStyle w:val="HideTWBExt"/>
      </w:rPr>
      <w:t>&lt;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</w:t>
    </w:r>
    <w:r>
      <w:t>753.542</w:t>
    </w:r>
    <w:r>
      <w:rPr>
        <w:rStyle w:val="HideTWBExt"/>
      </w:rPr>
      <w:t>&lt;/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&gt;&lt;Version&gt;</w:t>
    </w:r>
    <w:r>
      <w:t>v02-00</w:t>
    </w:r>
    <w:r>
      <w:rPr>
        <w:rStyle w:val="HideTWBExt"/>
      </w:rPr>
      <w:t>&lt;/</w:t>
    </w:r>
    <w:proofErr w:type="spellStart"/>
    <w:r>
      <w:rPr>
        <w:rStyle w:val="HideTWBExt"/>
      </w:rPr>
      <w:t>Version</w:t>
    </w:r>
    <w:proofErr w:type="spellEnd"/>
    <w:r>
      <w:rPr>
        <w:rStyle w:val="HideTWBExt"/>
      </w:rPr>
      <w:t>&gt;</w:t>
    </w:r>
  </w:p>
  <w:p w:rsidR="007C4A09" w:rsidRDefault="008E5ABC"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A09" w:rsidRDefault="007C4A0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A09" w:rsidRDefault="007C4A09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A09" w:rsidRDefault="007C4A0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A09" w:rsidRDefault="008E5ABC">
      <w:r>
        <w:separator/>
      </w:r>
    </w:p>
  </w:footnote>
  <w:footnote w:type="continuationSeparator" w:id="0">
    <w:p w:rsidR="007C4A09" w:rsidRDefault="008E5ABC">
      <w:r>
        <w:continuationSeparator/>
      </w:r>
    </w:p>
  </w:footnote>
  <w:footnote w:id="1">
    <w:p w:rsidR="007C4A09" w:rsidRDefault="008E5AB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C/2023/594, 27.10.2023.</w:t>
      </w:r>
    </w:p>
  </w:footnote>
  <w:footnote w:id="2">
    <w:p w:rsidR="007C4A09" w:rsidRDefault="008E5AB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C/2023/112, 12.10.2023.</w:t>
      </w:r>
    </w:p>
  </w:footnote>
  <w:footnote w:id="3">
    <w:p w:rsidR="007C4A09" w:rsidRDefault="008E5AB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L 193, 30.7.2018, s. 1.</w:t>
      </w:r>
    </w:p>
  </w:footnote>
  <w:footnote w:id="4">
    <w:p w:rsidR="007C4A09" w:rsidRDefault="008E5AB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53, 22.2.2007, s. 1.</w:t>
      </w:r>
    </w:p>
  </w:footnote>
  <w:footnote w:id="5">
    <w:p w:rsidR="007C4A09" w:rsidRDefault="008E5ABC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6">
    <w:p w:rsidR="007C4A09" w:rsidRDefault="008E5AB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C/2023/594, 27.10.2023.</w:t>
      </w:r>
    </w:p>
  </w:footnote>
  <w:footnote w:id="7">
    <w:p w:rsidR="007C4A09" w:rsidRDefault="008E5AB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C/2023/112, 12.10.2023.</w:t>
      </w:r>
    </w:p>
  </w:footnote>
  <w:footnote w:id="8">
    <w:p w:rsidR="007C4A09" w:rsidRDefault="008E5AB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L 193, 30.7.2018, s. 1.</w:t>
      </w:r>
    </w:p>
  </w:footnote>
  <w:footnote w:id="9">
    <w:p w:rsidR="007C4A09" w:rsidRDefault="008E5AB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53, 22.2.2007, s. 1.</w:t>
      </w:r>
    </w:p>
  </w:footnote>
  <w:footnote w:id="10">
    <w:p w:rsidR="007C4A09" w:rsidRDefault="008E5ABC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11">
    <w:p w:rsidR="007C4A09" w:rsidRDefault="008E5AB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38, 31.1.2023, s. 189.</w:t>
      </w:r>
    </w:p>
  </w:footnote>
  <w:footnote w:id="12">
    <w:p w:rsidR="007C4A09" w:rsidRDefault="008E5ABC">
      <w:pPr>
        <w:ind w:left="567" w:hanging="567"/>
      </w:pPr>
      <w:r>
        <w:rPr>
          <w:rStyle w:val="FootnoteReference"/>
        </w:rPr>
        <w:footnoteRef/>
      </w:r>
      <w:r>
        <w:t xml:space="preserve"> </w:t>
      </w:r>
      <w:r>
        <w:tab/>
        <w:t xml:space="preserve">Smernica Rady 2001/55/ES z 20. júla 2001 o minimálnych štandardoch na poskytovanie dočasnej ochrany v prípade hromadného prílevu vysídlených osôb a o opatreniach na podporu rovnováhy úsilia medzi členskými štátmi pri prijímaní takýchto osôb a znášaní z toho vyplývajúcich dôsledkov (Ú. v. ES L 212, 7.8.2001, s. 12). </w:t>
      </w:r>
    </w:p>
  </w:footnote>
  <w:footnote w:id="13">
    <w:p w:rsidR="007C4A09" w:rsidRDefault="008E5AB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P9_TA(2024)0</w:t>
      </w:r>
      <w:r w:rsidR="00667E5F">
        <w:rPr>
          <w:sz w:val="24"/>
          <w:lang w:val="sk-SK"/>
        </w:rPr>
        <w:t>280</w:t>
      </w:r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A09" w:rsidRDefault="007C4A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A09" w:rsidRDefault="007C4A0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A09" w:rsidRDefault="007C4A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2/2024"/>
    <w:docVar w:name="dvlangue" w:val="SK"/>
    <w:docVar w:name="dvnumam" w:val="0"/>
    <w:docVar w:name="dvpe" w:val="753.542"/>
    <w:docVar w:name="dvrapporteur" w:val="Spravodajca: "/>
    <w:docVar w:name="dvtitre" w:val="1. Rozhodnutie Európskeho parlamentu z 11. apríla 2024 o absolutóriu za plnenie rozpočtu Agentúry Európskej únie pre základné práva za rozpočtový rok 2022(2023/2171(DEC))"/>
  </w:docVars>
  <w:rsids>
    <w:rsidRoot w:val="007C4A09"/>
    <w:rsid w:val="002D45CE"/>
    <w:rsid w:val="002D6A38"/>
    <w:rsid w:val="00667E5F"/>
    <w:rsid w:val="00682CF2"/>
    <w:rsid w:val="007C4A09"/>
    <w:rsid w:val="008E5ABC"/>
    <w:rsid w:val="00C94D3E"/>
    <w:rsid w:val="00FB21CC"/>
    <w:rsid w:val="00FC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653209"/>
  <w15:chartTrackingRefBased/>
  <w15:docId w15:val="{BCC629D6-8432-4150-B6C6-AFB6424F8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Pr>
      <w:sz w:val="24"/>
      <w:lang w:val="sk-SK"/>
    </w:rPr>
  </w:style>
  <w:style w:type="paragraph" w:customStyle="1" w:styleId="Normal12Hanging">
    <w:name w:val="Normal12Hanging"/>
    <w:basedOn w:val="Normal"/>
    <w:pPr>
      <w:spacing w:after="240"/>
      <w:ind w:left="567" w:hanging="567"/>
    </w:p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98307-202D-4F69-B20D-2E695F694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3541</Words>
  <Characters>21450</Characters>
  <Application>Microsoft Office Word</Application>
  <DocSecurity>0</DocSecurity>
  <Lines>178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2024-05-15T11:36:00Z</dcterms:created>
  <dcterms:modified xsi:type="dcterms:W3CDTF">2024-05-15T11:36:00Z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P9_TA(2024)0240_</vt:lpwstr>
  </property>
  <property fmtid="{D5CDD505-2E9C-101B-9397-08002B2CF9AE}" pid="4" name="&lt;Type&gt;">
    <vt:lpwstr>RR</vt:lpwstr>
  </property>
</Properties>
</file>