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0DA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0DA5" w:rsidRDefault="001E1CB2" w:rsidP="0010095E">
            <w:pPr>
              <w:pStyle w:val="EPName"/>
            </w:pPr>
            <w:r w:rsidRPr="00AF0DA5">
              <w:t>Европейски</w:t>
            </w:r>
            <w:r w:rsidR="005A6156" w:rsidRPr="00AF0DA5">
              <w:t xml:space="preserve"> парламент</w:t>
            </w:r>
          </w:p>
          <w:p w:rsidR="00751A4A" w:rsidRPr="00AF0DA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0DA5">
              <w:t>2019</w:t>
            </w:r>
            <w:r w:rsidR="001E1CB2">
              <w:rPr>
                <w:lang w:val="en-GB"/>
              </w:rPr>
              <w:t> – </w:t>
            </w:r>
            <w:r w:rsidRPr="00AF0DA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F0DA5" w:rsidRDefault="00187494" w:rsidP="0010095E">
            <w:pPr>
              <w:pStyle w:val="EPLogo"/>
            </w:pPr>
            <w:r w:rsidRPr="00AF0DA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0DA5" w:rsidRDefault="00D058B8" w:rsidP="004C5D52">
      <w:pPr>
        <w:pStyle w:val="LineTop"/>
      </w:pPr>
    </w:p>
    <w:p w:rsidR="00680577" w:rsidRPr="00AF0DA5" w:rsidRDefault="005A6156" w:rsidP="00680577">
      <w:pPr>
        <w:pStyle w:val="EPBodyTA1"/>
      </w:pPr>
      <w:r w:rsidRPr="00AF0DA5">
        <w:t>ПРИЕТИ ТЕКСТОВЕ</w:t>
      </w:r>
    </w:p>
    <w:p w:rsidR="00D058B8" w:rsidRPr="00AF0DA5" w:rsidRDefault="00D058B8" w:rsidP="00D058B8">
      <w:pPr>
        <w:pStyle w:val="LineBottom"/>
      </w:pPr>
    </w:p>
    <w:p w:rsidR="005A6156" w:rsidRPr="00AF0DA5" w:rsidRDefault="005A6156" w:rsidP="005A6156">
      <w:pPr>
        <w:pStyle w:val="ATHeading1"/>
      </w:pPr>
      <w:bookmarkStart w:id="0" w:name="TANumber"/>
      <w:r w:rsidRPr="00AF0DA5">
        <w:t>P9_TA(2024)0</w:t>
      </w:r>
      <w:r w:rsidR="00147E95">
        <w:rPr>
          <w:lang w:val="en-GB"/>
        </w:rPr>
        <w:t>241</w:t>
      </w:r>
      <w:bookmarkStart w:id="1" w:name="_GoBack"/>
      <w:bookmarkEnd w:id="0"/>
      <w:bookmarkEnd w:id="1"/>
    </w:p>
    <w:p w:rsidR="005A6156" w:rsidRPr="00AF0DA5" w:rsidRDefault="005A6156" w:rsidP="005A6156">
      <w:pPr>
        <w:pStyle w:val="ATHeading2"/>
      </w:pPr>
      <w:bookmarkStart w:id="2" w:name="title"/>
      <w:r w:rsidRPr="00AF0DA5">
        <w:t>Освобождаване от отговорност във връзка с изпълнението на бюджета за 2022 г.: Европейски център за мониторинг на наркотици и наркомании</w:t>
      </w:r>
      <w:bookmarkEnd w:id="2"/>
    </w:p>
    <w:p w:rsidR="005A6156" w:rsidRPr="00AF0DA5" w:rsidRDefault="005A6156" w:rsidP="005A6156">
      <w:pPr>
        <w:rPr>
          <w:i/>
          <w:vanish/>
        </w:rPr>
      </w:pPr>
      <w:r w:rsidRPr="00AF0DA5">
        <w:rPr>
          <w:i/>
        </w:rPr>
        <w:fldChar w:fldCharType="begin"/>
      </w:r>
      <w:r w:rsidRPr="00AF0DA5">
        <w:rPr>
          <w:i/>
        </w:rPr>
        <w:instrText xml:space="preserve"> TC"(</w:instrText>
      </w:r>
      <w:bookmarkStart w:id="3" w:name="DocNumber"/>
      <w:r w:rsidRPr="00AF0DA5">
        <w:rPr>
          <w:i/>
        </w:rPr>
        <w:instrText>A9-0104/2024</w:instrText>
      </w:r>
      <w:bookmarkEnd w:id="3"/>
      <w:r w:rsidRPr="00AF0DA5">
        <w:rPr>
          <w:i/>
        </w:rPr>
        <w:instrText xml:space="preserve"> - Докладчик: Петри Сарвама)"\l3 \n&gt; \* MERGEFORMAT </w:instrText>
      </w:r>
      <w:r w:rsidRPr="00AF0DA5">
        <w:rPr>
          <w:i/>
        </w:rPr>
        <w:fldChar w:fldCharType="end"/>
      </w:r>
    </w:p>
    <w:p w:rsidR="005A6156" w:rsidRPr="00AF0DA5" w:rsidRDefault="005A6156" w:rsidP="005A6156">
      <w:pPr>
        <w:rPr>
          <w:vanish/>
        </w:rPr>
      </w:pPr>
      <w:bookmarkStart w:id="4" w:name="Commission"/>
      <w:r w:rsidRPr="00AF0DA5">
        <w:rPr>
          <w:vanish/>
        </w:rPr>
        <w:t>Комисия по бюджетен контрол</w:t>
      </w:r>
      <w:bookmarkEnd w:id="4"/>
    </w:p>
    <w:p w:rsidR="005A6156" w:rsidRPr="00AF0DA5" w:rsidRDefault="005A6156" w:rsidP="005A6156">
      <w:pPr>
        <w:rPr>
          <w:vanish/>
        </w:rPr>
      </w:pPr>
      <w:bookmarkStart w:id="5" w:name="PE"/>
      <w:r w:rsidRPr="00AF0DA5">
        <w:rPr>
          <w:vanish/>
        </w:rPr>
        <w:t>PE753.525</w:t>
      </w:r>
      <w:bookmarkEnd w:id="5"/>
    </w:p>
    <w:p w:rsidR="005A6156" w:rsidRPr="00AF0DA5" w:rsidRDefault="001E1CB2" w:rsidP="001E1CB2">
      <w:pPr>
        <w:pStyle w:val="ATHeading3"/>
      </w:pPr>
      <w:bookmarkStart w:id="6" w:name="Sujet"/>
      <w:r>
        <w:rPr>
          <w:lang w:val="en-GB"/>
        </w:rPr>
        <w:t xml:space="preserve">1. </w:t>
      </w:r>
      <w:r w:rsidR="005A6156" w:rsidRPr="00AF0DA5">
        <w:t xml:space="preserve">Решение на Европейския парламент от </w:t>
      </w:r>
      <w:r>
        <w:rPr>
          <w:lang w:val="en-GB"/>
        </w:rPr>
        <w:t xml:space="preserve">11 </w:t>
      </w:r>
      <w:r>
        <w:t>април</w:t>
      </w:r>
      <w:r w:rsidR="005A6156" w:rsidRPr="00AF0DA5">
        <w:t xml:space="preserve"> 2024 г. относно освобождаването от отговорност във връзка с изпълнението на бюджета на Европейския център за мониторинг на наркотици и наркомании за финансовата 2022 година</w:t>
      </w:r>
      <w:bookmarkEnd w:id="6"/>
      <w:r w:rsidR="005A6156" w:rsidRPr="00AF0DA5">
        <w:t xml:space="preserve"> </w:t>
      </w:r>
      <w:bookmarkStart w:id="7" w:name="References"/>
      <w:r w:rsidR="005A6156" w:rsidRPr="00AF0DA5">
        <w:t>(2023/2157(DEC))</w:t>
      </w:r>
      <w:bookmarkEnd w:id="7"/>
    </w:p>
    <w:p w:rsidR="00472C7C" w:rsidRPr="00AF0DA5" w:rsidRDefault="00472C7C" w:rsidP="00472C7C">
      <w:pPr>
        <w:pStyle w:val="EPComma"/>
      </w:pPr>
      <w:bookmarkStart w:id="8" w:name="TextBodyBegin"/>
      <w:bookmarkEnd w:id="8"/>
      <w:r w:rsidRPr="00AF0DA5">
        <w:rPr>
          <w:i/>
        </w:rPr>
        <w:t>Европейският парламент</w:t>
      </w:r>
      <w:r w:rsidRPr="00AF0DA5">
        <w:t>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окончателните годишни отчети на Европейския център за мониторинг на наркотици и наркомании за финансовата 2022 година,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годишния доклад на Сметната палата относно агенциите на ЕС за финансовата 2022 година, придружен от отговорите на агенциите</w:t>
      </w:r>
      <w:r w:rsidRPr="00AF0DA5">
        <w:rPr>
          <w:rStyle w:val="FootnoteReference"/>
        </w:rPr>
        <w:footnoteReference w:id="1"/>
      </w:r>
      <w:r w:rsidRPr="00AF0DA5">
        <w:t>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декларацията за достоверност</w:t>
      </w:r>
      <w:r w:rsidRPr="00AF0DA5">
        <w:rPr>
          <w:rStyle w:val="FootnoteReference"/>
        </w:rPr>
        <w:footnoteReference w:id="2"/>
      </w:r>
      <w:r w:rsidRPr="00AF0DA5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2022 година в съответствие с член 287 от Договора за функционирането на Европейския съюз,</w:t>
      </w:r>
    </w:p>
    <w:p w:rsidR="00472C7C" w:rsidRPr="00AF0DA5" w:rsidRDefault="00472C7C" w:rsidP="008F0945">
      <w:pPr>
        <w:pStyle w:val="NormalHanging12a"/>
      </w:pPr>
      <w:r w:rsidRPr="00AF0DA5">
        <w:t>–</w:t>
      </w:r>
      <w:r w:rsidRPr="00AF0DA5">
        <w:tab/>
        <w:t>като взе предвид препоръката на Съвета от 22 февруари 2024 г. относно освобождаването от отговорност на Центъра във връзка с изпълнението на бюджета за финансовата 2022 година (</w:t>
      </w:r>
      <w:r w:rsidR="00694957">
        <w:rPr>
          <w:lang w:val="en-GB"/>
        </w:rPr>
        <w:t>0</w:t>
      </w:r>
      <w:r w:rsidR="008F0945" w:rsidRPr="008F0945">
        <w:rPr>
          <w:lang w:val="en-GB"/>
        </w:rPr>
        <w:t>618</w:t>
      </w:r>
      <w:r w:rsidR="00694957">
        <w:t>0</w:t>
      </w:r>
      <w:r w:rsidRPr="00AF0DA5">
        <w:t>/2024 – C9</w:t>
      </w:r>
      <w:r w:rsidRPr="00AF0DA5">
        <w:noBreakHyphen/>
      </w:r>
      <w:r w:rsidR="008F0945" w:rsidRPr="008F0945">
        <w:rPr>
          <w:lang w:val="en-GB"/>
        </w:rPr>
        <w:t>0095</w:t>
      </w:r>
      <w:r w:rsidRPr="00AF0DA5">
        <w:t>/2024),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член 319 от Договора за функционирането на Европейския съюз,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 xml:space="preserve">като взе предвид Регламент (ЕС, Евратом) 2018/1046 на Европейския парламент и на Съвета от 18 юли 2018 г. за финансовите правила, приложими за общия бюджет на Съюза, за изменение на регламенти (ЕС) № 1296/2013, (ЕС) № 1301/2013, (ЕС) № 1303/2013, (ЕС) № 1304/2013, (ЕС) № 1309/2013, (ЕС) № 1316/2013, (ЕС) № 223/2014 и (ЕС) № 283/2014 и на Решение № 541/2014/ЕС и за </w:t>
      </w:r>
      <w:r w:rsidRPr="00AF0DA5">
        <w:lastRenderedPageBreak/>
        <w:t>отмяна на Регламент (ЕС, Евратом) № 966/2012</w:t>
      </w:r>
      <w:r w:rsidRPr="00AF0DA5">
        <w:rPr>
          <w:rStyle w:val="FootnoteReference"/>
        </w:rPr>
        <w:footnoteReference w:id="3"/>
      </w:r>
      <w:r w:rsidRPr="00AF0DA5">
        <w:t>, и по-специално член 70 от него,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Регламент (ЕО) № 1920/2006 на Европейския парламент и на Съвета от 12 декември 2006 г. относно Европейския център за мониторинг на наркотици и наркомании</w:t>
      </w:r>
      <w:r w:rsidRPr="00AF0DA5">
        <w:rPr>
          <w:rStyle w:val="FootnoteReference"/>
        </w:rPr>
        <w:footnoteReference w:id="4"/>
      </w:r>
      <w:r w:rsidRPr="00AF0DA5">
        <w:t>, и по-специално член 15 от него,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Регламент (ЕС) 2023/1322 на Европейския парламент и на Съвета от 27 юни 2023 г. относно Агенцията на Европейския съюз по наркотиците (EUDA) и за отмяна на Регламент (ЕО) № 1920/2006</w:t>
      </w:r>
      <w:r w:rsidRPr="00AF0DA5">
        <w:rPr>
          <w:rStyle w:val="FootnoteReference"/>
        </w:rPr>
        <w:footnoteReference w:id="5"/>
      </w:r>
      <w:r w:rsidRPr="00AF0DA5">
        <w:t>, и по-специално член 41 от него,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Делегиран регламент (ЕС) 2019/715 на Комисията от 18 декември 2018 г. относно рамковия финансов регламент за органите, създадени по силата на ДФЕС и Договора за Евратом и посочени в член 70 от Регламент (ЕС, Евратом) 2018/1046 на Европейския парламент и на Съвета</w:t>
      </w:r>
      <w:r w:rsidRPr="00AF0DA5">
        <w:rPr>
          <w:rStyle w:val="FootnoteReference"/>
        </w:rPr>
        <w:footnoteReference w:id="6"/>
      </w:r>
      <w:r w:rsidRPr="00AF0DA5">
        <w:t>, и по-специално член 105 от него,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член 100 и приложение V към своя Правилник за дейността,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становището на комисията по граждански свободи, правосъдие и вътрешни работи,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доклада на комисията по бюджетен контрол (A9-0104/2024),</w:t>
      </w:r>
    </w:p>
    <w:p w:rsidR="00472C7C" w:rsidRPr="00AF0DA5" w:rsidRDefault="00472C7C" w:rsidP="00472C7C">
      <w:pPr>
        <w:pStyle w:val="NormalHanging12a"/>
      </w:pPr>
      <w:r w:rsidRPr="00AF0DA5">
        <w:t>1.</w:t>
      </w:r>
      <w:r w:rsidRPr="00AF0DA5">
        <w:tab/>
        <w:t>освобождава от отговорност директора на Европейския център за мониторинг на наркотици и наркомании във връзка с изпълнението на бюджета на Центъра за финансовата 2022 година;</w:t>
      </w:r>
    </w:p>
    <w:p w:rsidR="00472C7C" w:rsidRPr="00AF0DA5" w:rsidRDefault="00472C7C" w:rsidP="00472C7C">
      <w:pPr>
        <w:pStyle w:val="NormalHanging12a"/>
      </w:pPr>
      <w:r w:rsidRPr="00AF0DA5">
        <w:t>2.</w:t>
      </w:r>
      <w:r w:rsidRPr="00AF0DA5">
        <w:tab/>
        <w:t>представя своите забележки в резолюцията по-долу;</w:t>
      </w:r>
    </w:p>
    <w:p w:rsidR="00472C7C" w:rsidRPr="00AF0DA5" w:rsidRDefault="00472C7C" w:rsidP="00472C7C">
      <w:pPr>
        <w:pStyle w:val="NormalHanging12a"/>
      </w:pPr>
      <w:r w:rsidRPr="00AF0DA5">
        <w:t>3.</w:t>
      </w:r>
      <w:r w:rsidRPr="00AF0DA5">
        <w:tab/>
        <w:t xml:space="preserve">възлага на своя председател да предаде настоящото решение, както и резолюцията, която е неразделна част от него, на директора на Европейския център за мониторинг на наркотици и наркомании, на Съвета, Комисията и Сметната палата и да осигури публикуването им в </w:t>
      </w:r>
      <w:r w:rsidRPr="00AF0DA5">
        <w:rPr>
          <w:i/>
        </w:rPr>
        <w:t>Официален вестник на Европейския съюз</w:t>
      </w:r>
      <w:r w:rsidRPr="00AF0DA5">
        <w:t xml:space="preserve"> (серия L).</w:t>
      </w:r>
    </w:p>
    <w:p w:rsidR="00472C7C" w:rsidRPr="00AF0DA5" w:rsidRDefault="00472C7C" w:rsidP="00472C7C"/>
    <w:p w:rsidR="00472C7C" w:rsidRPr="00AF0DA5" w:rsidRDefault="00472C7C" w:rsidP="00472C7C">
      <w:pPr>
        <w:widowControl/>
        <w:rPr>
          <w:rFonts w:ascii="Arial" w:hAnsi="Arial" w:cs="Arial"/>
          <w:b/>
        </w:rPr>
        <w:sectPr w:rsidR="00472C7C" w:rsidRPr="00AF0DA5" w:rsidSect="00AF0DA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472C7C" w:rsidRPr="00AF0DA5" w:rsidRDefault="00472C7C" w:rsidP="001E7B2C">
      <w:pPr>
        <w:pStyle w:val="ATHeading3"/>
      </w:pPr>
      <w:bookmarkStart w:id="9" w:name="_Toc146790741"/>
      <w:bookmarkStart w:id="10" w:name="_Toc161677034"/>
      <w:r w:rsidRPr="00AF0DA5">
        <w:lastRenderedPageBreak/>
        <w:t xml:space="preserve">2. </w:t>
      </w:r>
      <w:bookmarkEnd w:id="9"/>
      <w:bookmarkEnd w:id="10"/>
      <w:r w:rsidR="001E7B2C">
        <w:t xml:space="preserve">Решение на Европейския парламент от 11 април 2024 г. </w:t>
      </w:r>
      <w:r w:rsidRPr="00AF0DA5">
        <w:t>относно приключването на сметките на Европейския център за мониторинг на наркотици и наркомании за финансовата 2022 година</w:t>
      </w:r>
      <w:r w:rsidR="001E7B2C">
        <w:t xml:space="preserve"> (2023</w:t>
      </w:r>
      <w:r w:rsidRPr="00AF0DA5">
        <w:t>/2157(DEC))</w:t>
      </w:r>
    </w:p>
    <w:p w:rsidR="00472C7C" w:rsidRPr="00AF0DA5" w:rsidRDefault="00472C7C" w:rsidP="00472C7C">
      <w:pPr>
        <w:pStyle w:val="EPComma"/>
      </w:pPr>
      <w:r w:rsidRPr="00AF0DA5">
        <w:rPr>
          <w:i/>
        </w:rPr>
        <w:t>Европейският парламент</w:t>
      </w:r>
      <w:r w:rsidRPr="00AF0DA5">
        <w:t>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окончателните годишни отчети на Европейския център за мониторинг на наркотици и наркомании за финансовата 2022 година,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годишния доклад на Сметната палата относно агенциите на ЕС за финансовата 2022 година, придружен от отговорите на агенциите</w:t>
      </w:r>
      <w:r w:rsidRPr="00AF0DA5">
        <w:rPr>
          <w:rStyle w:val="FootnoteReference"/>
        </w:rPr>
        <w:footnoteReference w:id="7"/>
      </w:r>
      <w:r w:rsidRPr="00AF0DA5">
        <w:t>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декларацията за достоверност</w:t>
      </w:r>
      <w:r w:rsidRPr="00AF0DA5">
        <w:rPr>
          <w:rStyle w:val="FootnoteReference"/>
        </w:rPr>
        <w:footnoteReference w:id="8"/>
      </w:r>
      <w:r w:rsidRPr="00AF0DA5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2022 година в съответствие с член 287 от Договора за функционирането на Европейския съюз,</w:t>
      </w:r>
    </w:p>
    <w:p w:rsidR="00472C7C" w:rsidRPr="00AF0DA5" w:rsidRDefault="00472C7C" w:rsidP="008F0945">
      <w:pPr>
        <w:pStyle w:val="NormalHanging12a"/>
      </w:pPr>
      <w:r w:rsidRPr="00AF0DA5">
        <w:t>–</w:t>
      </w:r>
      <w:r w:rsidRPr="00AF0DA5">
        <w:tab/>
        <w:t>като взе предвид препоръката на Съвета от 22 февруари 2024 г. относно освобождаването от отговорност на Центъра във връзка с изпълнението на бюджета за финансовата 2022 година (</w:t>
      </w:r>
      <w:r w:rsidR="00694957">
        <w:t>0</w:t>
      </w:r>
      <w:r w:rsidR="008F0945">
        <w:rPr>
          <w:lang w:val="en-GB"/>
        </w:rPr>
        <w:t>6180</w:t>
      </w:r>
      <w:r w:rsidRPr="00AF0DA5">
        <w:t>/2024 – C9</w:t>
      </w:r>
      <w:r w:rsidRPr="00AF0DA5">
        <w:noBreakHyphen/>
      </w:r>
      <w:r w:rsidR="008F0945" w:rsidRPr="008F0945">
        <w:rPr>
          <w:lang w:val="en-GB"/>
        </w:rPr>
        <w:t>0095</w:t>
      </w:r>
      <w:r w:rsidRPr="00AF0DA5">
        <w:t>/2024),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член 319 от Договора за функционирането на Европейския съюз,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Регламент (ЕС, Евратом) 2018/1046 на Европейския парламент и на Съвета от 18 юли 2018 г. за финансовите правила, приложими за общия бюджет на Съюза, за изменение на регламенти (ЕС) № 1296/2013, (ЕС) № 1301/2013, (ЕС) № 1303/2013, (ЕС) № 1304/2013, (ЕС) № 1309/2013, (ЕС) № 1316/2013, (ЕС) № 223/2014 и (ЕС) № 283/2014 и на Решение № 541/2014/ЕС и за отмяна на Регламент (ЕС, Евратом) № 966/2012</w:t>
      </w:r>
      <w:r w:rsidRPr="00AF0DA5">
        <w:rPr>
          <w:rStyle w:val="FootnoteReference"/>
        </w:rPr>
        <w:footnoteReference w:id="9"/>
      </w:r>
      <w:r w:rsidRPr="00AF0DA5">
        <w:t>, и по-специално член 70 от него,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Регламент (ЕО) № 1920/2006 на Европейския парламент и на Съвета от 12 декември 2006 г. относно Европейския център за мониторинг на наркотици и наркомании</w:t>
      </w:r>
      <w:r w:rsidRPr="00AF0DA5">
        <w:rPr>
          <w:rStyle w:val="FootnoteReference"/>
        </w:rPr>
        <w:footnoteReference w:id="10"/>
      </w:r>
      <w:r w:rsidRPr="00AF0DA5">
        <w:t>, и по-специално член 15 от него,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Регламент (ЕС) 2023/1322 на Европейския парламент и на Съвета от 27 юни 2023 г. относно Агенцията на Европейския съюз по наркотиците (EUDA) и за отмяна на Регламент (ЕО) № 1920/2006</w:t>
      </w:r>
      <w:r w:rsidRPr="00AF0DA5">
        <w:rPr>
          <w:rStyle w:val="FootnoteReference"/>
        </w:rPr>
        <w:footnoteReference w:id="11"/>
      </w:r>
      <w:r w:rsidRPr="00AF0DA5">
        <w:t>, и по-специално член 41 от него,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Делегиран регламент (ЕС) 2019/715 на Комисията от 18 декември 2018 г. относно рамковия финансов регламент за органите, създадени по силата на ДФЕС и Договора за Евратом и посочени в член 70 от Регламент (ЕС, Евратом) 2018/1046 на Европейския парламент и на Съвета</w:t>
      </w:r>
      <w:r w:rsidRPr="00AF0DA5">
        <w:rPr>
          <w:rStyle w:val="FootnoteReference"/>
        </w:rPr>
        <w:footnoteReference w:id="12"/>
      </w:r>
      <w:r w:rsidRPr="00AF0DA5">
        <w:t>, и по-специално член 105 от него,</w:t>
      </w:r>
    </w:p>
    <w:p w:rsidR="00472C7C" w:rsidRPr="00AF0DA5" w:rsidRDefault="00472C7C" w:rsidP="00472C7C">
      <w:pPr>
        <w:pStyle w:val="NormalHanging12a"/>
      </w:pPr>
      <w:r w:rsidRPr="00AF0DA5">
        <w:lastRenderedPageBreak/>
        <w:t>–</w:t>
      </w:r>
      <w:r w:rsidRPr="00AF0DA5">
        <w:tab/>
        <w:t>като взе предвид член 100 и приложение V към своя Правилник за дейността,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становището на комисията по граждански свободи, правосъдие и вътрешни работи,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доклада на комисията по бюджетен контрол (A9-0104/2024),</w:t>
      </w:r>
    </w:p>
    <w:p w:rsidR="00472C7C" w:rsidRPr="00AF0DA5" w:rsidRDefault="00472C7C" w:rsidP="00472C7C">
      <w:pPr>
        <w:pStyle w:val="NormalHanging12a"/>
      </w:pPr>
      <w:r w:rsidRPr="00AF0DA5">
        <w:t>1.</w:t>
      </w:r>
      <w:r w:rsidRPr="00AF0DA5">
        <w:tab/>
        <w:t>одобрява приключването на сметките на Европейския център за мониторинг на наркотици и наркомании за финансовата 2022 година;</w:t>
      </w:r>
    </w:p>
    <w:p w:rsidR="00472C7C" w:rsidRPr="00AF0DA5" w:rsidRDefault="00472C7C" w:rsidP="00472C7C">
      <w:pPr>
        <w:pStyle w:val="NormalHanging12a"/>
      </w:pPr>
      <w:r w:rsidRPr="00AF0DA5">
        <w:t>2.</w:t>
      </w:r>
      <w:r w:rsidRPr="00AF0DA5">
        <w:tab/>
        <w:t xml:space="preserve">възлага на своя председател да предаде настоящото решение на директора на Европейския център за мониторинг на наркотици и наркомании, на Съвета, Комисията и Сметната палата и да осигури публикуването му в </w:t>
      </w:r>
      <w:r w:rsidRPr="00AF0DA5">
        <w:rPr>
          <w:i/>
        </w:rPr>
        <w:t>Официален вестник на Европейския съюз</w:t>
      </w:r>
      <w:r w:rsidRPr="00AF0DA5">
        <w:t xml:space="preserve"> (серия L).</w:t>
      </w:r>
    </w:p>
    <w:p w:rsidR="00472C7C" w:rsidRPr="00AF0DA5" w:rsidRDefault="00472C7C" w:rsidP="00472C7C"/>
    <w:p w:rsidR="00472C7C" w:rsidRPr="00AF0DA5" w:rsidRDefault="00472C7C" w:rsidP="00472C7C">
      <w:pPr>
        <w:widowControl/>
        <w:rPr>
          <w:rFonts w:ascii="Arial" w:hAnsi="Arial" w:cs="Arial"/>
          <w:b/>
        </w:rPr>
        <w:sectPr w:rsidR="00472C7C" w:rsidRPr="00AF0DA5" w:rsidSect="00AF0DA5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472C7C" w:rsidRPr="00AF0DA5" w:rsidRDefault="00472C7C" w:rsidP="001E7B2C">
      <w:pPr>
        <w:pStyle w:val="ATHeading3"/>
      </w:pPr>
      <w:bookmarkStart w:id="11" w:name="_Toc146790742"/>
      <w:bookmarkStart w:id="12" w:name="_Toc161677035"/>
      <w:r w:rsidRPr="00AF0DA5">
        <w:lastRenderedPageBreak/>
        <w:t xml:space="preserve">3. </w:t>
      </w:r>
      <w:bookmarkEnd w:id="11"/>
      <w:bookmarkEnd w:id="12"/>
      <w:r w:rsidR="001E7B2C">
        <w:t>Резолюция на Европейския парламент от 11 април 2024 г., съдържаща</w:t>
      </w:r>
      <w:r w:rsidRPr="00AF0DA5">
        <w:t xml:space="preserve"> забележките, които са неразделна част от решението за освобождаване от отговорност във връзка с изпълнението на бюджета на Европейския център за мониторинг на наркотици и наркомании за финансовата 2022 година</w:t>
      </w:r>
      <w:r w:rsidR="001E7B2C">
        <w:t xml:space="preserve"> (2023</w:t>
      </w:r>
      <w:r w:rsidRPr="00AF0DA5">
        <w:t>/2157(DEC))</w:t>
      </w:r>
    </w:p>
    <w:p w:rsidR="00472C7C" w:rsidRPr="00AF0DA5" w:rsidRDefault="00472C7C" w:rsidP="00472C7C">
      <w:pPr>
        <w:pStyle w:val="EPComma"/>
      </w:pPr>
      <w:r w:rsidRPr="00AF0DA5">
        <w:rPr>
          <w:i/>
        </w:rPr>
        <w:t>Европейският парламент</w:t>
      </w:r>
      <w:r w:rsidRPr="00AF0DA5">
        <w:t>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своето решение за освобождаване от отговорност във връзка с изпълнението на бюджета на Европейския център за мониторинг на наркотици и наркомании за финансовата 2022 година,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член 100 и приложение V към своя Правилник за дейността,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становището на комисията по граждански свободи, правосъдие и вътрешни работи,</w:t>
      </w:r>
    </w:p>
    <w:p w:rsidR="00472C7C" w:rsidRPr="00AF0DA5" w:rsidRDefault="00472C7C" w:rsidP="00472C7C">
      <w:pPr>
        <w:pStyle w:val="NormalHanging12a"/>
      </w:pPr>
      <w:r w:rsidRPr="00AF0DA5">
        <w:t>–</w:t>
      </w:r>
      <w:r w:rsidRPr="00AF0DA5">
        <w:tab/>
        <w:t>като взе предвид доклада на комисията по бюджетен контрол (A9-0104/2024),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А.</w:t>
      </w:r>
      <w:r w:rsidRPr="00AF0DA5">
        <w:tab/>
        <w:t>като има предвид, че според отчета за приходите и разходите</w:t>
      </w:r>
      <w:r w:rsidRPr="00AF0DA5">
        <w:rPr>
          <w:rStyle w:val="FootnoteReference"/>
          <w:szCs w:val="24"/>
        </w:rPr>
        <w:footnoteReference w:id="13"/>
      </w:r>
      <w:r w:rsidRPr="00AF0DA5">
        <w:t xml:space="preserve"> на Европейския център за мониторинг на наркотици и наркомании („Центъра“) неговият окончателен бюджет за финансовата 2022 година възлиза на 18 893 136 EUR, което представлява увеличение с 0,71% спрямо 2021 г.; като има предвид, че бюджетът на Центъра се осигурява основно (94%) от бюджета на Съюза;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Б.</w:t>
      </w:r>
      <w:r w:rsidRPr="00AF0DA5">
        <w:tab/>
        <w:t>като има предвид, че в своя доклад относно годишните отчети на Центъра за финансовата 2022 година („доклада на Палатата“) Сметната палата („Палатата“) заявява, че е получила достатъчна увереност, че годишните отчети на Центъра са надеждни и че свързаните с тях операции са законосъобразни и редовни;</w:t>
      </w:r>
    </w:p>
    <w:p w:rsidR="00472C7C" w:rsidRPr="00AF0DA5" w:rsidRDefault="00472C7C" w:rsidP="00472C7C">
      <w:pPr>
        <w:pStyle w:val="Normal12Hanging"/>
        <w:rPr>
          <w:b/>
          <w:i/>
          <w:szCs w:val="24"/>
        </w:rPr>
      </w:pPr>
      <w:r w:rsidRPr="00AF0DA5">
        <w:rPr>
          <w:b/>
          <w:i/>
        </w:rPr>
        <w:t>Бюджетно и финансово управление</w:t>
      </w:r>
    </w:p>
    <w:p w:rsidR="00472C7C" w:rsidRPr="00AF0DA5" w:rsidRDefault="00472C7C" w:rsidP="00472C7C">
      <w:pPr>
        <w:pStyle w:val="NormalHanging12a"/>
        <w:rPr>
          <w:szCs w:val="24"/>
        </w:rPr>
      </w:pPr>
      <w:r w:rsidRPr="00AF0DA5">
        <w:t>1.</w:t>
      </w:r>
      <w:r w:rsidRPr="00AF0DA5">
        <w:tab/>
        <w:t>отбелязва със задоволство, че усилията за контрол на бюджета през финансовата 2022 година са довели до степен на изпълнение на бюджета от 98,78% (намаление с 1,22% спрямо 2021 г.); отбелязва, че степента на изпълнение на бюджетните кредити за плащания е била 96,65%, което представлява леко увеличение с 0,30% в сравнение с 2021 г.; освен това отбелязва, че степента на изпълнение на бюджетните кредити за плащания, пренесени от 2021 г. към 2022 г., е 88,98%;</w:t>
      </w:r>
    </w:p>
    <w:p w:rsidR="00472C7C" w:rsidRPr="00AF0DA5" w:rsidRDefault="00472C7C" w:rsidP="00472C7C">
      <w:pPr>
        <w:pStyle w:val="NormalHanging12a"/>
      </w:pPr>
      <w:r w:rsidRPr="00AF0DA5">
        <w:t>2.</w:t>
      </w:r>
      <w:r w:rsidRPr="00AF0DA5">
        <w:tab/>
        <w:t xml:space="preserve">отбелязва въз основа на доклада на Палатата, че Центърът, въпреки че е платил лихви само за едно забавено плащане, е имал значителен брой плащания, неправилно отбелязани като такива със забавяне (107 от общо 1 595) от финансовото и счетоводното управление на Центъра (счетоводство на принципа на начисляването) поради неправилни параметри или неправилно въвеждане на данни или и двете за падежа на плащането или за получаването на документите, водещи до задължение за плащане; отбелязва въз основа на отговора на Центъра, че непоследователното отбелязване на плащания като такива със закъснение не е засегнало редовността на съответните операции; отбелязва също така, че </w:t>
      </w:r>
      <w:r w:rsidRPr="00AF0DA5">
        <w:lastRenderedPageBreak/>
        <w:t>Центърът е приел някои мерки, за да сведе до минимум посочения риск от „фалшиви положителни резултати“ и да гарантира допълнително, че неговата система на счетоводство на принципа на начисляването може да осигури ясна и точна картина на действително забавените плащания; призовава Агенцията да продължи да наблюдава този въпрос и да смекчава евентуалните бъдещи рискове за репутацията, свързани с този проблем;</w:t>
      </w:r>
    </w:p>
    <w:p w:rsidR="00472C7C" w:rsidRPr="00AF0DA5" w:rsidRDefault="00472C7C" w:rsidP="00472C7C">
      <w:pPr>
        <w:pStyle w:val="Normal12Hanging"/>
        <w:ind w:left="0" w:firstLine="0"/>
        <w:rPr>
          <w:b/>
          <w:i/>
          <w:szCs w:val="24"/>
        </w:rPr>
      </w:pPr>
      <w:r w:rsidRPr="00AF0DA5">
        <w:rPr>
          <w:b/>
          <w:i/>
        </w:rPr>
        <w:t>Резултати от дейността</w:t>
      </w:r>
    </w:p>
    <w:p w:rsidR="00472C7C" w:rsidRPr="00AF0DA5" w:rsidRDefault="00472C7C" w:rsidP="00472C7C">
      <w:pPr>
        <w:pStyle w:val="NormalHanging12a"/>
        <w:rPr>
          <w:szCs w:val="24"/>
        </w:rPr>
      </w:pPr>
      <w:r w:rsidRPr="00AF0DA5">
        <w:t>3.</w:t>
      </w:r>
      <w:r w:rsidRPr="00AF0DA5">
        <w:tab/>
        <w:t>отбелязва, че новият модел на Центъра за измерване на резултатите определя ограничен брой (10) съставни ключови показатели за ефективност (КПЕ), които се използват за измерване на ефективността при постигането на желаните резултати и ефикасността на използването на разпределените ресурси, и се допълват от КПЕ от по-високо равнище, съсредоточаващи се върху резултатите и въздействието; отбелязва, че за целите на оценката на КПЕ Центърът е определил 65 годишни цели, от които 57 цели (87%) са постигнати през 2022 г.;</w:t>
      </w:r>
    </w:p>
    <w:p w:rsidR="00472C7C" w:rsidRPr="00AF0DA5" w:rsidRDefault="00472C7C" w:rsidP="00472C7C">
      <w:pPr>
        <w:pStyle w:val="NormalHanging12a"/>
        <w:rPr>
          <w:szCs w:val="24"/>
        </w:rPr>
      </w:pPr>
      <w:r w:rsidRPr="00AF0DA5">
        <w:t>4.</w:t>
      </w:r>
      <w:r w:rsidRPr="00AF0DA5">
        <w:tab/>
        <w:t>отбелязва, че в рамките на работната програма за 2022 г. Центърът е постигнал 152 от общо 188 крайни продукти/резултати (81%), като е постигнал частично 12% от тях (т.е. 23 крайни продукти/резултати, които са били забавени и са били в процес на изпълнение в края на 2022 г.), докато 12 резултата (6%) не са били изпълнени, а два резултата не са били приложими; отбелязва, че според становището на Центъра повечето от забавянията или отмяната на дейности през 2022 г. се дължат на липса на ресурси; отбелязва освен това, че за изпълнението на новия си мандат (който се очаква да се прилага считано от 2022 г.) Центърът е започнал през 2022 г. подготовка, която включва ключови ресурси и се нуждае от някои корекции в някои от планираните му по-рано дейности;</w:t>
      </w:r>
    </w:p>
    <w:p w:rsidR="00472C7C" w:rsidRPr="00AF0DA5" w:rsidRDefault="00472C7C" w:rsidP="00472C7C">
      <w:pPr>
        <w:pStyle w:val="NormalHanging12a"/>
        <w:rPr>
          <w:szCs w:val="24"/>
        </w:rPr>
      </w:pPr>
      <w:r w:rsidRPr="00AF0DA5">
        <w:t>5.</w:t>
      </w:r>
      <w:r w:rsidRPr="00AF0DA5">
        <w:tab/>
        <w:t>признава усилията на Центъра и постигнатия напредък в неговите три области на дейност (здравеопазване, сигурност и двигатели на бизнеса); отбелязва по-специално публикуването през 2022 г. на новия Европейски доклад за наркотиците (EDR), в който се предоставя последният преглед на положението с наркотиците в Европа до 2022 г., стартирането на платформата за електронно обучение PLATO, която е домакин на Европейската учебна програма за превенция, предназначена да обучава специалисти, участващи в оформянето на решенията, мненията и политиките в областта на превенцията в Европа, публикуването на седем малки наръчника, които обхващат реакциите на наркотиците в местата за отдих, местните общности, училищата и затворите, както и отговор на нуждите на семействата и бездомното население, и публикуването на три акцента върху помещенията за употреба на наркотици, контрола на наркотиците и намесата в областта на електронното здравеопазване;</w:t>
      </w:r>
    </w:p>
    <w:p w:rsidR="00472C7C" w:rsidRPr="00AF0DA5" w:rsidRDefault="00472C7C" w:rsidP="00472C7C">
      <w:pPr>
        <w:pStyle w:val="NormalHanging12a"/>
      </w:pPr>
      <w:r w:rsidRPr="00AF0DA5">
        <w:t>6.</w:t>
      </w:r>
      <w:r w:rsidRPr="00AF0DA5">
        <w:tab/>
        <w:t xml:space="preserve">отбелязва със задоволство, че през 2022 г. Центърът е публикувал ново проучване с бързи и смесени методи за проучване на тенденциите за оценка на първоначалната услуга в отговор на нуждите на разселените украинци в съседните държави в рамките на Съюза; приветства Центъра за сътрудничеството с Европол във връзка с подготовката на четвъртото издание на съвместния материал „Пазари на наркотици в ЕС: Задълбочен анализ“, чиито констатации са представени в поредица от модули, всеки от които е съсредоточен върху пазара на определен наркотик и обхваща тенденциите във веригата на доставки от производството и трафика до разпространението и употребата; в този контекст </w:t>
      </w:r>
      <w:r w:rsidRPr="00AF0DA5">
        <w:lastRenderedPageBreak/>
        <w:t xml:space="preserve">приветства стартирането през 2022 г. на първите два модула, отнасящи се за кокаина и </w:t>
      </w:r>
      <w:proofErr w:type="spellStart"/>
      <w:r w:rsidRPr="00AF0DA5">
        <w:t>метамфетамина</w:t>
      </w:r>
      <w:proofErr w:type="spellEnd"/>
      <w:r w:rsidRPr="00AF0DA5">
        <w:t>;</w:t>
      </w:r>
    </w:p>
    <w:p w:rsidR="00472C7C" w:rsidRPr="00AF0DA5" w:rsidRDefault="00472C7C" w:rsidP="00472C7C">
      <w:pPr>
        <w:pStyle w:val="NormalHanging12a"/>
        <w:rPr>
          <w:szCs w:val="24"/>
        </w:rPr>
      </w:pPr>
      <w:r w:rsidRPr="00AF0DA5">
        <w:t>7.</w:t>
      </w:r>
      <w:r w:rsidRPr="00AF0DA5">
        <w:tab/>
        <w:t>отбелязва, че през 2022 г. Центърът е продължил да прилага системата за ранно предупреждение на Европейския съюз (СРП) в сътрудничество със своите партньори; отбелязва в същия контекст, че през 2022 г. СРП беше официално обявена за първи път за 41 нови психоактивни вещества (НПВ); отбелязва освен това, че две НПВ, по отношение на които Центърът е извършил през 2021 г. оценка на риска (3-хлорометкатинон (3-CMC) и 3-метилметкатинон (3-MMC)), са били включени в определението за „наркотици“ с делегирана директива на Комисията през 2022 г.;</w:t>
      </w:r>
    </w:p>
    <w:p w:rsidR="00472C7C" w:rsidRPr="00AF0DA5" w:rsidRDefault="00472C7C" w:rsidP="00472C7C">
      <w:pPr>
        <w:pStyle w:val="NormalHanging12a"/>
        <w:rPr>
          <w:szCs w:val="24"/>
        </w:rPr>
      </w:pPr>
      <w:r w:rsidRPr="00AF0DA5">
        <w:t>8.</w:t>
      </w:r>
      <w:r w:rsidRPr="00AF0DA5">
        <w:tab/>
        <w:t xml:space="preserve">приветства участието на Центъра в обучения по темата за наркотиците и в изграждането на капацитет, като той успява да предаде своите знания на над 950 специалисти, работещи в областта на наркотиците, включително служители на правоприлагащите органи, и създатели на политики; отбелязва освен това, че около 1 200 специалисти, работещи в областта на наркотиците по целия свят, са присъствали на седемте </w:t>
      </w:r>
      <w:proofErr w:type="spellStart"/>
      <w:r w:rsidRPr="00AF0DA5">
        <w:t>уебинара</w:t>
      </w:r>
      <w:proofErr w:type="spellEnd"/>
      <w:r w:rsidRPr="00AF0DA5">
        <w:t>, организирани от Центъра през 2022 г.; поздравява Центъра за организирането, заедно с неговите партньори, на четвъртата европейска конференция по въпросите на поведението, водещо до пристрастяване, и зависимостите, проведена в Лисабон през 2022 г., която в рамките на общата тема „Глобални пристрастявания“ събра рекорден брой от 1 757 участници от 84 държави;</w:t>
      </w:r>
    </w:p>
    <w:p w:rsidR="00472C7C" w:rsidRPr="00AF0DA5" w:rsidRDefault="00472C7C" w:rsidP="00472C7C">
      <w:pPr>
        <w:pStyle w:val="NormalHanging12a"/>
        <w:rPr>
          <w:szCs w:val="24"/>
        </w:rPr>
      </w:pPr>
      <w:r w:rsidRPr="00AF0DA5">
        <w:t>9.</w:t>
      </w:r>
      <w:r w:rsidRPr="00AF0DA5">
        <w:tab/>
        <w:t>приветства непрестанните усилия на Центъра да подчертава социалните аспекти и въздействието на наркотиците върху обществото, да насърчава политики за социална реинтеграция на употребяващите наркотици и да подхожда към темата за наркотиците с мултидисциплинарна перспектива. счита, че е от съществено значение да продължи повишаването на осведомеността относно значението на профилактиката и новаторския подход, основан на психичното здраве, към политиките в областта на наркотиците;</w:t>
      </w:r>
    </w:p>
    <w:p w:rsidR="00472C7C" w:rsidRPr="00AF0DA5" w:rsidRDefault="00472C7C" w:rsidP="00472C7C">
      <w:pPr>
        <w:pStyle w:val="NormalHanging12a"/>
      </w:pPr>
      <w:r w:rsidRPr="00AF0DA5">
        <w:t>10.</w:t>
      </w:r>
      <w:r w:rsidRPr="00AF0DA5">
        <w:tab/>
        <w:t xml:space="preserve">приветства напредъка, постигнат от Центъра във връзка със съвместния доклад „Пазарите на наркотици в ЕС: задълбочен анализ“, в сътрудничество с Европол, с модули за специфични наркотици, публикуван през 2022 г. и с планирани публикации през 2023 г.; приветства работата през 2022 г. за подобряване на качеството и наличността на основните данни за доставките в сътрудничество с националните фокусни точки на </w:t>
      </w:r>
      <w:proofErr w:type="spellStart"/>
      <w:r w:rsidRPr="00AF0DA5">
        <w:t>Reitox</w:t>
      </w:r>
      <w:proofErr w:type="spellEnd"/>
      <w:r w:rsidRPr="00AF0DA5">
        <w:t xml:space="preserve"> (Европейска информационна мрежа за наркотици и наркомании) и Европол; приветства изпълнението на всички задачи на Центъра в рамките на оперативните планове за действие на мултидисциплинарната платформа за борба срещу заплахи от престъпления относно канабиса, кокаина и хероина;</w:t>
      </w:r>
      <w:r w:rsidRPr="00AF0DA5">
        <w:rPr>
          <w:rStyle w:val="FootnoteReference"/>
        </w:rPr>
        <w:t xml:space="preserve"> </w:t>
      </w:r>
      <w:r w:rsidRPr="00AF0DA5">
        <w:t>припомня, че трафикът на наркотици е определен като основен източник на печалба и канал за набиране на участници в организираната престъпност и тероризма, и поради това подчертава приноса на Центъра и за една по-сигурна Европа;</w:t>
      </w:r>
    </w:p>
    <w:p w:rsidR="00472C7C" w:rsidRPr="00AF0DA5" w:rsidRDefault="00472C7C" w:rsidP="00472C7C">
      <w:pPr>
        <w:pStyle w:val="NormalHanging12a"/>
      </w:pPr>
      <w:r w:rsidRPr="00AF0DA5">
        <w:t>11.</w:t>
      </w:r>
      <w:r w:rsidRPr="00AF0DA5">
        <w:tab/>
        <w:t xml:space="preserve">приветства продължаващото сътрудничество между Центъра и държавите партньори по Европейската политика за съседство на регионално равнище чрез проекта за техническа помощ EU4MD, както и текущото изпълнение на двустранния проект с Грузия (EMCDDA4GE); приветства установяването на официално партньорство в рамките на програмата за сътрудничество между </w:t>
      </w:r>
      <w:r w:rsidRPr="00AF0DA5">
        <w:lastRenderedPageBreak/>
        <w:t>Латинска Америка, Карибския басейн и Европейския съюз във връзка с политиките в областта на наркотиците;</w:t>
      </w:r>
    </w:p>
    <w:p w:rsidR="00472C7C" w:rsidRPr="00AF0DA5" w:rsidRDefault="00472C7C" w:rsidP="00472C7C">
      <w:pPr>
        <w:pStyle w:val="Normal12Hanging"/>
        <w:rPr>
          <w:b/>
          <w:i/>
          <w:szCs w:val="24"/>
        </w:rPr>
      </w:pPr>
      <w:r w:rsidRPr="00AF0DA5">
        <w:rPr>
          <w:b/>
          <w:i/>
        </w:rPr>
        <w:t>Ефикасност и ползи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12.</w:t>
      </w:r>
      <w:r w:rsidRPr="00AF0DA5">
        <w:tab/>
        <w:t>приветства Центъра за ангажимента му постоянно да подобрява ефективността и ефикасността на своите дейности и да използва максимално своите ресурси, експертен опит и ноу-хау, за да допринася в крайна сметка за една по-сигурна и по-здравословна Европа, по-специално чрез споразумения за сътрудничество с агенциите в областите на правосъдието, вътрешните работи и здравеопазването; отбелязва мерките, които Центърът е предприел, за да намали текущите разходи за своите помещения, като например използването на слънчево засенчване в стъклени зони и превключватели на прозорците за климатичен контрол; освен това отбелязва споразумението с Европейската агенция за морска безопасност за споделяне на използването на общи зони (столова, подземна зона за паркиране и конферентни съоръжения) в комплекса, в който се намират техните седалища, и сътрудничеството между двете агенции във връзка със съвместното възлагане на обществени поръчки за споделени услуги (напр. сигурност, почистване, кетъринг, наред с другото) и съвместното организиране на дейности за обучение от общ интерес за служителите на двете агенции;</w:t>
      </w:r>
    </w:p>
    <w:p w:rsidR="00472C7C" w:rsidRPr="00AF0DA5" w:rsidRDefault="00472C7C" w:rsidP="00472C7C">
      <w:pPr>
        <w:pStyle w:val="Normal12Hanging"/>
      </w:pPr>
      <w:r w:rsidRPr="00AF0DA5">
        <w:t>13.</w:t>
      </w:r>
      <w:r w:rsidRPr="00AF0DA5">
        <w:tab/>
        <w:t>отбелязва със задоволство, че Центърът разполага със стратегически план („Стратегия за околната среда за периода 2021—2025 г.“), за да стане въглеродно неутрален, и че е включил в своя годишен отчет за дейността показатели относно екологичните показатели на Центъра и отпечатъка на CO</w:t>
      </w:r>
      <w:r w:rsidRPr="00AF0DA5">
        <w:rPr>
          <w:vertAlign w:val="subscript"/>
        </w:rPr>
        <w:t>2</w:t>
      </w:r>
      <w:r w:rsidRPr="00AF0DA5">
        <w:t>, като годишните резултати се подобряват непрекъснато от 2014 г. насам; приветства решението на директора на Центъра, взето през 2022 г., да получи сертифициране по Схемата за управление на околната среда и одитиране (EMAS), чийто процес се очакваше да приключи през 2023 г.;</w:t>
      </w:r>
    </w:p>
    <w:p w:rsidR="00472C7C" w:rsidRPr="00AF0DA5" w:rsidRDefault="00472C7C" w:rsidP="00472C7C">
      <w:pPr>
        <w:pStyle w:val="Normal12Hanging"/>
      </w:pPr>
      <w:r w:rsidRPr="00AF0DA5">
        <w:t>14.</w:t>
      </w:r>
      <w:r w:rsidRPr="00AF0DA5">
        <w:tab/>
        <w:t>отбелязва, че през 2022 г. Центърът е изпълнил няколко проекта, предназначени да подобрят екологичните показатели чрез подобряване на потреблението на електроенергия, инсталиране на слънчеви електроенергийни клетки на покрива на сградата, както и инсталиране на станции за съвместно ползване за зареждане на електрически автомобили с оглед замяна на автомобилния парк на Центъра с електрически или хибридни превозни средства;</w:t>
      </w:r>
    </w:p>
    <w:p w:rsidR="00472C7C" w:rsidRPr="00AF0DA5" w:rsidRDefault="00472C7C" w:rsidP="00472C7C">
      <w:pPr>
        <w:pStyle w:val="Normal12Hanging"/>
        <w:rPr>
          <w:b/>
          <w:i/>
          <w:szCs w:val="24"/>
        </w:rPr>
      </w:pPr>
      <w:r w:rsidRPr="00AF0DA5">
        <w:rPr>
          <w:b/>
          <w:i/>
        </w:rPr>
        <w:t>Политика относно персонала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15.</w:t>
      </w:r>
      <w:r w:rsidRPr="00AF0DA5">
        <w:tab/>
        <w:t>отбелязва, че към 31 декември 2022 г. щатното разписание е било запълнено на 97%, като са били назначени шест длъжностни лица и 68 срочно наети служители от общо седемте длъжности за длъжностни лица и 69-те длъжности за срочно наети служители, разрешени съгласно бюджета на Съюза (76 разрешени длъжности през 2022 г., същият брой като през 2021 г.); отбелязва, че освен това през 2022 г. за Центъра са работили 27 договорно наети служители; приветства прегледа на персонала на Центъра през 2022 г. и ефективното и ефикасно разпределение на неговите ресурси, като 72,44% от служителите на Центъра са разпределени за оперативни задачи, 18,20% — за административна подкрепа и 9,35% — за неутрални операции; приветства Центъра за ниското текучество на персонала (2,9%) през 2022 г.;</w:t>
      </w:r>
    </w:p>
    <w:p w:rsidR="00472C7C" w:rsidRPr="00AF0DA5" w:rsidRDefault="00472C7C" w:rsidP="00472C7C">
      <w:pPr>
        <w:pStyle w:val="NormalHanging12a"/>
      </w:pPr>
      <w:r w:rsidRPr="00AF0DA5">
        <w:lastRenderedPageBreak/>
        <w:t>16.</w:t>
      </w:r>
      <w:r w:rsidRPr="00AF0DA5">
        <w:tab/>
        <w:t>отбелязва, че Центърът е докладвал, че във висшето му ръководство работят две жени (22%) и седем мъже (78%), докато в неговия управителен съвет (УС) има 20 жени (37%) и 34 мъже (63%); отбелязва, че като цяло персоналът се състои от 36 мъже (38%) и 58 жени (62%); припомня, че е важно да се гарантира баланс между половете сред служителите, и призовава Центъра да вземе предвид този аспект при бъдещото набиране и назначаване на служители в рамките на своето висше ръководство; призовава Комисията и държавите членки при номинирането на своите членове на управителния съвет на Центъра да вземат предвид, че е важно да се осигури баланс между половете;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17.</w:t>
      </w:r>
      <w:r w:rsidRPr="00AF0DA5">
        <w:tab/>
        <w:t xml:space="preserve">отбелязва въз основа на доклада на Центъра относно последващите мерки, предприети във връзка с освобождаването от отговорност във връзка с изпълнението на бюджета на Центъра за финансовата 2021 година („докладът на Центъра“), за подобряване на баланса между половете в рамките на Центъра; отбелязва, че такива мерки са били предприети в контекста на процедурите на Центъра за набиране на персонал и разпространението в държавите членки на информация относно процеса на подбор, прилаган от Центъра; поздравява председателя на управителния съвет на Центъра за това, че се обръща към съответните органи на държавите членки, Норвегия и Турция във връзка с осигуряването на баланс между половете при издигането на кандидатурите за техните членове на управителния съвет на Центъра; освен това отбелязва въз основа на доклада на Центъра във връзка с констатацията относно </w:t>
      </w:r>
      <w:proofErr w:type="spellStart"/>
      <w:r w:rsidRPr="00AF0DA5">
        <w:t>неизползването</w:t>
      </w:r>
      <w:proofErr w:type="spellEnd"/>
      <w:r w:rsidRPr="00AF0DA5">
        <w:t xml:space="preserve"> на SYSPER, че Центърът е разработил и въвел свои собствени инструменти в областта на информационните и комуникационните технологии за цифровизирано управление на човешките ресурси;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18.</w:t>
      </w:r>
      <w:r w:rsidRPr="00AF0DA5">
        <w:tab/>
        <w:t>припомня констатацията от годишния доклад на Палатата относно агенциите на Съюза относно наемането на служители на временни договори чрез рамков договор, без да е съобразено с изискванията на Директива 2008/104/ЕО</w:t>
      </w:r>
      <w:r w:rsidRPr="00AF0DA5">
        <w:rPr>
          <w:rStyle w:val="FootnoteReference"/>
          <w:szCs w:val="24"/>
        </w:rPr>
        <w:footnoteReference w:id="14"/>
      </w:r>
      <w:r w:rsidRPr="00AF0DA5">
        <w:t xml:space="preserve"> и на трудовото законодателство на Португалия; отбелязва въз основа на доклада на Палатата, че тази констатация е приключена, като срокът на действие на въпросния рамков договор е изтекъл през март 2022 г., а последното плащане по отношение на служителите на временни договори е било извършено през януари 2022 г.;</w:t>
      </w:r>
    </w:p>
    <w:p w:rsidR="00472C7C" w:rsidRPr="00AF0DA5" w:rsidRDefault="00472C7C" w:rsidP="00472C7C">
      <w:pPr>
        <w:pStyle w:val="Normal12Hanging"/>
        <w:rPr>
          <w:b/>
          <w:i/>
          <w:szCs w:val="24"/>
        </w:rPr>
      </w:pPr>
      <w:r w:rsidRPr="00AF0DA5">
        <w:rPr>
          <w:b/>
          <w:i/>
        </w:rPr>
        <w:t>Обществени поръчки</w:t>
      </w:r>
    </w:p>
    <w:p w:rsidR="00472C7C" w:rsidRPr="00AF0DA5" w:rsidRDefault="00472C7C" w:rsidP="00472C7C">
      <w:pPr>
        <w:pStyle w:val="NormalHanging12a"/>
        <w:rPr>
          <w:szCs w:val="24"/>
        </w:rPr>
      </w:pPr>
      <w:r w:rsidRPr="00AF0DA5">
        <w:t>19.</w:t>
      </w:r>
      <w:r w:rsidRPr="00AF0DA5">
        <w:tab/>
        <w:t xml:space="preserve">отбелязва въз основа на доклада на Палатата, че сумата (75 000 EUR), съответстваща на договор, сключен през 2022 г., не е напълно покрита от съответно бюджетно задължение, което води до дефицит в размер на 8 000 EUR; отбелязва, че подобна ситуация е възникнала през 2021 г. за същия вид договор и че и в двата случая Центърът, според доклада на Палатата, не е действал в съответствие с изискванията, установени в член 10, параграф 3 и в член 73, параграф 2 от Финансовия регламент на Центъра; отбелязва обаче въз основа на отговора на Центъра, че разходите по договора са били поделени в съответствие със споразуменията, сключени с други два субекта, които използват помещенията на Центъра в Лисабон; отбелязва в този контекст, че Центърът е трябвало да </w:t>
      </w:r>
      <w:r w:rsidRPr="00AF0DA5">
        <w:lastRenderedPageBreak/>
        <w:t>поеме само част от общите разходи/разноски по договора, като за тази част се е разчитало на съответните бюджетни задължения, докато за останалата част от разходите са е разчитало на компенсиращи/уравняващи счетоводни операции, тъй като тези разходи са били поети от другите два субекта;</w:t>
      </w:r>
    </w:p>
    <w:p w:rsidR="00472C7C" w:rsidRPr="00AF0DA5" w:rsidRDefault="00472C7C" w:rsidP="00472C7C">
      <w:pPr>
        <w:pStyle w:val="Normal12Hanging"/>
        <w:rPr>
          <w:b/>
          <w:i/>
          <w:szCs w:val="24"/>
        </w:rPr>
      </w:pPr>
      <w:r w:rsidRPr="00AF0DA5">
        <w:rPr>
          <w:b/>
          <w:i/>
        </w:rPr>
        <w:t>Предотвратяване и управление на конфликти на интереси и прозрачност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20.</w:t>
      </w:r>
      <w:r w:rsidRPr="00AF0DA5">
        <w:tab/>
        <w:t>отчита съществуващите мерки и продължаващите усилия на Центъра за осигуряване на прозрачност, предотвратяване и управление на конфликтите на интереси и предоставяне на защита за лицата, сигнализиращи за нередности; отбелязва, че през 2022 г. не са докладвани, разследвани или приключени случаи на конфликт на интереси и на подаване на сигнал за нередности; приветства факта, че Центърът е публикувал на своя уебсайт декларациите за интереси и автобиографиите на членовете на своето висше ръководство, на членовете на своя управителен съвет и на външните експерти, които са членове на неговия научен комитет; припомня, че на уебсайта на Центъра е публикувано обобщение само на настоящите професионални дейности на членовете на управителния съвет; отбелязва ангажимента на Центъра да разгледа до края на 2023 г. осъществимостта на включването в публикуваните автобиографии на предишната професионална дейност на тези членове;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21.</w:t>
      </w:r>
      <w:r w:rsidRPr="00AF0DA5">
        <w:tab/>
        <w:t>отбелязва, че Центърът не се е срещнал с лобисти през 2022 г.; отбелязва по-нататък, че в съответствие с насоките и препоръките на Комисията и на Европейския омбудсман по този въпрос Центърът прие кодекс за поведение и практически препоръки/насоки за евентуалното взаимодействие на своите служители с представители на интереси; отбелязва освен това, че тези насоки препоръчват в случаите на провеждане на такива срещи същите да бъдат регистрирани и оповестени публично; призовава Центъра да следва тези насоки и да публикува незабавно такива срещи;</w:t>
      </w:r>
    </w:p>
    <w:p w:rsidR="00472C7C" w:rsidRPr="00AF0DA5" w:rsidRDefault="00472C7C" w:rsidP="00472C7C">
      <w:pPr>
        <w:pStyle w:val="Normal12Hanging"/>
        <w:rPr>
          <w:b/>
          <w:i/>
          <w:szCs w:val="24"/>
        </w:rPr>
      </w:pPr>
      <w:r w:rsidRPr="00AF0DA5">
        <w:rPr>
          <w:b/>
          <w:i/>
        </w:rPr>
        <w:t>Вътрешен контрол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22.</w:t>
      </w:r>
      <w:r w:rsidRPr="00AF0DA5">
        <w:tab/>
        <w:t>отбелязва, че през 2022 г. Службата за вътрешен одит (IAS) е извършила два одита за Центъра, а именно на международното сътрудничество и на адекватността на координацията и работните договорености на партньорските генерални дирекции и други заинтересовани страни, както и на рамката за управление на децентрализираните агенции на Съюза; отбелязва, че одитните резултати и от двата одитни проекта все още не са били налични в края на 2022 г., когато не е имало неизпълнени констатации за критични рискове или препоръки от Службата за вътрешен одит, с изключение на една неизпълнена препоръка относно вътрешната комуникация, от одит на управлението на човешките ресурси и етиката, извършен през 2021 г.;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23.</w:t>
      </w:r>
      <w:r w:rsidRPr="00AF0DA5">
        <w:tab/>
        <w:t xml:space="preserve">приветства резултата от оценката за 2022 г. на ефективността на системите за вътрешен контрол на Центъра, според която всички компоненти са налице и функционират; отбелязва, че оценката е установила пет принципа на рамката за вътрешен контрол, при които може да са необходими някои подобрения по отношение на контролната среда, контролните дейности и информацията и комуникацията; отбелязва освен това, че през 2022 г. е извършена всеобхватна процедура за идентифициране и оценка на риска, насочена към подобряване на управлението на риска в Центъра, като са установени рискове, свързани с новия </w:t>
      </w:r>
      <w:r w:rsidRPr="00AF0DA5">
        <w:lastRenderedPageBreak/>
        <w:t>мандат на Центъра и неговия нов бизнес модел; призовава Центъра да обърне внимание на всички недостатъци, установени в хода на различните оценки, извършени през 2022 г.;</w:t>
      </w:r>
    </w:p>
    <w:p w:rsidR="00472C7C" w:rsidRPr="00AF0DA5" w:rsidRDefault="00472C7C" w:rsidP="00472C7C">
      <w:pPr>
        <w:pStyle w:val="Normal12Hanging"/>
      </w:pPr>
      <w:r w:rsidRPr="00AF0DA5">
        <w:t>24.</w:t>
      </w:r>
      <w:r w:rsidRPr="00AF0DA5">
        <w:tab/>
        <w:t>отбелязва, че през 2021 г. Центърът е приел преразгледана стратегия за борба срещу измамите с три стратегически цели и план за действие за изпълнение през 2022 г., които до края на годината са били почти изцяло изпълнени, като само едно от общо 12 действия все още не е приключило;</w:t>
      </w:r>
    </w:p>
    <w:p w:rsidR="00472C7C" w:rsidRPr="00AF0DA5" w:rsidRDefault="00472C7C" w:rsidP="00472C7C">
      <w:pPr>
        <w:pStyle w:val="Normal12Hanging"/>
        <w:rPr>
          <w:b/>
          <w:i/>
          <w:szCs w:val="24"/>
        </w:rPr>
      </w:pPr>
      <w:r w:rsidRPr="00AF0DA5">
        <w:rPr>
          <w:b/>
          <w:i/>
        </w:rPr>
        <w:t>Други коментари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25.</w:t>
      </w:r>
      <w:r w:rsidRPr="00AF0DA5">
        <w:tab/>
        <w:t>приветства Центъра за комуникационните усилия, насочени към осигуряване на изготвянето на висококачествени публикации, като през 2022 г. бяха изготвени 66 научни и институционални публикации, както и 16 научни статии и глави от книги с автор или съавтор Центърът, които са публикувани в престижни списания;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26.</w:t>
      </w:r>
      <w:r w:rsidRPr="00AF0DA5">
        <w:tab/>
        <w:t xml:space="preserve">приветства значителното увеличение на аудиторията на Центъра, достигната през 2022 г. по всички канали; отбелязва в този контекст, че Центърът е имал около 2,6 милиона уникални посетители на уебсайта, рекорден брой (увеличение с почти 50% спрямо 2021 г.), 1,6 милиона гледания на негови видеоклипове (увеличение с 15% в сравнение с 2021 г.) и повече последователи в два ключови канала на социалните медии — </w:t>
      </w:r>
      <w:proofErr w:type="spellStart"/>
      <w:r w:rsidRPr="00AF0DA5">
        <w:t>LinkedIn</w:t>
      </w:r>
      <w:proofErr w:type="spellEnd"/>
      <w:r w:rsidRPr="00AF0DA5">
        <w:t xml:space="preserve"> (+ 57%) и </w:t>
      </w:r>
      <w:proofErr w:type="spellStart"/>
      <w:r w:rsidRPr="00AF0DA5">
        <w:t>Instagram</w:t>
      </w:r>
      <w:proofErr w:type="spellEnd"/>
      <w:r w:rsidRPr="00AF0DA5">
        <w:t xml:space="preserve"> (+ 37%);</w:t>
      </w:r>
    </w:p>
    <w:p w:rsidR="00472C7C" w:rsidRPr="00AF0DA5" w:rsidRDefault="00472C7C" w:rsidP="00472C7C">
      <w:pPr>
        <w:pStyle w:val="Normal12Hanging"/>
        <w:rPr>
          <w:szCs w:val="24"/>
        </w:rPr>
      </w:pPr>
      <w:r w:rsidRPr="00AF0DA5">
        <w:t>27.</w:t>
      </w:r>
      <w:r w:rsidRPr="00AF0DA5">
        <w:tab/>
        <w:t>призовава Центъра да се фокусира върху разпространението на резултатите от своите научни изследвания сред широката общественост и да достига до обществеността чрез социалните и други медии; във връзка с това приветства достъпността за ползвателите на докладите, създадени от Центъра;</w:t>
      </w:r>
    </w:p>
    <w:p w:rsidR="00472C7C" w:rsidRPr="00AF0DA5" w:rsidRDefault="00472C7C" w:rsidP="00472C7C">
      <w:pPr>
        <w:pStyle w:val="NormalHanging12a"/>
        <w:rPr>
          <w:szCs w:val="24"/>
        </w:rPr>
      </w:pPr>
      <w:r w:rsidRPr="00AF0DA5">
        <w:t>28.</w:t>
      </w:r>
      <w:r w:rsidRPr="00AF0DA5">
        <w:tab/>
        <w:t>приветства страницата за ресурсите, EMCDDA (ЕЦМНН) 4 Украйна, създадена за специалисти, работещи в областта на борбата с наркотиците в Европа, в подкрепа на разселените хора от Украйна;</w:t>
      </w:r>
    </w:p>
    <w:p w:rsidR="00472C7C" w:rsidRPr="00AF0DA5" w:rsidRDefault="00472C7C" w:rsidP="00472C7C">
      <w:pPr>
        <w:pStyle w:val="NormalCenter12a"/>
      </w:pPr>
      <w:r w:rsidRPr="00AF0DA5">
        <w:t>°</w:t>
      </w:r>
    </w:p>
    <w:p w:rsidR="00472C7C" w:rsidRPr="00AF0DA5" w:rsidRDefault="00472C7C" w:rsidP="00472C7C">
      <w:pPr>
        <w:pStyle w:val="NormalCenter12a"/>
      </w:pPr>
      <w:r w:rsidRPr="00AF0DA5">
        <w:t>°</w:t>
      </w:r>
      <w:r w:rsidRPr="00AF0DA5">
        <w:tab/>
        <w:t>°</w:t>
      </w:r>
    </w:p>
    <w:p w:rsidR="00472C7C" w:rsidRPr="00AF0DA5" w:rsidRDefault="00472C7C" w:rsidP="00472C7C">
      <w:pPr>
        <w:pStyle w:val="NormalHanging12a"/>
      </w:pPr>
      <w:r w:rsidRPr="00AF0DA5">
        <w:t>29.</w:t>
      </w:r>
      <w:r w:rsidRPr="00AF0DA5">
        <w:tab/>
        <w:t xml:space="preserve">по отношение на други забележки, придружаващи решението за освобождаване от отговорност, които имат хоризонтален характер, препраща към своята резолюция от </w:t>
      </w:r>
      <w:r w:rsidR="001E7B2C">
        <w:t>11 април</w:t>
      </w:r>
      <w:r w:rsidRPr="00AF0DA5">
        <w:t xml:space="preserve"> 2024 г</w:t>
      </w:r>
      <w:r w:rsidRPr="00AF0DA5">
        <w:rPr>
          <w:rStyle w:val="FootnoteReference"/>
        </w:rPr>
        <w:footnoteReference w:id="15"/>
      </w:r>
      <w:r w:rsidRPr="00AF0DA5">
        <w:t>. относно резултатите от дейността, финансовото управление и контрола на агенциите.</w:t>
      </w:r>
    </w:p>
    <w:p w:rsidR="00472C7C" w:rsidRPr="00AF0DA5" w:rsidRDefault="00472C7C" w:rsidP="00472C7C"/>
    <w:p w:rsidR="00E365E1" w:rsidRPr="00AF0DA5" w:rsidRDefault="00E365E1" w:rsidP="00472C7C">
      <w:bookmarkStart w:id="13" w:name="TextBodyEnd"/>
      <w:bookmarkEnd w:id="13"/>
    </w:p>
    <w:sectPr w:rsidR="00E365E1" w:rsidRPr="00AF0DA5" w:rsidSect="00AF0DA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156" w:rsidRPr="00AF0DA5" w:rsidRDefault="005A6156">
      <w:r w:rsidRPr="00AF0DA5">
        <w:separator/>
      </w:r>
    </w:p>
  </w:endnote>
  <w:endnote w:type="continuationSeparator" w:id="0">
    <w:p w:rsidR="005A6156" w:rsidRPr="00AF0DA5" w:rsidRDefault="005A6156">
      <w:r w:rsidRPr="00AF0D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C7C" w:rsidRPr="00AF0DA5" w:rsidRDefault="00472C7C" w:rsidP="00053AA3">
    <w:pPr>
      <w:pStyle w:val="EPFooter"/>
    </w:pPr>
    <w:r w:rsidRPr="00AF0DA5">
      <w:t>PE</w:t>
    </w:r>
    <w:r w:rsidRPr="00AF0DA5">
      <w:rPr>
        <w:rStyle w:val="HideTWBExt"/>
      </w:rPr>
      <w:t>&lt;NoPE&gt;</w:t>
    </w:r>
    <w:r w:rsidRPr="00AF0DA5">
      <w:t>753.525</w:t>
    </w:r>
    <w:r w:rsidRPr="00AF0DA5">
      <w:rPr>
        <w:rStyle w:val="HideTWBExt"/>
      </w:rPr>
      <w:t>&lt;/NoPE&gt;&lt;Version&gt;</w:t>
    </w:r>
    <w:r w:rsidRPr="00AF0DA5">
      <w:t>v02-00</w:t>
    </w:r>
    <w:r w:rsidRPr="00AF0DA5">
      <w:rPr>
        <w:rStyle w:val="HideTWBExt"/>
      </w:rPr>
      <w:t>&lt;/Version&gt;</w:t>
    </w:r>
    <w:r w:rsidRPr="00AF0DA5">
      <w:tab/>
    </w:r>
    <w:r w:rsidRPr="00AF0DA5">
      <w:fldChar w:fldCharType="begin"/>
    </w:r>
    <w:r w:rsidRPr="00AF0DA5">
      <w:instrText xml:space="preserve"> PAGE  \* MERGEFORMAT </w:instrText>
    </w:r>
    <w:r w:rsidRPr="00AF0DA5">
      <w:fldChar w:fldCharType="separate"/>
    </w:r>
    <w:r w:rsidR="00AF0DA5" w:rsidRPr="00AF0DA5">
      <w:rPr>
        <w:noProof/>
      </w:rPr>
      <w:t>2</w:t>
    </w:r>
    <w:r w:rsidRPr="00AF0DA5">
      <w:fldChar w:fldCharType="end"/>
    </w:r>
    <w:r w:rsidRPr="00AF0DA5">
      <w:t>/</w:t>
    </w:r>
    <w:fldSimple w:instr=" NUMPAGES  \* MERGEFORMAT ">
      <w:r w:rsidR="00AF0DA5" w:rsidRPr="00AF0DA5">
        <w:rPr>
          <w:noProof/>
        </w:rPr>
        <w:t>4</w:t>
      </w:r>
    </w:fldSimple>
    <w:r w:rsidRPr="00AF0DA5">
      <w:tab/>
    </w:r>
    <w:r w:rsidRPr="00AF0DA5">
      <w:rPr>
        <w:rStyle w:val="HideTWBExt"/>
      </w:rPr>
      <w:t>&lt;PathFdR&gt;</w:t>
    </w:r>
    <w:r w:rsidRPr="00AF0DA5">
      <w:t>RR\1298782BG.docx</w:t>
    </w:r>
    <w:r w:rsidRPr="00AF0DA5">
      <w:rPr>
        <w:rStyle w:val="HideTWBExt"/>
      </w:rPr>
      <w:t>&lt;/PathFdR&gt;</w:t>
    </w:r>
  </w:p>
  <w:p w:rsidR="00472C7C" w:rsidRPr="00AF0DA5" w:rsidRDefault="00472C7C" w:rsidP="00053AA3">
    <w:pPr>
      <w:pStyle w:val="EPFooter2"/>
    </w:pPr>
    <w:r w:rsidRPr="00AF0DA5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C7C" w:rsidRPr="00AF0DA5" w:rsidRDefault="00472C7C" w:rsidP="00053AA3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C7C" w:rsidRPr="00AF0DA5" w:rsidRDefault="00472C7C" w:rsidP="00053AA3">
    <w:pPr>
      <w:pStyle w:val="EPFooter"/>
    </w:pPr>
    <w:r w:rsidRPr="00AF0DA5">
      <w:rPr>
        <w:rStyle w:val="HideTWBExt"/>
      </w:rPr>
      <w:t>&lt;PathFdR&gt;</w:t>
    </w:r>
    <w:r w:rsidRPr="00AF0DA5">
      <w:t>RR\1298782BG.docx</w:t>
    </w:r>
    <w:r w:rsidRPr="00AF0DA5">
      <w:rPr>
        <w:rStyle w:val="HideTWBExt"/>
      </w:rPr>
      <w:t>&lt;/PathFdR&gt;</w:t>
    </w:r>
    <w:r w:rsidRPr="00AF0DA5">
      <w:tab/>
    </w:r>
    <w:r w:rsidRPr="00AF0DA5">
      <w:tab/>
      <w:t>PE</w:t>
    </w:r>
    <w:r w:rsidRPr="00AF0DA5">
      <w:rPr>
        <w:rStyle w:val="HideTWBExt"/>
      </w:rPr>
      <w:t>&lt;NoPE&gt;</w:t>
    </w:r>
    <w:r w:rsidRPr="00AF0DA5">
      <w:t>753.525</w:t>
    </w:r>
    <w:r w:rsidRPr="00AF0DA5">
      <w:rPr>
        <w:rStyle w:val="HideTWBExt"/>
      </w:rPr>
      <w:t>&lt;/NoPE&gt;&lt;Version&gt;</w:t>
    </w:r>
    <w:r w:rsidRPr="00AF0DA5">
      <w:t>v02-00</w:t>
    </w:r>
    <w:r w:rsidRPr="00AF0DA5">
      <w:rPr>
        <w:rStyle w:val="HideTWBExt"/>
      </w:rPr>
      <w:t>&lt;/Version&gt;</w:t>
    </w:r>
  </w:p>
  <w:p w:rsidR="00472C7C" w:rsidRPr="00AF0DA5" w:rsidRDefault="00472C7C" w:rsidP="00053AA3">
    <w:pPr>
      <w:pStyle w:val="EPFooter2"/>
    </w:pPr>
    <w:r w:rsidRPr="00AF0DA5">
      <w:t>BG</w:t>
    </w:r>
    <w:r w:rsidRPr="00AF0DA5">
      <w:tab/>
    </w:r>
    <w:r w:rsidRPr="00AF0DA5">
      <w:rPr>
        <w:b w:val="0"/>
        <w:i/>
        <w:color w:val="C0C0C0"/>
        <w:sz w:val="22"/>
      </w:rPr>
      <w:t>Единство в многообразието</w:t>
    </w:r>
    <w:r w:rsidRPr="00AF0DA5">
      <w:tab/>
      <w:t>BG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0DA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0DA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0D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156" w:rsidRPr="00AF0DA5" w:rsidRDefault="005A6156">
      <w:r w:rsidRPr="00AF0DA5">
        <w:separator/>
      </w:r>
    </w:p>
  </w:footnote>
  <w:footnote w:type="continuationSeparator" w:id="0">
    <w:p w:rsidR="005A6156" w:rsidRPr="00AF0DA5" w:rsidRDefault="005A6156">
      <w:r w:rsidRPr="00AF0DA5">
        <w:continuationSeparator/>
      </w:r>
    </w:p>
  </w:footnote>
  <w:footnote w:id="1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ОВ C, C/2023/594, 27.10.2023 г.</w:t>
      </w:r>
    </w:p>
  </w:footnote>
  <w:footnote w:id="2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ОВ C, C/2023/112, 12.10.2023 г.</w:t>
      </w:r>
    </w:p>
  </w:footnote>
  <w:footnote w:id="3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ОВ L 193, 30.7.2018 г., стр. 1.</w:t>
      </w:r>
    </w:p>
  </w:footnote>
  <w:footnote w:id="4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ОВ L 376, 27.12.2006 г., стр. 1.</w:t>
      </w:r>
    </w:p>
  </w:footnote>
  <w:footnote w:id="5">
    <w:p w:rsidR="00472C7C" w:rsidRPr="00AF0DA5" w:rsidRDefault="00472C7C" w:rsidP="00AF0DA5">
      <w:pPr>
        <w:pStyle w:val="FootnoteText"/>
        <w:ind w:left="567" w:hanging="567"/>
        <w:rPr>
          <w:sz w:val="24"/>
          <w:szCs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OВ L 166, 30.6.2023 г., стр. 6.</w:t>
      </w:r>
    </w:p>
  </w:footnote>
  <w:footnote w:id="6">
    <w:p w:rsidR="00472C7C" w:rsidRPr="00AF0DA5" w:rsidRDefault="00472C7C" w:rsidP="00AF0DA5">
      <w:pPr>
        <w:pStyle w:val="FootnoteText"/>
        <w:ind w:left="567" w:hanging="567"/>
        <w:rPr>
          <w:sz w:val="24"/>
          <w:szCs w:val="24"/>
          <w:lang w:val="bg-BG"/>
        </w:rPr>
      </w:pPr>
      <w:r w:rsidRPr="00AF0DA5">
        <w:rPr>
          <w:rStyle w:val="FootnoteReference"/>
          <w:sz w:val="24"/>
          <w:szCs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OВ L 122, 10.5.2019 г., стр. 1.</w:t>
      </w:r>
    </w:p>
  </w:footnote>
  <w:footnote w:id="7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ОВ C, C/2023/594, 27.10.2023 г.</w:t>
      </w:r>
    </w:p>
  </w:footnote>
  <w:footnote w:id="8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ОВ C, C/2023/112, 12.10.2023 г.</w:t>
      </w:r>
    </w:p>
  </w:footnote>
  <w:footnote w:id="9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ОВ L 193, 30.7.2018 г., стр. 1.</w:t>
      </w:r>
    </w:p>
  </w:footnote>
  <w:footnote w:id="10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ОВ L 376, 27.12.2006 г., стр. 1.</w:t>
      </w:r>
    </w:p>
  </w:footnote>
  <w:footnote w:id="11">
    <w:p w:rsidR="00472C7C" w:rsidRPr="00AF0DA5" w:rsidRDefault="00472C7C" w:rsidP="00AF0DA5">
      <w:pPr>
        <w:pStyle w:val="FootnoteText"/>
        <w:ind w:left="567" w:hanging="567"/>
        <w:rPr>
          <w:sz w:val="24"/>
          <w:szCs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OВ L 166, 30.6.2023 г., стр. 6.</w:t>
      </w:r>
    </w:p>
  </w:footnote>
  <w:footnote w:id="12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OВ L 122, 10.5.2019 г., стр. 1.</w:t>
      </w:r>
    </w:p>
  </w:footnote>
  <w:footnote w:id="13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ОВ C 141/06, 29.3.2022 г., стр. 33.</w:t>
      </w:r>
    </w:p>
  </w:footnote>
  <w:footnote w:id="14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Директива 2008/104/ЕО на Европейския парламент и на Съвета от 19 ноември 2008 г. относно работа чрез агенции за временна заетост (ОВ L 327, 5.12.2008 г., стр. 9).</w:t>
      </w:r>
    </w:p>
  </w:footnote>
  <w:footnote w:id="15">
    <w:p w:rsidR="00472C7C" w:rsidRPr="00AF0DA5" w:rsidRDefault="00472C7C" w:rsidP="00AF0DA5">
      <w:pPr>
        <w:pStyle w:val="FootnoteText"/>
        <w:ind w:left="567" w:hanging="567"/>
        <w:rPr>
          <w:sz w:val="24"/>
          <w:lang w:val="bg-BG"/>
        </w:rPr>
      </w:pPr>
      <w:r w:rsidRPr="00AF0DA5">
        <w:rPr>
          <w:rStyle w:val="FootnoteReference"/>
          <w:sz w:val="24"/>
          <w:lang w:val="bg-BG"/>
        </w:rPr>
        <w:footnoteRef/>
      </w:r>
      <w:r w:rsidR="00AF0DA5" w:rsidRPr="00AF0DA5">
        <w:rPr>
          <w:sz w:val="24"/>
          <w:lang w:val="bg-BG"/>
        </w:rPr>
        <w:t xml:space="preserve"> </w:t>
      </w:r>
      <w:r w:rsidR="00AF0DA5" w:rsidRPr="00AF0DA5">
        <w:rPr>
          <w:sz w:val="24"/>
          <w:lang w:val="bg-BG"/>
        </w:rPr>
        <w:tab/>
      </w:r>
      <w:r w:rsidRPr="00AF0DA5">
        <w:rPr>
          <w:sz w:val="24"/>
          <w:lang w:val="bg-BG"/>
        </w:rPr>
        <w:t>Приети текстове, P9_TA(2024)</w:t>
      </w:r>
      <w:r w:rsidR="00F5053C" w:rsidRPr="00635445">
        <w:rPr>
          <w:sz w:val="24"/>
          <w:lang w:val="bg-BG"/>
        </w:rPr>
        <w:t>0</w:t>
      </w:r>
      <w:r w:rsidR="00F5053C">
        <w:rPr>
          <w:sz w:val="24"/>
          <w:lang w:val="en-GB"/>
        </w:rPr>
        <w:t>28</w:t>
      </w:r>
      <w:r w:rsidR="00F5053C" w:rsidRPr="00635445">
        <w:rPr>
          <w:sz w:val="24"/>
          <w:lang w:val="bg-BG"/>
        </w:rPr>
        <w:t>0</w:t>
      </w:r>
      <w:r w:rsidRPr="00AF0DA5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C7C" w:rsidRPr="00AF0DA5" w:rsidRDefault="00472C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C7C" w:rsidRPr="00AF0DA5" w:rsidRDefault="00472C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C7C" w:rsidRPr="00AF0DA5" w:rsidRDefault="00472C7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0DA5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0DA5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0D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4/2024"/>
    <w:docVar w:name="dvlangue" w:val="BG"/>
    <w:docVar w:name="dvnumam" w:val="0"/>
    <w:docVar w:name="dvpe" w:val="753.525"/>
    <w:docVar w:name="dvrapporteur" w:val="Докладчик: "/>
    <w:docVar w:name="dvtitre" w:val="Решение на Европейския парламент от ... 2024 г. относно освобождаването от отговорност във връзка с изпълнението на бюджета на Европейския център за мониторинг на наркотици и наркомании за финансовата 2022 година(2023/2157(DEC))"/>
  </w:docVars>
  <w:rsids>
    <w:rsidRoot w:val="005A6156"/>
    <w:rsid w:val="00002272"/>
    <w:rsid w:val="00064002"/>
    <w:rsid w:val="000677B9"/>
    <w:rsid w:val="000831BA"/>
    <w:rsid w:val="000A42CC"/>
    <w:rsid w:val="000E7DD9"/>
    <w:rsid w:val="0010095E"/>
    <w:rsid w:val="00125B37"/>
    <w:rsid w:val="00147E95"/>
    <w:rsid w:val="00187494"/>
    <w:rsid w:val="001E1CB2"/>
    <w:rsid w:val="001E7B2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C7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156"/>
    <w:rsid w:val="005C2568"/>
    <w:rsid w:val="006037C0"/>
    <w:rsid w:val="006631B6"/>
    <w:rsid w:val="00680577"/>
    <w:rsid w:val="0069495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94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DA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53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1CEBA4"/>
  <w15:chartTrackingRefBased/>
  <w15:docId w15:val="{807096BF-8305-4979-A307-AC313CC7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72C7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72C7C"/>
    <w:pPr>
      <w:spacing w:before="480" w:after="240"/>
    </w:pPr>
  </w:style>
  <w:style w:type="paragraph" w:customStyle="1" w:styleId="PageHeading">
    <w:name w:val="PageHeading"/>
    <w:basedOn w:val="Normal"/>
    <w:rsid w:val="00472C7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72C7C"/>
    <w:rPr>
      <w:b/>
    </w:rPr>
  </w:style>
  <w:style w:type="paragraph" w:customStyle="1" w:styleId="NormalHanging12a">
    <w:name w:val="NormalHanging12a"/>
    <w:basedOn w:val="Normal"/>
    <w:link w:val="NormalHanging12aChar"/>
    <w:rsid w:val="00472C7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72C7C"/>
    <w:pPr>
      <w:spacing w:after="240"/>
      <w:jc w:val="center"/>
    </w:pPr>
  </w:style>
  <w:style w:type="paragraph" w:styleId="Header">
    <w:name w:val="header"/>
    <w:basedOn w:val="Normal"/>
    <w:link w:val="HeaderChar"/>
    <w:rsid w:val="00472C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72C7C"/>
    <w:rPr>
      <w:sz w:val="24"/>
      <w:lang w:val="bg-BG"/>
    </w:rPr>
  </w:style>
  <w:style w:type="paragraph" w:customStyle="1" w:styleId="EPFooter">
    <w:name w:val="EPFooter"/>
    <w:basedOn w:val="Normal"/>
    <w:rsid w:val="00472C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472C7C"/>
    <w:rPr>
      <w:sz w:val="24"/>
      <w:lang w:val="bg-BG"/>
    </w:rPr>
  </w:style>
  <w:style w:type="paragraph" w:customStyle="1" w:styleId="Normal12Hanging">
    <w:name w:val="Normal12Hanging"/>
    <w:basedOn w:val="Normal"/>
    <w:rsid w:val="00472C7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F09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0945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B298E-C30C-4302-AA79-4FFACDD34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3991</Words>
  <Characters>22719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2024-04-11T10:50:00Z</dcterms:created>
  <dcterms:modified xsi:type="dcterms:W3CDTF">2024-04-11T10:50:00Z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A9-0104/2024</vt:lpwstr>
  </property>
  <property fmtid="{D5CDD505-2E9C-101B-9397-08002B2CF9AE}" pid="4" name="&lt;Type&gt;">
    <vt:lpwstr>RR</vt:lpwstr>
  </property>
</Properties>
</file>