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1C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1CE3" w:rsidRDefault="00017DC9" w:rsidP="0010095E">
            <w:pPr>
              <w:pStyle w:val="EPName"/>
            </w:pPr>
            <w:r w:rsidRPr="00091CE3">
              <w:t>Evropský parlament</w:t>
            </w:r>
          </w:p>
          <w:p w:rsidR="00751A4A" w:rsidRPr="00091C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1CE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1CE3" w:rsidRDefault="00187494" w:rsidP="0010095E">
            <w:pPr>
              <w:pStyle w:val="EPLogo"/>
            </w:pPr>
            <w:r w:rsidRPr="00091C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1CE3" w:rsidRDefault="00D058B8" w:rsidP="004C5D52">
      <w:pPr>
        <w:pStyle w:val="LineTop"/>
      </w:pPr>
    </w:p>
    <w:p w:rsidR="00680577" w:rsidRPr="00091CE3" w:rsidRDefault="00017DC9" w:rsidP="00680577">
      <w:pPr>
        <w:pStyle w:val="EPBodyTA1"/>
      </w:pPr>
      <w:r w:rsidRPr="00091CE3">
        <w:t>PŘIJATÉ TEXTY</w:t>
      </w:r>
    </w:p>
    <w:p w:rsidR="00D058B8" w:rsidRPr="00091CE3" w:rsidRDefault="00D058B8" w:rsidP="00D058B8">
      <w:pPr>
        <w:pStyle w:val="LineBottom"/>
      </w:pPr>
    </w:p>
    <w:p w:rsidR="00017DC9" w:rsidRPr="00091CE3" w:rsidRDefault="00017DC9" w:rsidP="00017DC9">
      <w:pPr>
        <w:pStyle w:val="ATHeading1"/>
      </w:pPr>
      <w:bookmarkStart w:id="0" w:name="TANumber"/>
      <w:r w:rsidRPr="00091CE3">
        <w:t>P9_TA(2024)0</w:t>
      </w:r>
      <w:r w:rsidR="00E87109">
        <w:t>241</w:t>
      </w:r>
      <w:bookmarkEnd w:id="0"/>
    </w:p>
    <w:p w:rsidR="00017DC9" w:rsidRPr="00091CE3" w:rsidRDefault="00017DC9" w:rsidP="00017DC9">
      <w:pPr>
        <w:pStyle w:val="ATHeading2"/>
      </w:pPr>
      <w:bookmarkStart w:id="1" w:name="title"/>
      <w:r w:rsidRPr="00091CE3">
        <w:t>Udělení absolutoria za rok 2022: Evropské monitorovací centrum pro drogy a drogovou závislost</w:t>
      </w:r>
      <w:bookmarkEnd w:id="1"/>
    </w:p>
    <w:p w:rsidR="00017DC9" w:rsidRPr="00091CE3" w:rsidRDefault="00017DC9" w:rsidP="00017DC9">
      <w:pPr>
        <w:rPr>
          <w:i/>
          <w:vanish/>
        </w:rPr>
      </w:pPr>
      <w:r w:rsidRPr="00091CE3">
        <w:rPr>
          <w:i/>
        </w:rPr>
        <w:fldChar w:fldCharType="begin"/>
      </w:r>
      <w:r w:rsidRPr="00091CE3">
        <w:rPr>
          <w:i/>
        </w:rPr>
        <w:instrText xml:space="preserve"> TC"(</w:instrText>
      </w:r>
      <w:bookmarkStart w:id="2" w:name="DocNumber"/>
      <w:r w:rsidRPr="00091CE3">
        <w:rPr>
          <w:i/>
        </w:rPr>
        <w:instrText>A9-0104/2024</w:instrText>
      </w:r>
      <w:bookmarkEnd w:id="2"/>
      <w:r w:rsidRPr="00091CE3">
        <w:rPr>
          <w:i/>
        </w:rPr>
        <w:instrText xml:space="preserve"> - Zpravodaj: </w:instrText>
      </w:r>
      <w:proofErr w:type="spellStart"/>
      <w:r w:rsidRPr="00091CE3">
        <w:rPr>
          <w:i/>
        </w:rPr>
        <w:instrText>Petri</w:instrText>
      </w:r>
      <w:proofErr w:type="spellEnd"/>
      <w:r w:rsidRPr="00091CE3">
        <w:rPr>
          <w:i/>
        </w:rPr>
        <w:instrText xml:space="preserve"> </w:instrText>
      </w:r>
      <w:proofErr w:type="spellStart"/>
      <w:r w:rsidRPr="00091CE3">
        <w:rPr>
          <w:i/>
        </w:rPr>
        <w:instrText>Sarvamaa</w:instrText>
      </w:r>
      <w:proofErr w:type="spellEnd"/>
      <w:r w:rsidRPr="00091CE3">
        <w:rPr>
          <w:i/>
        </w:rPr>
        <w:instrText xml:space="preserve">)"\l3 \n&gt; \* MERGEFORMAT </w:instrText>
      </w:r>
      <w:r w:rsidRPr="00091CE3">
        <w:rPr>
          <w:i/>
        </w:rPr>
        <w:fldChar w:fldCharType="end"/>
      </w:r>
    </w:p>
    <w:p w:rsidR="00017DC9" w:rsidRPr="00091CE3" w:rsidRDefault="00017DC9" w:rsidP="00017DC9">
      <w:pPr>
        <w:rPr>
          <w:vanish/>
        </w:rPr>
      </w:pPr>
      <w:bookmarkStart w:id="3" w:name="Commission"/>
      <w:r w:rsidRPr="00091CE3">
        <w:rPr>
          <w:vanish/>
        </w:rPr>
        <w:t>Výbor pro rozpočtovou kontrolu</w:t>
      </w:r>
      <w:bookmarkEnd w:id="3"/>
    </w:p>
    <w:p w:rsidR="00017DC9" w:rsidRPr="00091CE3" w:rsidRDefault="00017DC9" w:rsidP="00017DC9">
      <w:pPr>
        <w:rPr>
          <w:vanish/>
        </w:rPr>
      </w:pPr>
      <w:bookmarkStart w:id="4" w:name="PE"/>
      <w:r w:rsidRPr="00091CE3">
        <w:rPr>
          <w:vanish/>
        </w:rPr>
        <w:t>PE753.525</w:t>
      </w:r>
      <w:bookmarkEnd w:id="4"/>
    </w:p>
    <w:p w:rsidR="00017DC9" w:rsidRPr="00091CE3" w:rsidRDefault="00017DC9" w:rsidP="00017DC9">
      <w:pPr>
        <w:pStyle w:val="ATHeading3"/>
      </w:pPr>
      <w:bookmarkStart w:id="5" w:name="Sujet"/>
      <w:r w:rsidRPr="00091CE3">
        <w:t>1. Rozhodnutí Evropského parlamentu ze dne 11. dubna 2024 k udělení absolutoria za plnění rozpočtu Evropského monitorovacího centra pro drogy a drogovou závislost na rozpočtový rok 2022</w:t>
      </w:r>
      <w:bookmarkEnd w:id="5"/>
      <w:r w:rsidRPr="00091CE3">
        <w:t xml:space="preserve"> </w:t>
      </w:r>
      <w:bookmarkStart w:id="6" w:name="References"/>
      <w:r w:rsidRPr="00091CE3">
        <w:t>(2023/2157(DEC))</w:t>
      </w:r>
      <w:bookmarkEnd w:id="6"/>
    </w:p>
    <w:p w:rsidR="001F65B5" w:rsidRPr="00091CE3" w:rsidRDefault="001F65B5" w:rsidP="001F65B5">
      <w:pPr>
        <w:pStyle w:val="EPComma"/>
      </w:pPr>
      <w:bookmarkStart w:id="7" w:name="TextBodyBegin"/>
      <w:bookmarkEnd w:id="7"/>
      <w:r w:rsidRPr="00091CE3">
        <w:rPr>
          <w:i/>
        </w:rPr>
        <w:t>Evropský parlament</w:t>
      </w:r>
      <w:r w:rsidRPr="00091CE3">
        <w:t>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konečnou roční účetní závěrku Evropského monitorovacího centra pro drogy a drogovou závislost za rozpočtový rok 2022,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výroční zprávu Účetního dvora o agenturách EU za rozpočtový rok 2022 spolu s odpověďmi agentur</w:t>
      </w:r>
      <w:r w:rsidRPr="00091CE3">
        <w:rPr>
          <w:rStyle w:val="FootnoteReference"/>
        </w:rPr>
        <w:footnoteReference w:id="1"/>
      </w:r>
      <w:r w:rsidRPr="00091CE3">
        <w:t>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prohlášení o věrohodnosti</w:t>
      </w:r>
      <w:r w:rsidRPr="00091CE3">
        <w:rPr>
          <w:rStyle w:val="FootnoteReference"/>
        </w:rPr>
        <w:footnoteReference w:id="2"/>
      </w:r>
      <w:r w:rsidRPr="00091CE3">
        <w:t xml:space="preserve"> účetnictví a o legalitě a správnosti uskutečněných operací, které předložil Účetní dvůr za rozpočtový rok 2022 podle článku 287 Smlouvy o fungování Evropské unie,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doporučení Rady ze dne 22. února 2024 o udělení absolutoria nadaci za plnění rozpočtu na rozpočtový rok 2022 (0</w:t>
      </w:r>
      <w:r w:rsidR="00591CFB">
        <w:t>618</w:t>
      </w:r>
      <w:r w:rsidRPr="00091CE3">
        <w:t>0/2024 – C9</w:t>
      </w:r>
      <w:r w:rsidRPr="00091CE3">
        <w:noBreakHyphen/>
        <w:t>00</w:t>
      </w:r>
      <w:r w:rsidR="00591CFB">
        <w:t>95</w:t>
      </w:r>
      <w:r w:rsidRPr="00091CE3">
        <w:t>/2024),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článek 319 Smlouvy o fungování Evropské unie,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091CE3">
        <w:rPr>
          <w:rStyle w:val="FootnoteReference"/>
        </w:rPr>
        <w:footnoteReference w:id="3"/>
      </w:r>
      <w:r w:rsidRPr="00091CE3">
        <w:t>, a zejména článek 70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Evropského parlamentu a Rady (ES) č. 1920/2006 ze dne 12. prosince 2006 o Evropském monitorovacím centru pro drogy a drogovou závislost</w:t>
      </w:r>
      <w:r w:rsidRPr="00091CE3">
        <w:rPr>
          <w:rStyle w:val="FootnoteReference"/>
        </w:rPr>
        <w:footnoteReference w:id="4"/>
      </w:r>
      <w:r w:rsidRPr="00091CE3">
        <w:t xml:space="preserve">, </w:t>
      </w:r>
      <w:r w:rsidRPr="00091CE3">
        <w:lastRenderedPageBreak/>
        <w:t>a zejména na článek 15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 ohledem na nařízení Evropského parlamentu a Rady (EU) 2023/1322 ze dne 27. června 2023 o Agentuře Evropské unie pro drogy (EUDA) a zrušení nařízení (ES) č. 1920/2006</w:t>
      </w:r>
      <w:r w:rsidRPr="00091CE3">
        <w:rPr>
          <w:rStyle w:val="FootnoteReference"/>
        </w:rPr>
        <w:footnoteReference w:id="5"/>
      </w:r>
      <w:r w:rsidRPr="00091CE3">
        <w:t>, a zejména na článek 41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Komise v přenesené pravomoci (EU) 2019/715 ze dne 18. prosince 2018 o rámcovém finančním nařízení pro subjekty zřízené podle S</w:t>
      </w:r>
      <w:r w:rsidR="00465C16">
        <w:t xml:space="preserve">mlouvy o fungování </w:t>
      </w:r>
      <w:r w:rsidRPr="00091CE3">
        <w:t>E</w:t>
      </w:r>
      <w:r w:rsidR="00465C16">
        <w:t>vropské unie</w:t>
      </w:r>
      <w:r w:rsidRPr="00091CE3">
        <w:t xml:space="preserve"> a Smlouvy o Euratomu a uvedené v článku 70 nařízení Evropského parlamentu a Rady (EU, Euratom) 2018/1046</w:t>
      </w:r>
      <w:r w:rsidRPr="00091CE3">
        <w:rPr>
          <w:rStyle w:val="FootnoteReference"/>
        </w:rPr>
        <w:footnoteReference w:id="6"/>
      </w:r>
      <w:r w:rsidRPr="00091CE3">
        <w:t>, a zejména na článek 105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článek 100 a přílohu V jednacího řádu,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 ohledem na stanovisko Výboru pro občanské svobody, spravedlnost a vnitřní věci,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zprávu Výboru pro rozpočtovou kontrolu (A9</w:t>
      </w:r>
      <w:r w:rsidRPr="00091CE3">
        <w:noBreakHyphen/>
        <w:t>0104/2024),</w:t>
      </w:r>
    </w:p>
    <w:p w:rsidR="001F65B5" w:rsidRPr="00091CE3" w:rsidRDefault="001F65B5" w:rsidP="00CC6030">
      <w:pPr>
        <w:pStyle w:val="NormalHanging12a"/>
      </w:pPr>
      <w:r w:rsidRPr="00091CE3">
        <w:t>1.</w:t>
      </w:r>
      <w:r w:rsidRPr="00091CE3">
        <w:tab/>
        <w:t>uděluje absolutorium řediteli Evropského monitorovacího centra pro drogy a drogovou závislost za plnění rozpočtu centra na rozpočtový rok 2022;</w:t>
      </w:r>
    </w:p>
    <w:p w:rsidR="001F65B5" w:rsidRPr="00091CE3" w:rsidRDefault="001F65B5" w:rsidP="00CC6030">
      <w:pPr>
        <w:pStyle w:val="NormalHanging12a"/>
      </w:pPr>
      <w:r w:rsidRPr="00091CE3">
        <w:t>2.</w:t>
      </w:r>
      <w:r w:rsidRPr="00091CE3">
        <w:tab/>
        <w:t>předkládá své připomínky v dále uvedeném usnesení;</w:t>
      </w:r>
    </w:p>
    <w:p w:rsidR="001F65B5" w:rsidRPr="00091CE3" w:rsidRDefault="001F65B5" w:rsidP="00CC6030">
      <w:pPr>
        <w:pStyle w:val="NormalHanging12a"/>
      </w:pPr>
      <w:r w:rsidRPr="00091CE3">
        <w:t>3.</w:t>
      </w:r>
      <w:r w:rsidRPr="00091CE3">
        <w:tab/>
        <w:t>pověřuje svou předsedkyni, aby předala toto rozhodnutí a usnesení, které je jeho nedílnou součástí, řediteli Evropského monitorovacího centra pro drogy a drogovou závislost, Radě, Komisi a Účetnímu dvoru a aby zajistila jejich zveřejnění v </w:t>
      </w:r>
      <w:r w:rsidRPr="001E176C">
        <w:rPr>
          <w:i/>
        </w:rPr>
        <w:t>Úředním věstníku Evropské unie</w:t>
      </w:r>
      <w:r w:rsidRPr="00091CE3">
        <w:t xml:space="preserve"> (řada L).</w:t>
      </w:r>
    </w:p>
    <w:p w:rsidR="001F65B5" w:rsidRPr="00091CE3" w:rsidRDefault="001F65B5" w:rsidP="001F65B5"/>
    <w:p w:rsidR="001F65B5" w:rsidRPr="00091CE3" w:rsidRDefault="001F65B5" w:rsidP="001F65B5">
      <w:pPr>
        <w:widowControl/>
        <w:rPr>
          <w:rFonts w:ascii="Arial" w:hAnsi="Arial" w:cs="Arial"/>
          <w:b/>
        </w:rPr>
        <w:sectPr w:rsidR="001F65B5" w:rsidRPr="00091CE3" w:rsidSect="00091CE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F65B5" w:rsidRPr="00091CE3" w:rsidRDefault="001F65B5" w:rsidP="00CC6030">
      <w:pPr>
        <w:pStyle w:val="ATHeading3"/>
      </w:pPr>
      <w:bookmarkStart w:id="8" w:name="_Toc146790741"/>
      <w:bookmarkStart w:id="9" w:name="_Toc161851434"/>
      <w:r w:rsidRPr="00091CE3">
        <w:lastRenderedPageBreak/>
        <w:t xml:space="preserve">2. </w:t>
      </w:r>
      <w:r w:rsidR="00CC6030" w:rsidRPr="00091CE3">
        <w:t>Rozhodnutí Evropského parlamentu</w:t>
      </w:r>
      <w:bookmarkEnd w:id="8"/>
      <w:bookmarkEnd w:id="9"/>
      <w:r w:rsidR="00CC6030">
        <w:t xml:space="preserve"> </w:t>
      </w:r>
      <w:r w:rsidR="009415B8" w:rsidRPr="00091CE3">
        <w:t xml:space="preserve">ze dne 11. dubna 2024 </w:t>
      </w:r>
      <w:r w:rsidRPr="00091CE3">
        <w:t>o uzavření účtů Evropského monitorovacího centra pro drogy a drogovou závislost na rozpočtový rok 2022</w:t>
      </w:r>
      <w:r w:rsidR="00CC6030">
        <w:t xml:space="preserve"> </w:t>
      </w:r>
      <w:r w:rsidRPr="00091CE3">
        <w:t>(2023/2157(DEC))</w:t>
      </w:r>
    </w:p>
    <w:p w:rsidR="001F65B5" w:rsidRPr="00091CE3" w:rsidRDefault="001F65B5" w:rsidP="001F65B5">
      <w:pPr>
        <w:pStyle w:val="EPComma"/>
      </w:pPr>
      <w:r w:rsidRPr="00091CE3">
        <w:rPr>
          <w:i/>
        </w:rPr>
        <w:t>Evropský parlament</w:t>
      </w:r>
      <w:r w:rsidRPr="00091CE3">
        <w:t>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konečnou roční účetní závěrku Evropského monitorovacího centra pro drogy a drogovou závislost za rozpočtový rok 2022,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výroční zprávu Účetního dvora o agenturách EU za rozpočtový rok 2022 spolu s odpověďmi agentur</w:t>
      </w:r>
      <w:r w:rsidRPr="00091CE3">
        <w:rPr>
          <w:rStyle w:val="FootnoteReference"/>
        </w:rPr>
        <w:footnoteReference w:id="7"/>
      </w:r>
      <w:r w:rsidRPr="00091CE3">
        <w:t>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prohlášení o věrohodnosti</w:t>
      </w:r>
      <w:r w:rsidRPr="00091CE3">
        <w:rPr>
          <w:rStyle w:val="FootnoteReference"/>
        </w:rPr>
        <w:footnoteReference w:id="8"/>
      </w:r>
      <w:r w:rsidRPr="00091CE3">
        <w:t xml:space="preserve"> účetnictví a o legalitě a správnosti uskutečněných operací, které předložil Účetní dvůr za rozpočtový rok 2022 podle článku 287 Smlouvy o fungování Evropské unie,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doporučení Rady ze dne 22. února 2024 o udělení absolutoria nadaci za plnění rozpočtu na rozpočtový rok 2022 (0</w:t>
      </w:r>
      <w:r w:rsidR="00591CFB">
        <w:t>618</w:t>
      </w:r>
      <w:r w:rsidRPr="00091CE3">
        <w:t>0/2024 – C9</w:t>
      </w:r>
      <w:r w:rsidRPr="00091CE3">
        <w:noBreakHyphen/>
        <w:t>00</w:t>
      </w:r>
      <w:r w:rsidR="00591CFB">
        <w:t>95</w:t>
      </w:r>
      <w:r w:rsidRPr="00091CE3">
        <w:t>/2024),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článek 319 Smlouvy o fungování Evropské unie,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091CE3">
        <w:rPr>
          <w:rStyle w:val="FootnoteReference"/>
        </w:rPr>
        <w:footnoteReference w:id="9"/>
      </w:r>
      <w:r w:rsidRPr="00091CE3">
        <w:t>, a zejména článek 70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Evropského parlamentu a Rady (ES) č. 1920/2006 ze dne 12. prosince 2006 o Evropském monitorovacím centru pro drogy a drogovou závislost</w:t>
      </w:r>
      <w:r w:rsidRPr="00091CE3">
        <w:rPr>
          <w:rStyle w:val="FootnoteReference"/>
        </w:rPr>
        <w:footnoteReference w:id="10"/>
      </w:r>
      <w:r w:rsidRPr="00091CE3">
        <w:t>, a zejména na článek 15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 ohledem na nařízení Evropského parlamentu a Rady (EU) 2023/1322 ze dne 27. června 2023 o Agentuře Evropské unie pro drogy (EUDA) a zrušení nařízení (ES) č. 1920/2006</w:t>
      </w:r>
      <w:r w:rsidRPr="00091CE3">
        <w:rPr>
          <w:rStyle w:val="FootnoteReference"/>
        </w:rPr>
        <w:footnoteReference w:id="11"/>
      </w:r>
      <w:r w:rsidRPr="00091CE3">
        <w:t>, a zejména na článek 41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nařízení Komise v přenesené pravomoci (EU) 2019/715 ze dne 18. prosince 2018 o rámcovém finančním nařízení pro subjekty zřízené podle S</w:t>
      </w:r>
      <w:r w:rsidR="00465C16">
        <w:t xml:space="preserve">mlouvy o fungování </w:t>
      </w:r>
      <w:r w:rsidRPr="00091CE3">
        <w:t>E</w:t>
      </w:r>
      <w:r w:rsidR="00465C16">
        <w:t>vropské unie</w:t>
      </w:r>
      <w:r w:rsidRPr="00091CE3">
        <w:t xml:space="preserve"> a Smlouvy o Euratomu a uvedené v článku 70 nařízení Evropského parlamentu a Rady (EU, Euratom) 2018/1046</w:t>
      </w:r>
      <w:r w:rsidRPr="00091CE3">
        <w:rPr>
          <w:rStyle w:val="FootnoteReference"/>
        </w:rPr>
        <w:footnoteReference w:id="12"/>
      </w:r>
      <w:r w:rsidRPr="00091CE3">
        <w:t>, a zejména na článek 105 tohoto nařízení,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článek 100 a přílohu V jednacího řádu,</w:t>
      </w:r>
    </w:p>
    <w:p w:rsidR="001F65B5" w:rsidRPr="00091CE3" w:rsidRDefault="001F65B5" w:rsidP="00CC6030">
      <w:pPr>
        <w:pStyle w:val="NormalHanging12a"/>
      </w:pPr>
      <w:r w:rsidRPr="00091CE3">
        <w:lastRenderedPageBreak/>
        <w:t>–</w:t>
      </w:r>
      <w:r w:rsidRPr="00091CE3">
        <w:tab/>
        <w:t>s ohledem na stanovisko Výboru pro občanské svobody, spravedlnost a vnitřní věci,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zprávu Výboru pro rozpočtovou kontrolu (A9</w:t>
      </w:r>
      <w:r w:rsidRPr="00091CE3">
        <w:noBreakHyphen/>
        <w:t>0104/2024),</w:t>
      </w:r>
    </w:p>
    <w:p w:rsidR="001F65B5" w:rsidRPr="00091CE3" w:rsidRDefault="001F65B5" w:rsidP="00CC6030">
      <w:pPr>
        <w:pStyle w:val="NormalHanging12a"/>
      </w:pPr>
      <w:r w:rsidRPr="00091CE3">
        <w:t>1.</w:t>
      </w:r>
      <w:r w:rsidRPr="00091CE3">
        <w:tab/>
        <w:t>schvaluje uzavření účtů Evropského monitorovacího centra pro drogy a drogovou závislost na rozpočtový rok 2022;</w:t>
      </w:r>
    </w:p>
    <w:p w:rsidR="001F65B5" w:rsidRPr="00091CE3" w:rsidRDefault="001F65B5" w:rsidP="00CC6030">
      <w:pPr>
        <w:pStyle w:val="NormalHanging12a"/>
      </w:pPr>
      <w:r w:rsidRPr="00091CE3">
        <w:t>2.</w:t>
      </w:r>
      <w:r w:rsidRPr="00091CE3">
        <w:tab/>
        <w:t>pověřuje svou předsedkyni, aby předala toto rozhodnutí řediteli Evropského monitorovacího centra pro drogy a drogovou závislost, Radě, Komisi a Účetnímu dvoru a aby zajistila jeho zveřejnění v </w:t>
      </w:r>
      <w:r w:rsidRPr="00091CE3">
        <w:rPr>
          <w:i/>
        </w:rPr>
        <w:t>Úředním věstníku Evropské unie</w:t>
      </w:r>
      <w:r w:rsidRPr="00091CE3">
        <w:t xml:space="preserve"> (řada L).</w:t>
      </w:r>
    </w:p>
    <w:p w:rsidR="001F65B5" w:rsidRPr="00091CE3" w:rsidRDefault="001F65B5" w:rsidP="001F65B5"/>
    <w:p w:rsidR="001F65B5" w:rsidRPr="00091CE3" w:rsidRDefault="001F65B5" w:rsidP="001F65B5">
      <w:pPr>
        <w:widowControl/>
        <w:rPr>
          <w:rFonts w:ascii="Arial" w:hAnsi="Arial" w:cs="Arial"/>
          <w:b/>
        </w:rPr>
        <w:sectPr w:rsidR="001F65B5" w:rsidRPr="00091CE3" w:rsidSect="00091CE3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F65B5" w:rsidRPr="00091CE3" w:rsidRDefault="001F65B5" w:rsidP="00CC6030">
      <w:pPr>
        <w:pStyle w:val="ATHeading3"/>
      </w:pPr>
      <w:bookmarkStart w:id="10" w:name="_Toc146790742"/>
      <w:bookmarkStart w:id="11" w:name="_Toc161851435"/>
      <w:r w:rsidRPr="00091CE3">
        <w:lastRenderedPageBreak/>
        <w:t xml:space="preserve">3. </w:t>
      </w:r>
      <w:r w:rsidR="00CC6030" w:rsidRPr="00091CE3">
        <w:t>Usnesení Evropského parlamentu</w:t>
      </w:r>
      <w:bookmarkEnd w:id="10"/>
      <w:bookmarkEnd w:id="11"/>
      <w:r w:rsidR="00CC6030">
        <w:t xml:space="preserve"> </w:t>
      </w:r>
      <w:r w:rsidR="009415B8" w:rsidRPr="00091CE3">
        <w:t xml:space="preserve">ze dne 11. dubna 2024 </w:t>
      </w:r>
      <w:r w:rsidRPr="00091CE3">
        <w:t>obsahující připomínky, které jsou nedílnou součástí rozhodnutí o udělení absolutoria za plnění rozpočtu Evropského monitorovacího centra pro drogy a drogovou závislost na rozpočtový rok 2022</w:t>
      </w:r>
      <w:r w:rsidR="00CC6030">
        <w:t xml:space="preserve"> </w:t>
      </w:r>
      <w:r w:rsidRPr="00091CE3">
        <w:t>(2023/2157(DEC))</w:t>
      </w:r>
    </w:p>
    <w:p w:rsidR="001F65B5" w:rsidRPr="00091CE3" w:rsidRDefault="001F65B5" w:rsidP="001F65B5">
      <w:pPr>
        <w:pStyle w:val="EPComma"/>
      </w:pPr>
      <w:r w:rsidRPr="00091CE3">
        <w:rPr>
          <w:i/>
        </w:rPr>
        <w:t>Evropský parlament</w:t>
      </w:r>
      <w:r w:rsidRPr="00091CE3">
        <w:t>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své rozhodnutí o udělení absolutoria za plnění rozpočtu Evropského monitorovacího centra pro drogy a drogovou závislost na rozpočtový rok 2022,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článek 100 a přílohu V jednacího řádu,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 ohledem na stanovisko Výboru pro občanské svobody, spravedlnost a vnitřní věci,</w:t>
      </w:r>
    </w:p>
    <w:p w:rsidR="001F65B5" w:rsidRPr="00091CE3" w:rsidRDefault="001F65B5" w:rsidP="00CC6030">
      <w:pPr>
        <w:pStyle w:val="NormalHanging12a"/>
      </w:pPr>
      <w:r w:rsidRPr="00091CE3">
        <w:t>–</w:t>
      </w:r>
      <w:r w:rsidRPr="00091CE3">
        <w:tab/>
        <w:t>s ohledem na zprávu Výboru pro rozpočtovou kontrolu (A9</w:t>
      </w:r>
      <w:r w:rsidRPr="00091CE3">
        <w:noBreakHyphen/>
        <w:t>0104/2024),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A.</w:t>
      </w:r>
      <w:r w:rsidRPr="00091CE3">
        <w:tab/>
        <w:t>vzhledem k tomu, že podle výkazu příjmů a výdajů</w:t>
      </w:r>
      <w:r w:rsidRPr="00091CE3">
        <w:rPr>
          <w:rStyle w:val="FootnoteReference"/>
          <w:szCs w:val="24"/>
        </w:rPr>
        <w:footnoteReference w:id="13"/>
      </w:r>
      <w:r w:rsidRPr="00091CE3">
        <w:t xml:space="preserve"> Evropského monitorovacího centra pro drogy a drogovou závislost (dále jen „centrum“) činil jeho konečný rozpočet na rozpočtový rok 2022 celkem 18 893 136 EUR, což ve srovnání s rokem 2021 představuje snížení o 0,71 %; vzhledem k tomu, že se rozpočet centra odvíjí převážně (z 94 %) od rozpočtu Unie;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B.</w:t>
      </w:r>
      <w:r w:rsidRPr="00091CE3">
        <w:tab/>
        <w:t>vzhledem k tomu, že Účetní dvůr ve své zprávě o ověření roční účetní závěrky centra za rozpočtový rok 2022 (dále jen „zpráva Účetního dvora“) uvedl, že získal přiměřenou jistotu, že roční účetní závěrka centra je spolehlivá a že uskutečněné operace jsou legální a správné;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Rozpočtové a finanční řízení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1.</w:t>
      </w:r>
      <w:r w:rsidRPr="00091CE3">
        <w:tab/>
        <w:t>s uspokojením konstatuje, že výsledkem úsilí v souvislosti s monitorováním rozpočtu během rozpočtového roku 2022 byla míra plnění rozpočtu ve výši 98,78 %, čímž oproti roku 2021 došlo k poklesu o 1,22 %; konstatuje, že míra čerpání prostředků na platby dosáhla 96,65 %, což ve srovnání s rokem 2021 představuje lehké zvýšení o 0,30 %; dále konstatuje, že míra čerpání prostředků přenesených z roku 2021 do roku 2022 činila 88,98 %;</w:t>
      </w:r>
    </w:p>
    <w:p w:rsidR="001F65B5" w:rsidRPr="00091CE3" w:rsidRDefault="001F65B5" w:rsidP="00CC6030">
      <w:pPr>
        <w:pStyle w:val="NormalHanging12a"/>
      </w:pPr>
      <w:r w:rsidRPr="00091CE3">
        <w:t>2.</w:t>
      </w:r>
      <w:r w:rsidRPr="00091CE3">
        <w:tab/>
        <w:t xml:space="preserve">na základě zprávy Účetního dvora konstatuje, že centrum sice zaplatilo úroky pouze za jednu opožděnou platbu, ale že mnohé platby (107 z 1 595) byly v rámci systému centra pro finanční a účetní řízení (účetnictví na akruální bázi (ABAC)) označeny jako opožděné chybně, protože byly použity nesprávné parametry a/nebo nesprávné údaje týkající se data splatnosti nebo přijetí dokladů, z nichž vyplývá platební povinnost; na základě odpovědi centra konstatuje, že nekonzistentní označování opožděných plateb nemělo vliv na správnost příslušných operací; konstatuje rovněž, že centrum přijalo některá opatření, která minimalizují uvedené riziko „falešné pozitivity“ a ve větší míře než doposud zajistí, aby jeho systém ABAC podával jasný a přesný přehled o skutečných opožděných platbách; vyzývá agenturu, aby tuto otázku i nadále sledovala a zmírňovala možná budoucí rizika poškození dobré pověsti spojená s tímto </w:t>
      </w:r>
      <w:r w:rsidRPr="00091CE3">
        <w:lastRenderedPageBreak/>
        <w:t>problémem;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Výkonnost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3.</w:t>
      </w:r>
      <w:r w:rsidRPr="00091CE3">
        <w:tab/>
        <w:t>konstatuje, že nový model centra pro měření výkonnosti určuje omezený počet (10) kompozitních klíčových ukazatelů výkonnosti, které se používají k měření efektivity při dosahování požadovaných výstupů a účinnosti využívání přidělených zdrojů a které jsou doplněny klíčovými ukazateli výkonnosti vyšší úrovně, které se zaměřují na výsledky a dopady; konstatuje, že pro účely posuzování ukazatelů výkonnosti stanovilo centrum 65 ročních cílů, z nichž 57 (87 %) bylo v roce 2022 dosaženo;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4.</w:t>
      </w:r>
      <w:r w:rsidRPr="00091CE3">
        <w:tab/>
        <w:t>konstatuje, že pokud jde o pracovní program na rok 2022, centrum dosáhlo 152 ze 188 výstupů / výsledků (81 %), částečně dosáhlo 12 % z nich (tj. 23 výstupů / výsledků, jejichž plnění se opozdilo a na konci roku 2022 stále ještě probíhalo), 12 výsledků (6 %) nebylo provedeno a dva výsledky nebyly použitelné; bere na vědomí názor centra, že zpoždění nebo zrušení činnosti bylo v roce 2022 způsobena většinou nedostatkem zdrojů; konstatuje také, že s ohledem na plnění svého nového mandátu (který má platit od roku 2024) zahájilo centrum v roce 2022 přípravy, které zahrnovaly klíčové zdroje a které si vyžádaly určité úpravy některých jeho již dříve naplánovaných činností;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5.</w:t>
      </w:r>
      <w:r w:rsidRPr="00091CE3">
        <w:tab/>
        <w:t xml:space="preserve">uznává úsilí centra a pokrok, jehož bylo dosaženo v jeho třech oblastech činnosti (zdraví, bezpečnost a hybatele činnosti); bere na vědomí zejména skutečnost, že v roce 2022 byla vydána nová Evropská zpráva o drogách (EDR), která přináší nejnovější přehled o drogové situaci v Evropě do roku 2022, zahájení činnosti platformy elektronického učení PLATO, kde jsou k dispozici evropské osnovy prevence (EUPC), které mají sloužit ke školení odborníků podílejících se na přípravě rozhodnutí, stanovisek a politik týkajících se prevence v Evropě, sedm </w:t>
      </w:r>
      <w:proofErr w:type="spellStart"/>
      <w:r w:rsidRPr="00091CE3">
        <w:t>miniprůvodců</w:t>
      </w:r>
      <w:proofErr w:type="spellEnd"/>
      <w:r w:rsidRPr="00091CE3">
        <w:t xml:space="preserve"> o tom, jak reagovat na užívání drog v rekreačním prostředí, místních komunitách, školách a věznicích, ale i na potřeby rodin a bezdomovců, a dále zveřejnění tří informačních materiálů upozorňujících na aplikační místnosti, drogové kontroly a intervenční možnosti elektronického zdravotnictví;</w:t>
      </w:r>
    </w:p>
    <w:p w:rsidR="001F65B5" w:rsidRPr="00091CE3" w:rsidRDefault="001F65B5" w:rsidP="00CC6030">
      <w:pPr>
        <w:pStyle w:val="NormalHanging12a"/>
      </w:pPr>
      <w:r w:rsidRPr="00091CE3">
        <w:t>6.</w:t>
      </w:r>
      <w:r w:rsidRPr="00091CE3">
        <w:tab/>
        <w:t>s uspokojením konstatuje, že v roce 2022 vydalo centrum</w:t>
      </w:r>
      <w:r w:rsidR="00CC6030">
        <w:t xml:space="preserve"> </w:t>
      </w:r>
      <w:r w:rsidRPr="00091CE3">
        <w:t>novou</w:t>
      </w:r>
      <w:r w:rsidR="00CC6030">
        <w:t xml:space="preserve"> </w:t>
      </w:r>
      <w:r w:rsidRPr="00091CE3">
        <w:t>urychlenou</w:t>
      </w:r>
      <w:r w:rsidR="00CC6030">
        <w:t xml:space="preserve"> </w:t>
      </w:r>
      <w:r w:rsidRPr="00091CE3">
        <w:t>studii</w:t>
      </w:r>
      <w:r w:rsidR="00CC6030">
        <w:t xml:space="preserve"> </w:t>
      </w:r>
      <w:r w:rsidRPr="00091CE3">
        <w:t>trendů s hybridní metodikou, jejímž účelem bylo posoudit počáteční reakci služeb na potřeby vysídlených Ukrajinců v sousedních zemích Unie; oceňuje centrum za jeho spolupráci s </w:t>
      </w:r>
      <w:proofErr w:type="spellStart"/>
      <w:r w:rsidRPr="00091CE3">
        <w:t>Europolem</w:t>
      </w:r>
      <w:proofErr w:type="spellEnd"/>
      <w:r w:rsidRPr="00091CE3">
        <w:t xml:space="preserve"> na přípravě čtvrtého vydání společné publikace EU </w:t>
      </w:r>
      <w:proofErr w:type="spellStart"/>
      <w:r w:rsidRPr="00091CE3">
        <w:t>Drug</w:t>
      </w:r>
      <w:proofErr w:type="spellEnd"/>
      <w:r w:rsidRPr="00091CE3">
        <w:t xml:space="preserve"> </w:t>
      </w:r>
      <w:proofErr w:type="spellStart"/>
      <w:r w:rsidRPr="00091CE3">
        <w:t>Markets</w:t>
      </w:r>
      <w:proofErr w:type="spellEnd"/>
      <w:r w:rsidRPr="00091CE3">
        <w:t>: In-</w:t>
      </w:r>
      <w:proofErr w:type="spellStart"/>
      <w:r w:rsidRPr="00091CE3">
        <w:t>depth</w:t>
      </w:r>
      <w:proofErr w:type="spellEnd"/>
      <w:r w:rsidRPr="00091CE3">
        <w:t xml:space="preserve"> </w:t>
      </w:r>
      <w:proofErr w:type="spellStart"/>
      <w:r w:rsidRPr="00091CE3">
        <w:t>analysis</w:t>
      </w:r>
      <w:proofErr w:type="spellEnd"/>
      <w:r w:rsidRPr="00091CE3">
        <w:t xml:space="preserve"> („Drogové trhy v EU: hloubková analýza“), jejíž zjištění jsou prezentována v řadě modulů, z nichž každý se zaměřuje na trh s jednou určitou drogou a zahrnuje trendy v celém dodavatelském řetězci od výroby a nezákonný obchod až po distribuci a užívání; v této souvislosti oceňuje, že v roce 2022 byly spuštěny první dva moduly pro kokain a metamfetamin;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7.</w:t>
      </w:r>
      <w:r w:rsidRPr="00091CE3">
        <w:tab/>
        <w:t>konstatuje, že v roce 2022 centrum pokračovalo ve spolupráci se svými partnery na provádění systému včasného varování Evropské unie; v téže souvislosti konstatuje, že v roce 2022 bylo v rámci tohoto systému poprvé formálně ohlášeno 41 nových psychoaktivních látek; dále konstatuje, že pod definici „drogy“, kterou uvádí směrnice Komise v přenesené pravomoci, byly v roce 2022 zahrnuty dvě nové psychoaktivní látky, jejichž posouzení centrum provedlo v roce 2021 (3-chlormethkatinon (3-CMC) a 3-methylmethkatinon (3-MMC));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8.</w:t>
      </w:r>
      <w:r w:rsidRPr="00091CE3">
        <w:tab/>
        <w:t xml:space="preserve">vítá, že se centrum účastní vzdělávacích akcí týkajících se drog a budování kapacit, díky </w:t>
      </w:r>
      <w:r w:rsidRPr="00091CE3">
        <w:lastRenderedPageBreak/>
        <w:t xml:space="preserve">čemuž dokázalo předat své znalosti téměř 950 odborníkům pracujícím v oblasti drog, včetně úředníků a tvůrců politiky působících v oblasti vymáhání práva; dále konstatuje, že centrum v roce 2022 uspořádalo sedm </w:t>
      </w:r>
      <w:proofErr w:type="spellStart"/>
      <w:r w:rsidRPr="00091CE3">
        <w:t>webinářů</w:t>
      </w:r>
      <w:proofErr w:type="spellEnd"/>
      <w:r w:rsidRPr="00091CE3">
        <w:t>, kterých se zúčastnilo přibližně 1 200 odborníků pracujících v oblasti drog po celém světě; oceňuje, že centrum společně se svými partnery uspořádalo 4. evropskou konferenci o návykovém chování a závislostech: lisabonské závislosti 2022, na které se v rámci zastřešujícího tématu „Globální závislosti“ sešel rekordní počet 1 757 účastníků z 84 zemí;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9.</w:t>
      </w:r>
      <w:r w:rsidRPr="00091CE3">
        <w:tab/>
        <w:t>vítá neochvějné úsilí střediska o zdůraznění sociálních aspektů a společenského dopadu drog, podporu politik opětovného začlenění uživatelů drog do společnosti a přístup k tématu drog s multidisciplinárním výhledem; domnívá se, že je nezbytné i nadále zvyšovat povědomí o významu prevence a o tom, že je důležité, aby protidrogová politika byla založena na duševním zdraví;</w:t>
      </w:r>
    </w:p>
    <w:p w:rsidR="001F65B5" w:rsidRPr="00091CE3" w:rsidRDefault="001F65B5" w:rsidP="00CC6030">
      <w:pPr>
        <w:pStyle w:val="NormalHanging12a"/>
      </w:pPr>
      <w:r w:rsidRPr="00091CE3">
        <w:t>10.</w:t>
      </w:r>
      <w:r w:rsidRPr="00091CE3">
        <w:tab/>
        <w:t>vítá pokrok, kterého centrum dosáhlo spolu s </w:t>
      </w:r>
      <w:proofErr w:type="spellStart"/>
      <w:r w:rsidRPr="00091CE3">
        <w:t>Europolem</w:t>
      </w:r>
      <w:proofErr w:type="spellEnd"/>
      <w:r w:rsidRPr="00091CE3">
        <w:t xml:space="preserve"> při práci na hloubkové analýze trhu s drogami v EU, jejíž součástí jsou moduly o konkrétních drogách, z nichž některé byly zveřejněny v roce 2022 a některé jsou plánovány na rok 2023; vítá, že centrum v roce 2022 pracovalo na zlepšení kvality a dostupnosti základních údajů o nabídce drog ve spolupráci s národními kontaktními místy sítě </w:t>
      </w:r>
      <w:proofErr w:type="spellStart"/>
      <w:r w:rsidRPr="00091CE3">
        <w:t>Reitox</w:t>
      </w:r>
      <w:proofErr w:type="spellEnd"/>
      <w:r w:rsidRPr="00091CE3">
        <w:t xml:space="preserve"> a </w:t>
      </w:r>
      <w:proofErr w:type="spellStart"/>
      <w:r w:rsidRPr="00091CE3">
        <w:t>Europolem</w:t>
      </w:r>
      <w:proofErr w:type="spellEnd"/>
      <w:r w:rsidRPr="00091CE3">
        <w:t>; vítá, že centrum plnilo všechny úkoly v rámci operativních akčních plánů multidisciplinární platformy pro boj proti hrozbám vyplývajícím z trestné činnosti, které se týkají konopí, kokainu a heroinu;</w:t>
      </w:r>
      <w:r w:rsidRPr="00091CE3">
        <w:rPr>
          <w:rStyle w:val="FootnoteReference"/>
        </w:rPr>
        <w:t xml:space="preserve"> </w:t>
      </w:r>
      <w:r w:rsidRPr="00091CE3">
        <w:t>připomíná, že obchod s drogami byl označen za významný zdroj zisku a jedním ze způsobů náboru ve zločineckých a teroristických organizacích, a zdůrazňuje, že centrum přispívá k tomu, aby bylo v Evropě bezpečněji;</w:t>
      </w:r>
    </w:p>
    <w:p w:rsidR="001F65B5" w:rsidRPr="00091CE3" w:rsidRDefault="001F65B5" w:rsidP="00CC6030">
      <w:pPr>
        <w:pStyle w:val="NormalHanging12a"/>
      </w:pPr>
      <w:r w:rsidRPr="00091CE3">
        <w:t>11.</w:t>
      </w:r>
      <w:r w:rsidRPr="00091CE3">
        <w:tab/>
        <w:t>vítá probíhající spolupráci mezi centrem a partnerskými zeměmi evropské politiky sousedství na regionální úrovni, která má podobu projektu technické pomoci EU4MD, a to, že se nyní realizuje dvoustranný projekt technické pomoci EMCDDA4GE s Gruzií; vítá, že v oblasti protidrogové politiky bylo navázáno oficiální partnerství v rámci programu spolupráce mezi Latinskou Amerikou, Karibikem a Evropskou unií;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Efektivita a úspory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12.</w:t>
      </w:r>
      <w:r w:rsidRPr="00091CE3">
        <w:tab/>
        <w:t>oceňuje závazek centra neustále zlepšovat účinnost a účelnost svých činností a maximalizovat využívání svých zdrojů, odborných znalostí a know-how s konečným cílem přispívat k bezpečnější a zdravější Evropě, zejména prostřednictvím ujednání o spolupráci s agenturami, které působí v oblasti spravedlnosti, vnitřních věcí a zdravotnictví; bere na vědomí opatření, která centrum přijalo za účelem snížení nákladů na provoz jeho prostor, jako je využívání slunečního stínění na skleněných plochách a spínače pro regulaci klimatu na oknech; bere rovněž na vědomí dohodu s Evropskou agenturou pro námořní bezpečnost o využívání společných prostor (jídelna, podzemní parkoviště a konferenční prostory) v areálu, kde se nacházejí jejich ústředí, a o spolupráci mezi oběma agenturami v oblasti společného zadávání veřejných zakázek na sdílené služby (např. bezpečnost, úklid, stravování) a společné organizace vzdělávacích činností společného zájmu pro zaměstnance obou agentur;</w:t>
      </w:r>
    </w:p>
    <w:p w:rsidR="001F65B5" w:rsidRPr="00091CE3" w:rsidRDefault="001F65B5" w:rsidP="00CC6030">
      <w:pPr>
        <w:pStyle w:val="Normal12Hanging"/>
      </w:pPr>
      <w:r w:rsidRPr="00091CE3">
        <w:t>13.</w:t>
      </w:r>
      <w:r w:rsidRPr="00091CE3">
        <w:tab/>
        <w:t xml:space="preserve">s uspokojením konstatuje, že centrum má strategický plán (strategie životního prostředí na období 2021–2025) pro dosažení uhlíkové neutrality a že do své výroční zprávy o činnosti zahrnulo metriky týkající se vlivu centra na životní prostředí a jeho uhlíkové stopy, přičemž od roku 2014 se jeho roční výsledky setrvale zlepšují; vítá rozhodnutí ředitele centra, které bylo přijato v roce 2022 a podle něhož má centrum získat </w:t>
      </w:r>
      <w:r w:rsidRPr="00091CE3">
        <w:lastRenderedPageBreak/>
        <w:t>certifikaci EMAS s tím, že tento proces by měl být dokončen v roce 2023;</w:t>
      </w:r>
    </w:p>
    <w:p w:rsidR="001F65B5" w:rsidRPr="00091CE3" w:rsidRDefault="001F65B5" w:rsidP="00CC6030">
      <w:pPr>
        <w:pStyle w:val="Normal12Hanging"/>
      </w:pPr>
      <w:r w:rsidRPr="00091CE3">
        <w:t>14.</w:t>
      </w:r>
      <w:r w:rsidRPr="00091CE3">
        <w:tab/>
        <w:t>konstatuje, že v roce 2022 centrum realizovalo několik projektů zaměřených na zlepšení environmentální výkonnosti, které se týkaly zlepšení spotřeby elektrické energie, instalace solárních článků na střeše budovy a instalace stanic pro sdílení elektrických automobilů, která umožní nahradit vozový park centra elektrickými nebo hybridními vozidly;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Personální politika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15.</w:t>
      </w:r>
      <w:r w:rsidRPr="00091CE3">
        <w:tab/>
        <w:t>konstatuje, že ke dni 31. prosince 2022 byl plán pracovních míst naplněn z 97 %, přičemž ze 7 úředníků a 69 dočasných pracovníků povolených na základě rozpočtu Unie (76 povolených míst v roce 2022, stejně jako v roce 2021) bylo jmenováno 6 úředníků a 68 dočasných pracovníků; konstatuje, že kromě toho v roce 2022 pracovalo v centru také 27 smluvních zaměstnanců; bere na vědomí prověrku stavu zaměstnanců centra a účinného a efektivního přidělování jeho zdrojů provedenou v roce 2022, podle níž se 72,44 % zaměstnanců centra věnovalo provozním úkolům, 18,20 % administrativní podpoře a 9,35 % neutrálním operacím; oceňuje centrum za nízkou fluktuaci jeho zaměstnanců (2,9 %) v roce 2022;</w:t>
      </w:r>
    </w:p>
    <w:p w:rsidR="001F65B5" w:rsidRPr="00091CE3" w:rsidRDefault="001F65B5" w:rsidP="00CC6030">
      <w:pPr>
        <w:pStyle w:val="NormalHanging12a"/>
      </w:pPr>
      <w:r w:rsidRPr="00091CE3">
        <w:t>16.</w:t>
      </w:r>
      <w:r w:rsidRPr="00091CE3">
        <w:tab/>
        <w:t>bere na vědomí, že centrum uvedlo, že v jeho vedení působí 2 ženy (22 %) a 7 mužů (78 %) a že v jeho správní radě pracuje 20 žen (37 %) a 34 mužů (63 %); konstatuje, že z celkového počtu zaměstnanců je 36 mužů (38 %) a 58 žen (62 %); připomíná, že je důležité zajistit, aby zastoupení žen a mužů bylo vyvážené, a vyzývá centrum, aby tento zájem zohlednilo v budoucím náboru zaměstnanců i při jmenování členů svého vrcholného vedení; žádá Komisi a členské státy, aby při předkládání nominací do správní rady centra přihlížely k tomu, že je důležité zajistit vyvážené zastoupení žen a mužů;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17.</w:t>
      </w:r>
      <w:r w:rsidRPr="00091CE3">
        <w:tab/>
        <w:t>bere na vědomí zprávu střediska o následných opatřeních přijatých v souvislosti s udělením absolutoria za plnění rozpočtu střediska na rozpočtový rok 2021 (dále jen „zpráva střediska“) s cílem zlepšit genderovou vyváženost v rámci střediska; konstatuje, že tato opatření byla přijata v rámci náborových postupů centra a šíření informací o výběrovém řízení centra v členských státech; oceňuje předsedu správní rady centra za to, že se ve věci zajištění vyváženého zastoupení žen a mužů při jmenování členů správní rady centra obrátil na příslušné orgány členských států, Norska a Turecka; na základě zprávy centra ohledně připomínky týkající se nevyužívání systému SYSPER dále konstatuje, že centrum vyvinulo a zavedlo vlastní nástroje využívající informačních a komunikačních technologií pro digitalizované řízení lidských zdrojů;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18.</w:t>
      </w:r>
      <w:r w:rsidRPr="00091CE3">
        <w:tab/>
        <w:t>na základě výroční zprávy Účetního dvora o agenturách Unie za rok 2018 upozorňuje na připomínku týkající se zaměstnávání dočasných pracovníků na základě rámcové smlouvy, která nesplňuje požadavky směrnice 2008/104/ES</w:t>
      </w:r>
      <w:r w:rsidRPr="00091CE3">
        <w:rPr>
          <w:rStyle w:val="FootnoteReference"/>
          <w:szCs w:val="24"/>
        </w:rPr>
        <w:footnoteReference w:id="14"/>
      </w:r>
      <w:r w:rsidRPr="00091CE3">
        <w:t xml:space="preserve"> a portugalského pracovního práva; na základě zprávy Účetního dvora konstatuje, že tato připomínka je uzavřena, že platnost příslušné rámcoví smlouvy skončila v březnu 2022 a že poslední platba týkající se dočasných pracovníků se uskutečnila v lednu 2022;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lastRenderedPageBreak/>
        <w:t>Veřejné zakázky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19.</w:t>
      </w:r>
      <w:r w:rsidRPr="00091CE3">
        <w:tab/>
        <w:t xml:space="preserve">na základě zprávy Účetního dvora konstatuje, že částka (75 000 EUR) odpovídající jedné smlouvě uzavřené v roce 2022 nebyla plně krytá odpovídajícím rozpočtovým závazkem, což vedlo ke schodku ve výši 8 000 EUR; konstatuje, že podobná situace nastala v roce 2021 u smlouvy stejného typu a že podle zprávy Účetního dvora centrum v obou případech postupovalo v rozporu s požadavky uvedenými v čl. 10 odst. 3 a čl. 73 odst. 2 </w:t>
      </w:r>
      <w:proofErr w:type="gramStart"/>
      <w:r w:rsidRPr="00091CE3">
        <w:t>finančního</w:t>
      </w:r>
      <w:proofErr w:type="gramEnd"/>
      <w:r w:rsidRPr="00091CE3">
        <w:t xml:space="preserve"> nařízení centra; bere však na vědomí odpověď centra, že náklady na smlouvu byly rozděleny podle dohod uzavřených se dvěma dalšími subjekty, které využívají prostory centra v Lisabonu; v této souvislosti konstatuje, že centrum muselo nést pouze část celkových nákladů / výdajů na smlouvu, které byly kryté příslušnými rozpočtovými závazky, zatímco zbývající náklady byly hrazeny prostřednictvím kompenzačních / zúčtovacích operací, protože tyto náklady nesly oba zmíněné subjekty;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Prevence a</w:t>
      </w:r>
      <w:bookmarkStart w:id="12" w:name="_GoBack"/>
      <w:bookmarkEnd w:id="12"/>
      <w:r w:rsidRPr="00091CE3">
        <w:rPr>
          <w:b/>
          <w:i/>
        </w:rPr>
        <w:t> řešení střetů zájmů a transparentnost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20.</w:t>
      </w:r>
      <w:r w:rsidRPr="00091CE3">
        <w:tab/>
        <w:t xml:space="preserve">bere na vědomí stávající opatření centra a probíhající snahy o zajištění transparentnosti, prevence a řešení střetů zájmů a ochrany oznamovatelů; bere na vědomí, že v roce 2022 nebyl nahlášen, vyšetřován ani uzavřen žádný případ střetu zájmů nebo </w:t>
      </w:r>
      <w:proofErr w:type="spellStart"/>
      <w:r w:rsidRPr="00091CE3">
        <w:t>whistleblowingu</w:t>
      </w:r>
      <w:proofErr w:type="spellEnd"/>
      <w:r w:rsidRPr="00091CE3">
        <w:t>; oceňuje, že centrum zveřejnilo na svých internetových stránkách prohlášení o zájmech a životopisy členů jeho vrcholného vedení a správní rady a externích odborníků, kteří jsou členy jeho vědeckého výboru; připomíná, že v případě členů správní rady je na internetových stránkách centra k dispozici pouze shrnutí jejich současných profesních činností; bere na vědomí závazek centra vyřešit do konce roku 2023 otázku, zda by ve zveřejněných životopisech mohla být doplněna i předchozí profesní činnost těchto členů;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21.</w:t>
      </w:r>
      <w:r w:rsidRPr="00091CE3">
        <w:tab/>
        <w:t>konstatuje, že v roce 2022 se nekonalo žádné setkání centra s lobbisty; konstatuje rovněž, že na základě pokynů a doporučení Komise a evropské veřejné ochránkyně práv týkající se této věci přijalo centrum kodex chování a praktická doporučení / pokyny pro případné jednání jeho pracovníků se zástupci zájmových skupin; dále konstatuje, že v případě uskutečnění takového jednání tyto pokyny doporučují, aby jednání bylo zaevidováno a zveřejněno; vyzývá centrum, aby se těmito pokyny řídilo a aby jednání tohoto druhu neprodleně zveřejnilo;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Vnitřní kontrola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22.</w:t>
      </w:r>
      <w:r w:rsidRPr="00091CE3">
        <w:tab/>
        <w:t>konstatuje, že v roce 2022 provedl útvar interního auditu pro centrum dva audity, konkrétně o mezinárodní spolupráci a přiměřenosti koordinace a pracovních ujednání partnerských generálních ředitelství a dalších zúčastněných stran, jakož i o správním rámci decentralizovaných agentur Unie; konstatuje, že výsledky žádného z těchto dvou auditních projektů nebyly na konci roku 2022 stále ještě k dispozici a že v té době neexistovala žádná nevyřešená kritická rizika ani doporučení útvaru interního auditu, s výjimkou jednoho nevyřešeného doporučení na základě auditu řízení lidských zdrojů a etiky provedeného v roce 2021, které se týkalo interní komunikace;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23.</w:t>
      </w:r>
      <w:r w:rsidRPr="00091CE3">
        <w:tab/>
        <w:t xml:space="preserve">vítá výsledek posouzení účinnosti systémů centra pro vnitřní kontrolu z roku 2022, podle něhož jsou všechny složky přítomny a fungují; konstatuje, že v rámci tohoto posouzení bylo zjištěno pět zásad rámce vnitřní kontroly, kde by mohlo být žádoucí provést určitá zlepšení, pokud jde o kontrolní prostředí, kontrolní činnosti a informace a komunikaci; dále konstatuje, že v roce 2022 v centru proběhlo komplexní zjišťování </w:t>
      </w:r>
      <w:r w:rsidRPr="00091CE3">
        <w:lastRenderedPageBreak/>
        <w:t>a hodnocení rizik, jehož účelem bylo zlepšit řízení rizik, přičemž byla zjištěna rizika související s novým mandátem centra a s jeho novým modelem činnosti; vyzývá centrum, aby řešilo všechny nedostatky, které byly při různých posouzeních provedených v roce 2022 zjištěny;</w:t>
      </w:r>
    </w:p>
    <w:p w:rsidR="001F65B5" w:rsidRPr="00091CE3" w:rsidRDefault="001F65B5" w:rsidP="00CC6030">
      <w:pPr>
        <w:pStyle w:val="Normal12Hanging"/>
      </w:pPr>
      <w:r w:rsidRPr="00091CE3">
        <w:t>24.</w:t>
      </w:r>
      <w:r w:rsidRPr="00091CE3">
        <w:tab/>
        <w:t>konstatuje, že centrum v roce 2021 přijalo revidovanou strategii boje proti podvodům se třemi strategickými cíli a akčním plánem provádění v roce 2022, který byl do konce roku z velké části realizován, takže z celkového počtu 12 opatření zůstalo nedokončeno pouze jedno;</w:t>
      </w:r>
    </w:p>
    <w:p w:rsidR="001F65B5" w:rsidRPr="00091CE3" w:rsidRDefault="001F65B5" w:rsidP="00CC6030">
      <w:pPr>
        <w:pStyle w:val="Normal12Hanging"/>
        <w:rPr>
          <w:b/>
          <w:i/>
          <w:szCs w:val="24"/>
        </w:rPr>
      </w:pPr>
      <w:r w:rsidRPr="00091CE3">
        <w:rPr>
          <w:b/>
          <w:i/>
        </w:rPr>
        <w:t>Další připomínky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25.</w:t>
      </w:r>
      <w:r w:rsidRPr="00091CE3">
        <w:tab/>
        <w:t>oceňuje centrum za komunikační úsilí zaměřené na zajištění produkce kvalitních publikací, jehož výsledkem v roce 2022 bylo 66 vědeckých a institucionálních publikací a 16 vědeckých článků a kapitol v knihách, o jejichž vznik se centrum autorsky nebo spoluautorsky zasloužilo, včetně publikací v prestižních časopisech;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26.</w:t>
      </w:r>
      <w:r w:rsidRPr="00091CE3">
        <w:tab/>
        <w:t xml:space="preserve">vítá významný nárůst počtu osob sledujících činnost centra, který byl v roce 2022 zaznamenán na všech komunikačních kanálech; v této souvislosti konstatuje, že internetové stránky centra si otevřelo přibližně 2,6 milionu různých návštěvníků, což je rekordní počet (od roku 2021 téměř 50% nárůst), jeho videa měla 1,6 milionu zhlédnutí (oproti roku 2021 nárůst o 15 %) a vzrostl i počet osob, které centrum sledují na dvou klíčových kanálech sociálních médií, a to na </w:t>
      </w:r>
      <w:proofErr w:type="spellStart"/>
      <w:r w:rsidRPr="00091CE3">
        <w:t>LinkedInu</w:t>
      </w:r>
      <w:proofErr w:type="spellEnd"/>
      <w:r w:rsidRPr="00091CE3">
        <w:t xml:space="preserve"> (+57 %) a </w:t>
      </w:r>
      <w:proofErr w:type="spellStart"/>
      <w:r w:rsidRPr="00091CE3">
        <w:t>Instagramu</w:t>
      </w:r>
      <w:proofErr w:type="spellEnd"/>
      <w:r w:rsidRPr="00091CE3">
        <w:t xml:space="preserve"> (+37 %);</w:t>
      </w:r>
    </w:p>
    <w:p w:rsidR="001F65B5" w:rsidRPr="00091CE3" w:rsidRDefault="001F65B5" w:rsidP="00CC6030">
      <w:pPr>
        <w:pStyle w:val="Normal12Hanging"/>
        <w:rPr>
          <w:szCs w:val="24"/>
        </w:rPr>
      </w:pPr>
      <w:r w:rsidRPr="00091CE3">
        <w:t>27.</w:t>
      </w:r>
      <w:r w:rsidRPr="00091CE3">
        <w:tab/>
        <w:t>vyzývá centrum, aby se zaměřilo na šíření výsledků svého výzkumu mezi veřejností a aby s veřejností komunikovala prostřednictvím sociálních médií a dalších sdělovacích prostředků; vítá v tomto ohledu dostupnost zpráv, které centrum vypracovalo, pro uživatele;</w:t>
      </w:r>
    </w:p>
    <w:p w:rsidR="001F65B5" w:rsidRPr="00091CE3" w:rsidRDefault="001F65B5" w:rsidP="00CC6030">
      <w:pPr>
        <w:pStyle w:val="NormalHanging12a"/>
        <w:rPr>
          <w:szCs w:val="24"/>
        </w:rPr>
      </w:pPr>
      <w:r w:rsidRPr="00091CE3">
        <w:t>28.</w:t>
      </w:r>
      <w:r w:rsidRPr="00091CE3">
        <w:tab/>
        <w:t xml:space="preserve">vítá internetovou stránku „EMCDDA 4 </w:t>
      </w:r>
      <w:proofErr w:type="spellStart"/>
      <w:r w:rsidRPr="00091CE3">
        <w:t>Ukraine</w:t>
      </w:r>
      <w:proofErr w:type="spellEnd"/>
      <w:r w:rsidRPr="00091CE3">
        <w:t>“, která byla vytvořena pro odborníky, kteří pracují v oblasti drog v Evropě a poskytují podporu osobám vysídleným z Ukrajiny;</w:t>
      </w:r>
    </w:p>
    <w:p w:rsidR="00CC6030" w:rsidRDefault="00CC6030" w:rsidP="00CC6030">
      <w:pPr>
        <w:pStyle w:val="NormalCenter12a"/>
        <w:widowControl/>
      </w:pPr>
      <w:r>
        <w:t>°</w:t>
      </w:r>
    </w:p>
    <w:p w:rsidR="00CC6030" w:rsidRDefault="00CC6030" w:rsidP="00CC6030">
      <w:pPr>
        <w:pStyle w:val="NormalCenter12a"/>
        <w:widowControl/>
      </w:pPr>
      <w:r>
        <w:t>°     °</w:t>
      </w:r>
    </w:p>
    <w:p w:rsidR="001F65B5" w:rsidRPr="00091CE3" w:rsidRDefault="001F65B5" w:rsidP="00CC6030">
      <w:pPr>
        <w:pStyle w:val="Normal12Hanging"/>
      </w:pPr>
      <w:r w:rsidRPr="00091CE3">
        <w:t>29.</w:t>
      </w:r>
      <w:r w:rsidRPr="00091CE3">
        <w:tab/>
        <w:t xml:space="preserve">pokud jde o další připomínky, které jsou připojeny k rozhodnutí o udělení absolutoria a jsou horizontální povahy, odkazuje na své usnesení ze dne </w:t>
      </w:r>
      <w:r w:rsidR="00CC6030">
        <w:t>11. dubna</w:t>
      </w:r>
      <w:r w:rsidRPr="00091CE3">
        <w:t xml:space="preserve"> 2024</w:t>
      </w:r>
      <w:r w:rsidRPr="00091CE3">
        <w:rPr>
          <w:rStyle w:val="FootnoteReference"/>
        </w:rPr>
        <w:footnoteReference w:id="15"/>
      </w:r>
      <w:r w:rsidRPr="00091CE3">
        <w:t xml:space="preserve"> o výkonnosti, finančním řízení a kontrole agentur.</w:t>
      </w:r>
    </w:p>
    <w:sectPr w:rsidR="001F65B5" w:rsidRPr="00091CE3" w:rsidSect="00091C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DC9" w:rsidRPr="00091CE3" w:rsidRDefault="00017DC9">
      <w:r w:rsidRPr="00091CE3">
        <w:separator/>
      </w:r>
    </w:p>
  </w:endnote>
  <w:endnote w:type="continuationSeparator" w:id="0">
    <w:p w:rsidR="00017DC9" w:rsidRPr="00091CE3" w:rsidRDefault="00017DC9">
      <w:r w:rsidRPr="00091C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5B5" w:rsidRPr="00091CE3" w:rsidRDefault="001F65B5" w:rsidP="008B7EBB">
    <w:pPr>
      <w:pStyle w:val="EPFooter"/>
    </w:pPr>
    <w:r w:rsidRPr="00091CE3">
      <w:t>PE</w:t>
    </w:r>
    <w:r w:rsidRPr="00091CE3">
      <w:rPr>
        <w:rStyle w:val="HideTWBExt"/>
      </w:rPr>
      <w:t>&lt;</w:t>
    </w:r>
    <w:proofErr w:type="spellStart"/>
    <w:r w:rsidRPr="00091CE3">
      <w:rPr>
        <w:rStyle w:val="HideTWBExt"/>
      </w:rPr>
      <w:t>NoPE</w:t>
    </w:r>
    <w:proofErr w:type="spellEnd"/>
    <w:r w:rsidRPr="00091CE3">
      <w:rPr>
        <w:rStyle w:val="HideTWBExt"/>
      </w:rPr>
      <w:t>&gt;</w:t>
    </w:r>
    <w:r w:rsidRPr="00091CE3">
      <w:t>753.525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NoPE</w:t>
    </w:r>
    <w:proofErr w:type="spellEnd"/>
    <w:r w:rsidRPr="00091CE3">
      <w:rPr>
        <w:rStyle w:val="HideTWBExt"/>
      </w:rPr>
      <w:t>&gt;&lt;Version&gt;</w:t>
    </w:r>
    <w:r w:rsidRPr="00091CE3">
      <w:t>v02-00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Version</w:t>
    </w:r>
    <w:proofErr w:type="spellEnd"/>
    <w:r w:rsidRPr="00091CE3">
      <w:rPr>
        <w:rStyle w:val="HideTWBExt"/>
      </w:rPr>
      <w:t>&gt;</w:t>
    </w:r>
    <w:r w:rsidRPr="00091CE3">
      <w:tab/>
    </w:r>
    <w:r w:rsidRPr="00091CE3">
      <w:fldChar w:fldCharType="begin"/>
    </w:r>
    <w:r w:rsidRPr="00091CE3">
      <w:instrText xml:space="preserve"> PAGE  \* MERGEFORMAT </w:instrText>
    </w:r>
    <w:r w:rsidRPr="00091CE3">
      <w:fldChar w:fldCharType="separate"/>
    </w:r>
    <w:r w:rsidR="00091CE3" w:rsidRPr="00091CE3">
      <w:rPr>
        <w:noProof/>
      </w:rPr>
      <w:t>2</w:t>
    </w:r>
    <w:r w:rsidRPr="00091CE3">
      <w:fldChar w:fldCharType="end"/>
    </w:r>
    <w:r w:rsidRPr="00091CE3">
      <w:t>/</w:t>
    </w:r>
    <w:r w:rsidR="001E176C">
      <w:fldChar w:fldCharType="begin"/>
    </w:r>
    <w:r w:rsidR="001E176C">
      <w:instrText xml:space="preserve"> NUMPAGES  \* MERGEFORMAT </w:instrText>
    </w:r>
    <w:r w:rsidR="001E176C">
      <w:fldChar w:fldCharType="separate"/>
    </w:r>
    <w:r w:rsidR="00091CE3" w:rsidRPr="00091CE3">
      <w:rPr>
        <w:noProof/>
      </w:rPr>
      <w:t>11</w:t>
    </w:r>
    <w:r w:rsidR="001E176C">
      <w:rPr>
        <w:noProof/>
      </w:rPr>
      <w:fldChar w:fldCharType="end"/>
    </w:r>
    <w:r w:rsidRPr="00091CE3">
      <w:tab/>
    </w:r>
    <w:r w:rsidRPr="00091CE3">
      <w:rPr>
        <w:rStyle w:val="HideTWBExt"/>
      </w:rPr>
      <w:t>&lt;PathFdR&gt;</w:t>
    </w:r>
    <w:r w:rsidRPr="00091CE3">
      <w:t>RR\1298782CS.docx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PathFdR</w:t>
    </w:r>
    <w:proofErr w:type="spellEnd"/>
    <w:r w:rsidRPr="00091CE3">
      <w:rPr>
        <w:rStyle w:val="HideTWBExt"/>
      </w:rPr>
      <w:t>&gt;</w:t>
    </w:r>
  </w:p>
  <w:p w:rsidR="001F65B5" w:rsidRPr="00091CE3" w:rsidRDefault="001F65B5" w:rsidP="008B7EBB">
    <w:pPr>
      <w:pStyle w:val="EPFooter2"/>
    </w:pPr>
    <w:r w:rsidRPr="00091CE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5B5" w:rsidRPr="00091CE3" w:rsidRDefault="001F65B5" w:rsidP="008B7EBB">
    <w:pPr>
      <w:pStyle w:val="EPFooter"/>
    </w:pPr>
    <w:r w:rsidRPr="00091CE3">
      <w:rPr>
        <w:rStyle w:val="HideTWBExt"/>
      </w:rPr>
      <w:t>&lt;PathFdR&gt;</w:t>
    </w:r>
    <w:r w:rsidRPr="00091CE3">
      <w:t>RR\1298782CS.docx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PathFdR</w:t>
    </w:r>
    <w:proofErr w:type="spellEnd"/>
    <w:r w:rsidRPr="00091CE3">
      <w:rPr>
        <w:rStyle w:val="HideTWBExt"/>
      </w:rPr>
      <w:t>&gt;</w:t>
    </w:r>
    <w:r w:rsidRPr="00091CE3">
      <w:tab/>
    </w:r>
    <w:r w:rsidRPr="00091CE3">
      <w:tab/>
      <w:t>PE</w:t>
    </w:r>
    <w:r w:rsidRPr="00091CE3">
      <w:rPr>
        <w:rStyle w:val="HideTWBExt"/>
      </w:rPr>
      <w:t>&lt;</w:t>
    </w:r>
    <w:proofErr w:type="spellStart"/>
    <w:r w:rsidRPr="00091CE3">
      <w:rPr>
        <w:rStyle w:val="HideTWBExt"/>
      </w:rPr>
      <w:t>NoPE</w:t>
    </w:r>
    <w:proofErr w:type="spellEnd"/>
    <w:r w:rsidRPr="00091CE3">
      <w:rPr>
        <w:rStyle w:val="HideTWBExt"/>
      </w:rPr>
      <w:t>&gt;</w:t>
    </w:r>
    <w:r w:rsidRPr="00091CE3">
      <w:t>753.525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NoPE</w:t>
    </w:r>
    <w:proofErr w:type="spellEnd"/>
    <w:r w:rsidRPr="00091CE3">
      <w:rPr>
        <w:rStyle w:val="HideTWBExt"/>
      </w:rPr>
      <w:t>&gt;&lt;Version&gt;</w:t>
    </w:r>
    <w:r w:rsidRPr="00091CE3">
      <w:t>v02-00</w:t>
    </w:r>
    <w:r w:rsidRPr="00091CE3">
      <w:rPr>
        <w:rStyle w:val="HideTWBExt"/>
      </w:rPr>
      <w:t>&lt;/</w:t>
    </w:r>
    <w:proofErr w:type="spellStart"/>
    <w:r w:rsidRPr="00091CE3">
      <w:rPr>
        <w:rStyle w:val="HideTWBExt"/>
      </w:rPr>
      <w:t>Version</w:t>
    </w:r>
    <w:proofErr w:type="spellEnd"/>
    <w:r w:rsidRPr="00091CE3">
      <w:rPr>
        <w:rStyle w:val="HideTWBExt"/>
      </w:rPr>
      <w:t>&gt;</w:t>
    </w:r>
  </w:p>
  <w:p w:rsidR="001F65B5" w:rsidRPr="00091CE3" w:rsidRDefault="001F65B5" w:rsidP="008B7EBB">
    <w:pPr>
      <w:pStyle w:val="EPFooter2"/>
    </w:pPr>
    <w:r w:rsidRPr="00091CE3">
      <w:t>CS</w:t>
    </w:r>
    <w:r w:rsidRPr="00091CE3">
      <w:tab/>
    </w:r>
    <w:r w:rsidRPr="00091CE3">
      <w:rPr>
        <w:b w:val="0"/>
        <w:i/>
        <w:color w:val="C0C0C0"/>
        <w:sz w:val="22"/>
      </w:rPr>
      <w:t>Jednotná v rozmanitosti</w:t>
    </w:r>
    <w:r w:rsidRPr="00091CE3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DC9" w:rsidRPr="00091CE3" w:rsidRDefault="00017DC9">
      <w:r w:rsidRPr="00091CE3">
        <w:separator/>
      </w:r>
    </w:p>
  </w:footnote>
  <w:footnote w:type="continuationSeparator" w:id="0">
    <w:p w:rsidR="00017DC9" w:rsidRPr="00091CE3" w:rsidRDefault="00017DC9">
      <w:r w:rsidRPr="00091CE3">
        <w:continuationSeparator/>
      </w:r>
    </w:p>
  </w:footnote>
  <w:footnote w:id="1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C, C/2023/594, </w:t>
      </w:r>
      <w:proofErr w:type="gramStart"/>
      <w:r w:rsidRPr="00091CE3">
        <w:rPr>
          <w:sz w:val="24"/>
          <w:lang w:val="cs-CZ"/>
        </w:rPr>
        <w:t>27.10.2023</w:t>
      </w:r>
      <w:proofErr w:type="gramEnd"/>
      <w:r w:rsidRPr="00091CE3">
        <w:rPr>
          <w:sz w:val="24"/>
          <w:lang w:val="cs-CZ"/>
        </w:rPr>
        <w:t>.</w:t>
      </w:r>
    </w:p>
  </w:footnote>
  <w:footnote w:id="2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C, C/2023/112, </w:t>
      </w:r>
      <w:proofErr w:type="gramStart"/>
      <w:r w:rsidRPr="00091CE3">
        <w:rPr>
          <w:sz w:val="24"/>
          <w:lang w:val="cs-CZ"/>
        </w:rPr>
        <w:t>12.10.2023</w:t>
      </w:r>
      <w:proofErr w:type="gramEnd"/>
      <w:r w:rsidRPr="00091CE3">
        <w:rPr>
          <w:sz w:val="24"/>
          <w:lang w:val="cs-CZ"/>
        </w:rPr>
        <w:t>.</w:t>
      </w:r>
    </w:p>
  </w:footnote>
  <w:footnote w:id="3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 L 193, </w:t>
      </w:r>
      <w:proofErr w:type="gramStart"/>
      <w:r w:rsidRPr="00091CE3">
        <w:rPr>
          <w:sz w:val="24"/>
          <w:lang w:val="cs-CZ"/>
        </w:rPr>
        <w:t>30.7.2018</w:t>
      </w:r>
      <w:proofErr w:type="gramEnd"/>
      <w:r w:rsidRPr="00091CE3">
        <w:rPr>
          <w:sz w:val="24"/>
          <w:lang w:val="cs-CZ"/>
        </w:rPr>
        <w:t>, s. 1.</w:t>
      </w:r>
    </w:p>
  </w:footnote>
  <w:footnote w:id="4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376, </w:t>
      </w:r>
      <w:proofErr w:type="gramStart"/>
      <w:r w:rsidRPr="00091CE3">
        <w:rPr>
          <w:sz w:val="24"/>
          <w:lang w:val="cs-CZ"/>
        </w:rPr>
        <w:t>27.12.2006</w:t>
      </w:r>
      <w:proofErr w:type="gramEnd"/>
      <w:r w:rsidRPr="00091CE3">
        <w:rPr>
          <w:sz w:val="24"/>
          <w:lang w:val="cs-CZ"/>
        </w:rPr>
        <w:t>, s. 1.</w:t>
      </w:r>
    </w:p>
  </w:footnote>
  <w:footnote w:id="5">
    <w:p w:rsidR="001F65B5" w:rsidRPr="00091CE3" w:rsidRDefault="001F65B5" w:rsidP="00091CE3">
      <w:pPr>
        <w:pStyle w:val="FootnoteText"/>
        <w:ind w:left="567" w:hanging="567"/>
        <w:rPr>
          <w:sz w:val="24"/>
          <w:szCs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166, </w:t>
      </w:r>
      <w:proofErr w:type="gramStart"/>
      <w:r w:rsidRPr="00091CE3">
        <w:rPr>
          <w:sz w:val="24"/>
          <w:lang w:val="cs-CZ"/>
        </w:rPr>
        <w:t>30.6.2023</w:t>
      </w:r>
      <w:proofErr w:type="gramEnd"/>
      <w:r w:rsidRPr="00091CE3">
        <w:rPr>
          <w:sz w:val="24"/>
          <w:lang w:val="cs-CZ"/>
        </w:rPr>
        <w:t>, s. 6.</w:t>
      </w:r>
    </w:p>
  </w:footnote>
  <w:footnote w:id="6">
    <w:p w:rsidR="001F65B5" w:rsidRPr="00091CE3" w:rsidRDefault="001F65B5" w:rsidP="00091CE3">
      <w:pPr>
        <w:pStyle w:val="FootnoteText"/>
        <w:ind w:left="567" w:hanging="567"/>
        <w:rPr>
          <w:sz w:val="24"/>
          <w:szCs w:val="24"/>
          <w:lang w:val="cs-CZ"/>
        </w:rPr>
      </w:pPr>
      <w:r w:rsidRPr="00091CE3">
        <w:rPr>
          <w:rStyle w:val="FootnoteReference"/>
          <w:sz w:val="24"/>
          <w:szCs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122, </w:t>
      </w:r>
      <w:proofErr w:type="gramStart"/>
      <w:r w:rsidRPr="00091CE3">
        <w:rPr>
          <w:sz w:val="24"/>
          <w:lang w:val="cs-CZ"/>
        </w:rPr>
        <w:t>10.5.2019</w:t>
      </w:r>
      <w:proofErr w:type="gramEnd"/>
      <w:r w:rsidRPr="00091CE3">
        <w:rPr>
          <w:sz w:val="24"/>
          <w:lang w:val="cs-CZ"/>
        </w:rPr>
        <w:t>, s. 1.</w:t>
      </w:r>
    </w:p>
  </w:footnote>
  <w:footnote w:id="7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C, C/2023/594, </w:t>
      </w:r>
      <w:proofErr w:type="gramStart"/>
      <w:r w:rsidRPr="00091CE3">
        <w:rPr>
          <w:sz w:val="24"/>
          <w:lang w:val="cs-CZ"/>
        </w:rPr>
        <w:t>27.10.2023</w:t>
      </w:r>
      <w:proofErr w:type="gramEnd"/>
      <w:r w:rsidRPr="00091CE3">
        <w:rPr>
          <w:sz w:val="24"/>
          <w:lang w:val="cs-CZ"/>
        </w:rPr>
        <w:t>.</w:t>
      </w:r>
    </w:p>
  </w:footnote>
  <w:footnote w:id="8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C, C/2023/112, </w:t>
      </w:r>
      <w:proofErr w:type="gramStart"/>
      <w:r w:rsidRPr="00091CE3">
        <w:rPr>
          <w:sz w:val="24"/>
          <w:lang w:val="cs-CZ"/>
        </w:rPr>
        <w:t>12.10.2023</w:t>
      </w:r>
      <w:proofErr w:type="gramEnd"/>
      <w:r w:rsidRPr="00091CE3">
        <w:rPr>
          <w:sz w:val="24"/>
          <w:lang w:val="cs-CZ"/>
        </w:rPr>
        <w:t>.</w:t>
      </w:r>
    </w:p>
  </w:footnote>
  <w:footnote w:id="9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 L 193, </w:t>
      </w:r>
      <w:proofErr w:type="gramStart"/>
      <w:r w:rsidRPr="00091CE3">
        <w:rPr>
          <w:sz w:val="24"/>
          <w:lang w:val="cs-CZ"/>
        </w:rPr>
        <w:t>30.7.2018</w:t>
      </w:r>
      <w:proofErr w:type="gramEnd"/>
      <w:r w:rsidRPr="00091CE3">
        <w:rPr>
          <w:sz w:val="24"/>
          <w:lang w:val="cs-CZ"/>
        </w:rPr>
        <w:t>, s. 1.</w:t>
      </w:r>
    </w:p>
  </w:footnote>
  <w:footnote w:id="10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376, </w:t>
      </w:r>
      <w:proofErr w:type="gramStart"/>
      <w:r w:rsidRPr="00091CE3">
        <w:rPr>
          <w:sz w:val="24"/>
          <w:lang w:val="cs-CZ"/>
        </w:rPr>
        <w:t>27.12.2006</w:t>
      </w:r>
      <w:proofErr w:type="gramEnd"/>
      <w:r w:rsidRPr="00091CE3">
        <w:rPr>
          <w:sz w:val="24"/>
          <w:lang w:val="cs-CZ"/>
        </w:rPr>
        <w:t>, s. 1.</w:t>
      </w:r>
    </w:p>
  </w:footnote>
  <w:footnote w:id="11">
    <w:p w:rsidR="001F65B5" w:rsidRPr="00091CE3" w:rsidRDefault="001F65B5" w:rsidP="00091CE3">
      <w:pPr>
        <w:pStyle w:val="FootnoteText"/>
        <w:ind w:left="567" w:hanging="567"/>
        <w:rPr>
          <w:sz w:val="24"/>
          <w:szCs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166, </w:t>
      </w:r>
      <w:proofErr w:type="gramStart"/>
      <w:r w:rsidRPr="00091CE3">
        <w:rPr>
          <w:sz w:val="24"/>
          <w:lang w:val="cs-CZ"/>
        </w:rPr>
        <w:t>30.6.2023</w:t>
      </w:r>
      <w:proofErr w:type="gramEnd"/>
      <w:r w:rsidRPr="00091CE3">
        <w:rPr>
          <w:sz w:val="24"/>
          <w:lang w:val="cs-CZ"/>
        </w:rPr>
        <w:t>, s. 6.</w:t>
      </w:r>
    </w:p>
  </w:footnote>
  <w:footnote w:id="12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122, </w:t>
      </w:r>
      <w:proofErr w:type="gramStart"/>
      <w:r w:rsidRPr="00091CE3">
        <w:rPr>
          <w:sz w:val="24"/>
          <w:lang w:val="cs-CZ"/>
        </w:rPr>
        <w:t>10.5.2019</w:t>
      </w:r>
      <w:proofErr w:type="gramEnd"/>
      <w:r w:rsidRPr="00091CE3">
        <w:rPr>
          <w:sz w:val="24"/>
          <w:lang w:val="cs-CZ"/>
        </w:rPr>
        <w:t>, s. 1.</w:t>
      </w:r>
    </w:p>
  </w:footnote>
  <w:footnote w:id="13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C 141/06, </w:t>
      </w:r>
      <w:proofErr w:type="gramStart"/>
      <w:r w:rsidRPr="00091CE3">
        <w:rPr>
          <w:sz w:val="24"/>
          <w:lang w:val="cs-CZ"/>
        </w:rPr>
        <w:t>29.3.2022</w:t>
      </w:r>
      <w:proofErr w:type="gramEnd"/>
      <w:r w:rsidRPr="00091CE3">
        <w:rPr>
          <w:sz w:val="24"/>
          <w:lang w:val="cs-CZ"/>
        </w:rPr>
        <w:t>, s. 33.</w:t>
      </w:r>
    </w:p>
  </w:footnote>
  <w:footnote w:id="14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r w:rsidRPr="00091CE3">
        <w:rPr>
          <w:sz w:val="24"/>
          <w:lang w:val="cs-CZ"/>
        </w:rPr>
        <w:t>Směrnice Evropského parlamentu a Rady 2008/104/ES ze dne 19. listopadu 2008 o agenturním zaměstnávání (</w:t>
      </w:r>
      <w:proofErr w:type="spellStart"/>
      <w:r w:rsidRPr="00091CE3">
        <w:rPr>
          <w:sz w:val="24"/>
          <w:lang w:val="cs-CZ"/>
        </w:rPr>
        <w:t>Úř</w:t>
      </w:r>
      <w:proofErr w:type="spellEnd"/>
      <w:r w:rsidRPr="00091CE3">
        <w:rPr>
          <w:sz w:val="24"/>
          <w:lang w:val="cs-CZ"/>
        </w:rPr>
        <w:t xml:space="preserve">. </w:t>
      </w:r>
      <w:proofErr w:type="spellStart"/>
      <w:proofErr w:type="gramStart"/>
      <w:r w:rsidRPr="00091CE3">
        <w:rPr>
          <w:sz w:val="24"/>
          <w:lang w:val="cs-CZ"/>
        </w:rPr>
        <w:t>věst</w:t>
      </w:r>
      <w:proofErr w:type="spellEnd"/>
      <w:proofErr w:type="gramEnd"/>
      <w:r w:rsidRPr="00091CE3">
        <w:rPr>
          <w:sz w:val="24"/>
          <w:lang w:val="cs-CZ"/>
        </w:rPr>
        <w:t xml:space="preserve">. L 327, </w:t>
      </w:r>
      <w:proofErr w:type="gramStart"/>
      <w:r w:rsidRPr="00091CE3">
        <w:rPr>
          <w:sz w:val="24"/>
          <w:lang w:val="cs-CZ"/>
        </w:rPr>
        <w:t>5.12.2008</w:t>
      </w:r>
      <w:proofErr w:type="gramEnd"/>
      <w:r w:rsidRPr="00091CE3">
        <w:rPr>
          <w:sz w:val="24"/>
          <w:lang w:val="cs-CZ"/>
        </w:rPr>
        <w:t>, s. 9).</w:t>
      </w:r>
    </w:p>
  </w:footnote>
  <w:footnote w:id="15">
    <w:p w:rsidR="001F65B5" w:rsidRPr="00091CE3" w:rsidRDefault="001F65B5" w:rsidP="00091CE3">
      <w:pPr>
        <w:pStyle w:val="FootnoteText"/>
        <w:ind w:left="567" w:hanging="567"/>
        <w:rPr>
          <w:sz w:val="24"/>
          <w:lang w:val="cs-CZ"/>
        </w:rPr>
      </w:pPr>
      <w:r w:rsidRPr="00091CE3">
        <w:rPr>
          <w:rStyle w:val="FootnoteReference"/>
          <w:sz w:val="24"/>
          <w:lang w:val="cs-CZ"/>
        </w:rPr>
        <w:footnoteRef/>
      </w:r>
      <w:r w:rsidR="00091CE3" w:rsidRPr="00091CE3">
        <w:rPr>
          <w:sz w:val="24"/>
          <w:lang w:val="cs-CZ"/>
        </w:rPr>
        <w:t xml:space="preserve"> </w:t>
      </w:r>
      <w:r w:rsidR="00091CE3" w:rsidRPr="00091CE3">
        <w:rPr>
          <w:sz w:val="24"/>
          <w:lang w:val="cs-CZ"/>
        </w:rPr>
        <w:tab/>
      </w:r>
      <w:r w:rsidRPr="00091CE3">
        <w:rPr>
          <w:sz w:val="24"/>
          <w:lang w:val="cs-CZ"/>
        </w:rPr>
        <w:t>Přijaté texty, P9_TA(2024)0</w:t>
      </w:r>
      <w:r w:rsidR="00E87109">
        <w:rPr>
          <w:sz w:val="24"/>
          <w:lang w:val="cs-CZ"/>
        </w:rPr>
        <w:t>28</w:t>
      </w:r>
      <w:r w:rsidRPr="00091CE3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C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CS"/>
    <w:docVar w:name="dvnumam" w:val="0"/>
    <w:docVar w:name="dvpe" w:val="753.525"/>
    <w:docVar w:name="dvrapporteur" w:val="Zpravodaj: "/>
    <w:docVar w:name="dvtitre" w:val="1. Rozhodnutí Evropského parlamentu ze dne 11. dubna 2024 k udělení absolutoria za plnění rozpočtu Evropského monitorovacího centra pro drogy a drogovou závislost na rozpočtový rok 2022(2023/2157(DEC))"/>
  </w:docVars>
  <w:rsids>
    <w:rsidRoot w:val="00017DC9"/>
    <w:rsid w:val="00002272"/>
    <w:rsid w:val="00017DC9"/>
    <w:rsid w:val="00064002"/>
    <w:rsid w:val="000677B9"/>
    <w:rsid w:val="000831BA"/>
    <w:rsid w:val="00091CE3"/>
    <w:rsid w:val="000A42CC"/>
    <w:rsid w:val="000E7DD9"/>
    <w:rsid w:val="0010095E"/>
    <w:rsid w:val="00125B37"/>
    <w:rsid w:val="00187494"/>
    <w:rsid w:val="001E176C"/>
    <w:rsid w:val="001F32AE"/>
    <w:rsid w:val="001F65B5"/>
    <w:rsid w:val="002767FF"/>
    <w:rsid w:val="002B18FE"/>
    <w:rsid w:val="002B5493"/>
    <w:rsid w:val="00343214"/>
    <w:rsid w:val="00361C00"/>
    <w:rsid w:val="00395FA1"/>
    <w:rsid w:val="003D5DDE"/>
    <w:rsid w:val="003E15D4"/>
    <w:rsid w:val="00411CCE"/>
    <w:rsid w:val="0041666E"/>
    <w:rsid w:val="00421060"/>
    <w:rsid w:val="00465C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CF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CEE"/>
    <w:rsid w:val="008C2AC6"/>
    <w:rsid w:val="00930C23"/>
    <w:rsid w:val="0093193B"/>
    <w:rsid w:val="009415B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03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10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E205B"/>
  <w15:chartTrackingRefBased/>
  <w15:docId w15:val="{5F313C7C-C5D8-473A-A4F8-A9A5D202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65B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65B5"/>
    <w:pPr>
      <w:spacing w:before="480" w:after="240"/>
    </w:pPr>
  </w:style>
  <w:style w:type="paragraph" w:customStyle="1" w:styleId="PageHeading">
    <w:name w:val="PageHeading"/>
    <w:basedOn w:val="Normal"/>
    <w:rsid w:val="001F65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65B5"/>
    <w:rPr>
      <w:b/>
    </w:rPr>
  </w:style>
  <w:style w:type="paragraph" w:customStyle="1" w:styleId="NormalHanging12a">
    <w:name w:val="NormalHanging12a"/>
    <w:basedOn w:val="Normal"/>
    <w:link w:val="NormalHanging12aChar"/>
    <w:rsid w:val="001F65B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F65B5"/>
    <w:pPr>
      <w:spacing w:after="240"/>
      <w:jc w:val="center"/>
    </w:pPr>
  </w:style>
  <w:style w:type="paragraph" w:styleId="Header">
    <w:name w:val="header"/>
    <w:basedOn w:val="Normal"/>
    <w:link w:val="HeaderChar"/>
    <w:rsid w:val="001F6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65B5"/>
    <w:rPr>
      <w:sz w:val="24"/>
      <w:lang w:val="cs-CZ"/>
    </w:rPr>
  </w:style>
  <w:style w:type="paragraph" w:customStyle="1" w:styleId="EPFooter">
    <w:name w:val="EPFooter"/>
    <w:basedOn w:val="Normal"/>
    <w:rsid w:val="001F65B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1F65B5"/>
    <w:rPr>
      <w:sz w:val="24"/>
      <w:lang w:val="cs-CZ"/>
    </w:rPr>
  </w:style>
  <w:style w:type="paragraph" w:customStyle="1" w:styleId="Normal12Hanging">
    <w:name w:val="Normal12Hanging"/>
    <w:basedOn w:val="Normal"/>
    <w:rsid w:val="001F65B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CC60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C6030"/>
    <w:rPr>
      <w:sz w:val="24"/>
      <w:lang w:val="cs-CZ"/>
    </w:rPr>
  </w:style>
  <w:style w:type="paragraph" w:styleId="BalloonText">
    <w:name w:val="Balloon Text"/>
    <w:basedOn w:val="Normal"/>
    <w:link w:val="BalloonTextChar"/>
    <w:rsid w:val="009415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15B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39469-7C38-48CE-91FE-80D817FF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3552</Words>
  <Characters>20250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2024-04-11T11:17:00Z</dcterms:created>
  <dcterms:modified xsi:type="dcterms:W3CDTF">2024-04-11T11:17:00Z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A9-0104/2024</vt:lpwstr>
  </property>
  <property fmtid="{D5CDD505-2E9C-101B-9397-08002B2CF9AE}" pid="4" name="&lt;Type&gt;">
    <vt:lpwstr>RR</vt:lpwstr>
  </property>
</Properties>
</file>