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06D1" w14:paraId="7388F6DE" w14:textId="77777777" w:rsidTr="0010095E">
        <w:trPr>
          <w:trHeight w:hRule="exact" w:val="1418"/>
        </w:trPr>
        <w:tc>
          <w:tcPr>
            <w:tcW w:w="6804" w:type="dxa"/>
            <w:shd w:val="clear" w:color="auto" w:fill="auto"/>
            <w:vAlign w:val="center"/>
          </w:tcPr>
          <w:p w14:paraId="3A86B6BA" w14:textId="77777777" w:rsidR="00751A4A" w:rsidRPr="008106D1" w:rsidRDefault="00CB3313" w:rsidP="0010095E">
            <w:pPr>
              <w:pStyle w:val="EPName"/>
            </w:pPr>
            <w:r w:rsidRPr="008106D1">
              <w:t>Europa-Parlamentet</w:t>
            </w:r>
          </w:p>
          <w:p w14:paraId="5D1CC487" w14:textId="77777777" w:rsidR="00751A4A" w:rsidRPr="008106D1" w:rsidRDefault="00817416" w:rsidP="00756632">
            <w:pPr>
              <w:pStyle w:val="EPTerm"/>
              <w:rPr>
                <w:rStyle w:val="HideTWBExt"/>
                <w:noProof w:val="0"/>
                <w:vanish w:val="0"/>
                <w:color w:val="auto"/>
              </w:rPr>
            </w:pPr>
            <w:r w:rsidRPr="008106D1">
              <w:t>2019-2024</w:t>
            </w:r>
          </w:p>
        </w:tc>
        <w:tc>
          <w:tcPr>
            <w:tcW w:w="2268" w:type="dxa"/>
            <w:shd w:val="clear" w:color="auto" w:fill="auto"/>
          </w:tcPr>
          <w:p w14:paraId="33AC4968" w14:textId="77777777" w:rsidR="00751A4A" w:rsidRPr="008106D1" w:rsidRDefault="00187494" w:rsidP="0010095E">
            <w:pPr>
              <w:pStyle w:val="EPLogo"/>
            </w:pPr>
            <w:r w:rsidRPr="008106D1">
              <w:rPr>
                <w:noProof/>
                <w:lang w:eastAsia="da-DK"/>
              </w:rPr>
              <w:drawing>
                <wp:inline distT="0" distB="0" distL="0" distR="0" wp14:anchorId="3C883DDB" wp14:editId="51B9DC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73858D" w14:textId="77777777" w:rsidR="00D058B8" w:rsidRPr="008106D1" w:rsidRDefault="00D058B8" w:rsidP="004C5D52">
      <w:pPr>
        <w:pStyle w:val="LineTop"/>
      </w:pPr>
    </w:p>
    <w:p w14:paraId="32D7696F" w14:textId="77777777" w:rsidR="00680577" w:rsidRPr="008106D1" w:rsidRDefault="00CB3313" w:rsidP="00680577">
      <w:pPr>
        <w:pStyle w:val="EPBodyTA1"/>
      </w:pPr>
      <w:r w:rsidRPr="008106D1">
        <w:t>VEDTAGNE TEKSTER</w:t>
      </w:r>
    </w:p>
    <w:p w14:paraId="0CF4A0CB" w14:textId="77777777" w:rsidR="00D058B8" w:rsidRPr="008106D1" w:rsidRDefault="00D058B8" w:rsidP="00D058B8">
      <w:pPr>
        <w:pStyle w:val="LineBottom"/>
      </w:pPr>
    </w:p>
    <w:p w14:paraId="1FC93A94" w14:textId="01B20B2B" w:rsidR="00CB3313" w:rsidRPr="008106D1" w:rsidRDefault="00CB3313" w:rsidP="00CB3313">
      <w:pPr>
        <w:pStyle w:val="ATHeading1"/>
      </w:pPr>
      <w:bookmarkStart w:id="0" w:name="TANumber"/>
      <w:r w:rsidRPr="008106D1">
        <w:t>P9_TA(2024)0</w:t>
      </w:r>
      <w:bookmarkEnd w:id="0"/>
      <w:r w:rsidR="00EB71A6">
        <w:t>241</w:t>
      </w:r>
    </w:p>
    <w:p w14:paraId="05D90767" w14:textId="77777777" w:rsidR="00CB3313" w:rsidRPr="008106D1" w:rsidRDefault="00BD636A" w:rsidP="00CB3313">
      <w:pPr>
        <w:pStyle w:val="ATHeading2"/>
      </w:pPr>
      <w:r w:rsidRPr="00BD636A">
        <w:t>Decharge 2022: Det Europæiske Overvågningscenter for Narkotika og Narkotikamisbrug</w:t>
      </w:r>
    </w:p>
    <w:p w14:paraId="71FDA067" w14:textId="77777777" w:rsidR="00CB3313" w:rsidRPr="008106D1" w:rsidRDefault="00CB3313" w:rsidP="00CB3313">
      <w:pPr>
        <w:rPr>
          <w:i/>
          <w:vanish/>
        </w:rPr>
      </w:pPr>
      <w:r w:rsidRPr="008106D1">
        <w:rPr>
          <w:i/>
        </w:rPr>
        <w:fldChar w:fldCharType="begin"/>
      </w:r>
      <w:r w:rsidRPr="008106D1">
        <w:rPr>
          <w:i/>
        </w:rPr>
        <w:instrText xml:space="preserve"> TC"(</w:instrText>
      </w:r>
      <w:bookmarkStart w:id="1" w:name="DocNumber"/>
      <w:r w:rsidRPr="008106D1">
        <w:rPr>
          <w:i/>
        </w:rPr>
        <w:instrText>A9-0104/2024</w:instrText>
      </w:r>
      <w:bookmarkEnd w:id="1"/>
      <w:r w:rsidRPr="008106D1">
        <w:rPr>
          <w:i/>
        </w:rPr>
        <w:instrText xml:space="preserve"> - Ordfører: Petri Sarvamaa)"\l3 \n&gt; \* MERGEFORMAT </w:instrText>
      </w:r>
      <w:r w:rsidRPr="008106D1">
        <w:rPr>
          <w:i/>
        </w:rPr>
        <w:fldChar w:fldCharType="end"/>
      </w:r>
    </w:p>
    <w:p w14:paraId="29FF9325" w14:textId="77777777" w:rsidR="00CB3313" w:rsidRPr="008106D1" w:rsidRDefault="00CB3313" w:rsidP="00CB3313">
      <w:pPr>
        <w:rPr>
          <w:vanish/>
        </w:rPr>
      </w:pPr>
      <w:bookmarkStart w:id="2" w:name="Commission"/>
      <w:r w:rsidRPr="008106D1">
        <w:rPr>
          <w:vanish/>
        </w:rPr>
        <w:t>Budgetkontroludvalget</w:t>
      </w:r>
      <w:bookmarkEnd w:id="2"/>
    </w:p>
    <w:p w14:paraId="4CBCB281" w14:textId="77777777" w:rsidR="00CB3313" w:rsidRPr="008106D1" w:rsidRDefault="00CB3313" w:rsidP="00CB3313">
      <w:pPr>
        <w:rPr>
          <w:vanish/>
        </w:rPr>
      </w:pPr>
      <w:bookmarkStart w:id="3" w:name="PE"/>
      <w:r w:rsidRPr="008106D1">
        <w:rPr>
          <w:vanish/>
        </w:rPr>
        <w:t>PE753.525</w:t>
      </w:r>
      <w:bookmarkEnd w:id="3"/>
    </w:p>
    <w:p w14:paraId="7E18E450" w14:textId="77777777" w:rsidR="00CB3313" w:rsidRPr="008106D1" w:rsidRDefault="008D705F" w:rsidP="00CB3313">
      <w:pPr>
        <w:pStyle w:val="ATHeading3"/>
      </w:pPr>
      <w:bookmarkStart w:id="4" w:name="Sujet"/>
      <w:r>
        <w:t xml:space="preserve">1. </w:t>
      </w:r>
      <w:r w:rsidRPr="009574E6">
        <w:t xml:space="preserve">Europa-Parlamentets </w:t>
      </w:r>
      <w:r>
        <w:t xml:space="preserve">afgørelse af 11. april 2024 </w:t>
      </w:r>
      <w:r w:rsidRPr="009574E6">
        <w:t>om decharge</w:t>
      </w:r>
      <w:r w:rsidR="00CB3313" w:rsidRPr="008106D1">
        <w:t xml:space="preserve"> for gennemførelsen af budgettet for Det Europæiske Overvågningscenter for Narkotika og Narkotikamisbrug for regnskabsåret 2022</w:t>
      </w:r>
      <w:bookmarkEnd w:id="4"/>
      <w:r w:rsidR="00CB3313" w:rsidRPr="008106D1">
        <w:t xml:space="preserve"> </w:t>
      </w:r>
      <w:bookmarkStart w:id="5" w:name="References"/>
      <w:r w:rsidR="00CB3313" w:rsidRPr="008106D1">
        <w:t>(2023/2157(DEC))</w:t>
      </w:r>
      <w:bookmarkEnd w:id="5"/>
    </w:p>
    <w:p w14:paraId="1BFBCF05" w14:textId="77777777" w:rsidR="00B70F66" w:rsidRPr="008106D1" w:rsidRDefault="00B70F66" w:rsidP="00B70F66">
      <w:pPr>
        <w:pStyle w:val="EPComma"/>
      </w:pPr>
      <w:bookmarkStart w:id="6" w:name="TextBodyBegin"/>
      <w:bookmarkEnd w:id="6"/>
      <w:r w:rsidRPr="008106D1">
        <w:rPr>
          <w:i/>
        </w:rPr>
        <w:t>Europa-Parlamentet</w:t>
      </w:r>
      <w:r w:rsidRPr="008106D1">
        <w:t>,</w:t>
      </w:r>
    </w:p>
    <w:p w14:paraId="2641B355" w14:textId="77777777" w:rsidR="00B70F66" w:rsidRPr="008106D1" w:rsidRDefault="00B70F66" w:rsidP="00B70F66">
      <w:pPr>
        <w:pStyle w:val="NormalHanging12a"/>
      </w:pPr>
      <w:r w:rsidRPr="008106D1">
        <w:t>–</w:t>
      </w:r>
      <w:r w:rsidRPr="008106D1">
        <w:tab/>
        <w:t>der henviser til det endelige årsregnskab for Det Europæiske Overvågningscenter for Narkotika og Narkotikamisbrug for regnskabsåret 2022,</w:t>
      </w:r>
    </w:p>
    <w:p w14:paraId="4189866A" w14:textId="77777777" w:rsidR="00B70F66" w:rsidRPr="008106D1" w:rsidRDefault="00B70F66" w:rsidP="00B70F66">
      <w:pPr>
        <w:pStyle w:val="NormalHanging12a"/>
      </w:pPr>
      <w:r w:rsidRPr="008106D1">
        <w:t>–</w:t>
      </w:r>
      <w:r w:rsidRPr="008106D1">
        <w:tab/>
        <w:t>der henviser til Revisionsrettens årsberetning om EU-agenturerne for regnskabsåret 2022, med agenturernes svar</w:t>
      </w:r>
      <w:r w:rsidRPr="008106D1">
        <w:rPr>
          <w:rStyle w:val="FootnoteReference"/>
        </w:rPr>
        <w:footnoteReference w:id="1"/>
      </w:r>
      <w:r w:rsidRPr="008106D1">
        <w:t>,</w:t>
      </w:r>
    </w:p>
    <w:p w14:paraId="53F675BC" w14:textId="77777777" w:rsidR="00B70F66" w:rsidRPr="008106D1" w:rsidRDefault="00B70F66" w:rsidP="00B70F66">
      <w:pPr>
        <w:pStyle w:val="NormalHanging12a"/>
      </w:pPr>
      <w:r w:rsidRPr="008106D1">
        <w:t>–</w:t>
      </w:r>
      <w:r w:rsidRPr="008106D1">
        <w:tab/>
        <w:t>der henviser til Revisionsrettens erklæring for regnskabsåret 2022 om regnskabernes rigtighed</w:t>
      </w:r>
      <w:r w:rsidRPr="008106D1">
        <w:rPr>
          <w:rStyle w:val="FootnoteReference"/>
        </w:rPr>
        <w:footnoteReference w:id="2"/>
      </w:r>
      <w:r w:rsidRPr="008106D1">
        <w:t xml:space="preserve"> og de underliggende transaktioners lovlighed og formelle rigtighed, jf. artikel 287 i traktaten om Den Europæiske Unions funktionsmåde,</w:t>
      </w:r>
    </w:p>
    <w:p w14:paraId="310F9659" w14:textId="2E064965" w:rsidR="00B70F66" w:rsidRPr="008106D1" w:rsidRDefault="00B70F66" w:rsidP="00B70F66">
      <w:pPr>
        <w:pStyle w:val="NormalHanging12a"/>
      </w:pPr>
      <w:r w:rsidRPr="008106D1">
        <w:t>–</w:t>
      </w:r>
      <w:r w:rsidRPr="008106D1">
        <w:tab/>
        <w:t>der henviser til Rådets henstilling af 22. februar 2024 om decharge til centret for gennemførelsen af budgettet for regnskabsåret 2022 (</w:t>
      </w:r>
      <w:r w:rsidR="001B2368" w:rsidRPr="00385E20">
        <w:t>06180</w:t>
      </w:r>
      <w:r w:rsidRPr="008106D1">
        <w:t>/2024 – C9</w:t>
      </w:r>
      <w:r w:rsidRPr="008106D1">
        <w:noBreakHyphen/>
        <w:t>00</w:t>
      </w:r>
      <w:r w:rsidR="001B2368">
        <w:t>95</w:t>
      </w:r>
      <w:r w:rsidRPr="008106D1">
        <w:t>/2024),</w:t>
      </w:r>
    </w:p>
    <w:p w14:paraId="3E07A122" w14:textId="77777777" w:rsidR="00B70F66" w:rsidRPr="008106D1" w:rsidRDefault="00B70F66" w:rsidP="00B70F66">
      <w:pPr>
        <w:pStyle w:val="NormalHanging12a"/>
      </w:pPr>
      <w:r w:rsidRPr="008106D1">
        <w:t>–</w:t>
      </w:r>
      <w:r w:rsidRPr="008106D1">
        <w:tab/>
        <w:t>der henviser til artikel 319 i traktaten om Den Europæiske Unions funktionsmåde,</w:t>
      </w:r>
    </w:p>
    <w:p w14:paraId="45BD7629" w14:textId="77777777" w:rsidR="00B70F66" w:rsidRPr="008106D1" w:rsidRDefault="00B70F66" w:rsidP="00B70F66">
      <w:pPr>
        <w:pStyle w:val="NormalHanging12a"/>
      </w:pPr>
      <w:r w:rsidRPr="008106D1">
        <w:t>–</w:t>
      </w:r>
      <w:r w:rsidRPr="008106D1">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8106D1">
        <w:rPr>
          <w:rStyle w:val="FootnoteReference"/>
        </w:rPr>
        <w:footnoteReference w:id="3"/>
      </w:r>
      <w:r w:rsidRPr="008106D1">
        <w:t>, særlig artikel 70,</w:t>
      </w:r>
    </w:p>
    <w:p w14:paraId="106AD073" w14:textId="77777777" w:rsidR="00B70F66" w:rsidRPr="008106D1" w:rsidRDefault="00B70F66" w:rsidP="00B70F66">
      <w:pPr>
        <w:pStyle w:val="NormalHanging12a"/>
      </w:pPr>
      <w:r w:rsidRPr="008106D1">
        <w:t>–</w:t>
      </w:r>
      <w:r w:rsidRPr="008106D1">
        <w:tab/>
        <w:t xml:space="preserve">der henviser til Europa-Parlamentets og Rådets forordning (EF) nr. 1920/2006 af </w:t>
      </w:r>
      <w:r w:rsidRPr="008106D1">
        <w:lastRenderedPageBreak/>
        <w:t>12. december 2006 vedrørende Det Europæiske Overvågningscenter for Narkotika og Narkotikamisbrug</w:t>
      </w:r>
      <w:r w:rsidRPr="008106D1">
        <w:rPr>
          <w:rStyle w:val="FootnoteReference"/>
        </w:rPr>
        <w:footnoteReference w:id="4"/>
      </w:r>
      <w:r w:rsidRPr="008106D1">
        <w:t>, særlig artikel 15,</w:t>
      </w:r>
    </w:p>
    <w:p w14:paraId="6CCB7F2D" w14:textId="77777777" w:rsidR="00B70F66" w:rsidRPr="008106D1" w:rsidRDefault="00B70F66" w:rsidP="00B70F66">
      <w:pPr>
        <w:pStyle w:val="NormalHanging12a"/>
      </w:pPr>
      <w:r w:rsidRPr="008106D1">
        <w:t>–</w:t>
      </w:r>
      <w:r w:rsidRPr="008106D1">
        <w:tab/>
        <w:t>der henviser til Europa-Parlamentets og Rådets forordning (EU) 2023/1322 af 27. juni 2023 om Den Europæiske Unions Narkotikaagentur (EUDA) og om ophævelse af forordning (EF) nr. 1920/2006</w:t>
      </w:r>
      <w:r w:rsidRPr="008106D1">
        <w:rPr>
          <w:rStyle w:val="FootnoteReference"/>
        </w:rPr>
        <w:footnoteReference w:id="5"/>
      </w:r>
      <w:r w:rsidRPr="008106D1">
        <w:t>, særlig artikel 41,</w:t>
      </w:r>
    </w:p>
    <w:p w14:paraId="55DAD26A" w14:textId="77777777" w:rsidR="00B70F66" w:rsidRPr="008106D1" w:rsidRDefault="00B70F66" w:rsidP="00B70F66">
      <w:pPr>
        <w:pStyle w:val="NormalHanging12a"/>
      </w:pPr>
      <w:r w:rsidRPr="008106D1">
        <w:t>–</w:t>
      </w:r>
      <w:r w:rsidRPr="008106D1">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8106D1">
        <w:rPr>
          <w:rStyle w:val="FootnoteReference"/>
        </w:rPr>
        <w:footnoteReference w:id="6"/>
      </w:r>
      <w:r w:rsidRPr="008106D1">
        <w:t>, særlig artikel 105,</w:t>
      </w:r>
    </w:p>
    <w:p w14:paraId="46C70A18" w14:textId="77777777" w:rsidR="00B70F66" w:rsidRPr="008106D1" w:rsidRDefault="00B70F66" w:rsidP="00B70F66">
      <w:pPr>
        <w:pStyle w:val="NormalHanging12a"/>
      </w:pPr>
      <w:r w:rsidRPr="008106D1">
        <w:t>–</w:t>
      </w:r>
      <w:r w:rsidRPr="008106D1">
        <w:tab/>
        <w:t>der henviser til forretningsordenens artikel 100 og bilag V,</w:t>
      </w:r>
    </w:p>
    <w:p w14:paraId="5CDB0F89" w14:textId="77777777" w:rsidR="00B70F66" w:rsidRPr="008106D1" w:rsidRDefault="00B70F66" w:rsidP="00B70F66">
      <w:pPr>
        <w:pStyle w:val="NormalHanging12a"/>
      </w:pPr>
      <w:r w:rsidRPr="008106D1">
        <w:t>–</w:t>
      </w:r>
      <w:r w:rsidRPr="008106D1">
        <w:tab/>
        <w:t>der henviser til udtalelse fra Udvalget om Borgernes Rettigheder og Retlige og Indre Anliggender,</w:t>
      </w:r>
    </w:p>
    <w:p w14:paraId="5AEFEC49" w14:textId="77777777" w:rsidR="00B70F66" w:rsidRPr="008106D1" w:rsidRDefault="00B70F66" w:rsidP="00B70F66">
      <w:pPr>
        <w:pStyle w:val="NormalHanging12a"/>
      </w:pPr>
      <w:r w:rsidRPr="008106D1">
        <w:t>–</w:t>
      </w:r>
      <w:r w:rsidRPr="008106D1">
        <w:tab/>
        <w:t>der henviser til betænkning fra Budgetkontroludvalget (A9-0104/2024),</w:t>
      </w:r>
    </w:p>
    <w:p w14:paraId="41488D7A" w14:textId="77777777" w:rsidR="00B70F66" w:rsidRPr="008106D1" w:rsidRDefault="00B70F66" w:rsidP="00B70F66">
      <w:pPr>
        <w:pStyle w:val="NormalHanging12a"/>
      </w:pPr>
      <w:r w:rsidRPr="008106D1">
        <w:t>1.</w:t>
      </w:r>
      <w:r w:rsidRPr="008106D1">
        <w:tab/>
        <w:t>meddeler direktøren for Det Europæiske Overvågningscenter for Narkotika og Narkotikamisbrug decharge for gennemførelsen af centrets budget for regnskabsåret 2022;</w:t>
      </w:r>
    </w:p>
    <w:p w14:paraId="17685CD0" w14:textId="77777777" w:rsidR="00B70F66" w:rsidRPr="008106D1" w:rsidRDefault="00B70F66" w:rsidP="00B70F66">
      <w:pPr>
        <w:pStyle w:val="NormalHanging12a"/>
      </w:pPr>
      <w:r w:rsidRPr="008106D1">
        <w:t>2.</w:t>
      </w:r>
      <w:r w:rsidRPr="008106D1">
        <w:tab/>
        <w:t>fremsætter sine bemærkninger i nedenstående beslutning;</w:t>
      </w:r>
    </w:p>
    <w:p w14:paraId="19BD42B9" w14:textId="77777777" w:rsidR="00B70F66" w:rsidRPr="008106D1" w:rsidRDefault="00B70F66" w:rsidP="00B70F66">
      <w:pPr>
        <w:pStyle w:val="NormalHanging12a"/>
      </w:pPr>
      <w:r w:rsidRPr="008106D1">
        <w:t>3.</w:t>
      </w:r>
      <w:r w:rsidRPr="008106D1">
        <w:tab/>
        <w:t xml:space="preserve">pålægger sin formand at sende denne afgørelse og beslutningen, der er en integrerende del heraf, til direktøren for Det Europæiske Overvågningscenter for Narkotika og Narkotikamisbrug, Rådet, Kommissionen og Revisionsretten og drage omsorg for, at de offentliggøres i </w:t>
      </w:r>
      <w:r w:rsidRPr="008106D1">
        <w:rPr>
          <w:i/>
          <w:iCs/>
        </w:rPr>
        <w:t>Den Europæiske Unions Tidende</w:t>
      </w:r>
      <w:r w:rsidRPr="008106D1">
        <w:t xml:space="preserve"> (L-udgaven).</w:t>
      </w:r>
    </w:p>
    <w:p w14:paraId="0CB57EAA" w14:textId="77777777" w:rsidR="00B70F66" w:rsidRPr="008106D1" w:rsidRDefault="00B70F66" w:rsidP="00B70F66"/>
    <w:p w14:paraId="29C8EFDD" w14:textId="77777777" w:rsidR="00B70F66" w:rsidRPr="008106D1" w:rsidRDefault="00B70F66" w:rsidP="00B70F66">
      <w:pPr>
        <w:widowControl/>
        <w:rPr>
          <w:rFonts w:ascii="Arial" w:hAnsi="Arial" w:cs="Arial"/>
          <w:b/>
        </w:rPr>
        <w:sectPr w:rsidR="00B70F66" w:rsidRPr="008106D1" w:rsidSect="008106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1CA6BC4A" w14:textId="77777777" w:rsidR="008D705F" w:rsidRPr="009574E6" w:rsidRDefault="008D705F" w:rsidP="008D705F">
      <w:pPr>
        <w:pStyle w:val="ATHeading3"/>
      </w:pPr>
      <w:r>
        <w:lastRenderedPageBreak/>
        <w:t xml:space="preserve">2. </w:t>
      </w:r>
      <w:r w:rsidRPr="009574E6">
        <w:t xml:space="preserve">Europa-Parlamentets afgørelse af </w:t>
      </w:r>
      <w:r>
        <w:t>11. april 2024</w:t>
      </w:r>
      <w:r w:rsidRPr="009574E6">
        <w:t xml:space="preserve"> </w:t>
      </w:r>
      <w:r w:rsidRPr="008106D1">
        <w:t>om afslutning af regnskaberne for Det Europæiske Overvågningscenter for Narkotika og Narkotikamisbrug for regnskabsåret 2022</w:t>
      </w:r>
      <w:r>
        <w:t xml:space="preserve"> </w:t>
      </w:r>
      <w:r w:rsidRPr="008106D1">
        <w:t>(2023/2157(DEC))</w:t>
      </w:r>
    </w:p>
    <w:p w14:paraId="439235E7" w14:textId="77777777" w:rsidR="00B70F66" w:rsidRPr="008106D1" w:rsidRDefault="00B70F66" w:rsidP="00B70F66">
      <w:pPr>
        <w:pStyle w:val="EPComma"/>
      </w:pPr>
      <w:r w:rsidRPr="008106D1">
        <w:rPr>
          <w:i/>
          <w:iCs/>
        </w:rPr>
        <w:t>Europa-Parlamentet,</w:t>
      </w:r>
    </w:p>
    <w:p w14:paraId="5B2AC2A5" w14:textId="77777777" w:rsidR="00B70F66" w:rsidRPr="008106D1" w:rsidRDefault="00B70F66" w:rsidP="00B70F66">
      <w:pPr>
        <w:pStyle w:val="NormalHanging12a"/>
      </w:pPr>
      <w:r w:rsidRPr="008106D1">
        <w:t>–</w:t>
      </w:r>
      <w:r w:rsidRPr="008106D1">
        <w:tab/>
        <w:t>der henviser til det endelige årsregnskab for Det Europæiske Overvågningscenter for Narkotika og Narkotikamisbrug for regnskabsåret 2022,</w:t>
      </w:r>
    </w:p>
    <w:p w14:paraId="127A2B15" w14:textId="77777777" w:rsidR="00B70F66" w:rsidRPr="008106D1" w:rsidRDefault="00B70F66" w:rsidP="00B70F66">
      <w:pPr>
        <w:pStyle w:val="NormalHanging12a"/>
      </w:pPr>
      <w:r w:rsidRPr="008106D1">
        <w:t>–</w:t>
      </w:r>
      <w:r w:rsidRPr="008106D1">
        <w:tab/>
        <w:t>der henviser til Revisionsrettens årsberetning om EU-agenturerne for regnskabsåret 2022, med agenturernes svar</w:t>
      </w:r>
      <w:r w:rsidRPr="008106D1">
        <w:rPr>
          <w:rStyle w:val="FootnoteReference"/>
        </w:rPr>
        <w:footnoteReference w:id="7"/>
      </w:r>
      <w:r w:rsidRPr="008106D1">
        <w:t>,</w:t>
      </w:r>
    </w:p>
    <w:p w14:paraId="73D370C2" w14:textId="77777777" w:rsidR="00B70F66" w:rsidRPr="008106D1" w:rsidRDefault="00B70F66" w:rsidP="00B70F66">
      <w:pPr>
        <w:pStyle w:val="NormalHanging12a"/>
      </w:pPr>
      <w:r w:rsidRPr="008106D1">
        <w:t>–</w:t>
      </w:r>
      <w:r w:rsidRPr="008106D1">
        <w:tab/>
        <w:t>der henviser til Revisionsrettens erklæring for regnskabsåret 2022 om regnskabernes rigtighed</w:t>
      </w:r>
      <w:r w:rsidRPr="008106D1">
        <w:rPr>
          <w:rStyle w:val="FootnoteReference"/>
        </w:rPr>
        <w:footnoteReference w:id="8"/>
      </w:r>
      <w:r w:rsidRPr="008106D1">
        <w:t xml:space="preserve"> og de underliggende transaktioners lovlighed og formelle rigtighed, jf. artikel 287 i traktaten om Den Europæiske Unions funktionsmåde,</w:t>
      </w:r>
    </w:p>
    <w:p w14:paraId="1199C228" w14:textId="56FE78CE" w:rsidR="00B70F66" w:rsidRPr="008106D1" w:rsidRDefault="00B70F66" w:rsidP="00B70F66">
      <w:pPr>
        <w:pStyle w:val="NormalHanging12a"/>
      </w:pPr>
      <w:r w:rsidRPr="008106D1">
        <w:t>–</w:t>
      </w:r>
      <w:r w:rsidRPr="008106D1">
        <w:tab/>
        <w:t>der henviser til Rådets henstilling af 22. februar 2024 om decharge til centret for gennemførelsen af budgettet for regnskabsåret 2022 (</w:t>
      </w:r>
      <w:r w:rsidR="001B2368" w:rsidRPr="00385E20">
        <w:t>06180</w:t>
      </w:r>
      <w:r w:rsidRPr="008106D1">
        <w:t>/2024 – C9</w:t>
      </w:r>
      <w:r w:rsidRPr="008106D1">
        <w:noBreakHyphen/>
        <w:t>00</w:t>
      </w:r>
      <w:r w:rsidR="001B2368">
        <w:t>95</w:t>
      </w:r>
      <w:r w:rsidRPr="008106D1">
        <w:t>/2024),</w:t>
      </w:r>
    </w:p>
    <w:p w14:paraId="52BA3FCA" w14:textId="77777777" w:rsidR="00B70F66" w:rsidRPr="008106D1" w:rsidRDefault="00B70F66" w:rsidP="00B70F66">
      <w:pPr>
        <w:pStyle w:val="NormalHanging12a"/>
      </w:pPr>
      <w:r w:rsidRPr="008106D1">
        <w:t>–</w:t>
      </w:r>
      <w:r w:rsidRPr="008106D1">
        <w:tab/>
        <w:t>der henviser til artikel 319 i traktaten om Den Europæiske Unions funktionsmåde,</w:t>
      </w:r>
    </w:p>
    <w:p w14:paraId="4E2DF841" w14:textId="77777777" w:rsidR="00B70F66" w:rsidRPr="008106D1" w:rsidRDefault="00B70F66" w:rsidP="00B70F66">
      <w:pPr>
        <w:pStyle w:val="NormalHanging12a"/>
      </w:pPr>
      <w:r w:rsidRPr="008106D1">
        <w:t>–</w:t>
      </w:r>
      <w:r w:rsidRPr="008106D1">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8106D1">
        <w:rPr>
          <w:rStyle w:val="FootnoteReference"/>
        </w:rPr>
        <w:footnoteReference w:id="9"/>
      </w:r>
      <w:r w:rsidRPr="008106D1">
        <w:t>, særlig artikel 70,</w:t>
      </w:r>
    </w:p>
    <w:p w14:paraId="5499C794" w14:textId="77777777" w:rsidR="00B70F66" w:rsidRPr="008106D1" w:rsidRDefault="00B70F66" w:rsidP="00B70F66">
      <w:pPr>
        <w:pStyle w:val="NormalHanging12a"/>
      </w:pPr>
      <w:r w:rsidRPr="008106D1">
        <w:t>–</w:t>
      </w:r>
      <w:r w:rsidRPr="008106D1">
        <w:tab/>
        <w:t>der henviser til Europa-Parlamentets og Rådets forordning (EF) nr. 1920/2006 af 12. december 2006 vedrørende Det Europæiske Overvågningscenter for Narkotika og Narkotikamisbrug</w:t>
      </w:r>
      <w:r w:rsidRPr="008106D1">
        <w:rPr>
          <w:rStyle w:val="FootnoteReference"/>
        </w:rPr>
        <w:footnoteReference w:id="10"/>
      </w:r>
      <w:r w:rsidRPr="008106D1">
        <w:t>, særlig artikel 15,</w:t>
      </w:r>
    </w:p>
    <w:p w14:paraId="2A8A5D2C" w14:textId="77777777" w:rsidR="00B70F66" w:rsidRPr="008106D1" w:rsidRDefault="00B70F66" w:rsidP="00B70F66">
      <w:pPr>
        <w:pStyle w:val="NormalHanging12a"/>
      </w:pPr>
      <w:r w:rsidRPr="008106D1">
        <w:t>–</w:t>
      </w:r>
      <w:r w:rsidRPr="008106D1">
        <w:tab/>
        <w:t>der henviser til Europa-Parlamentets og Rådets forordning (EU) 2023/1322 af 27. juni 2023 om Den Europæiske Unions Narkotikaagentur (EUDA) og om ophævelse af forordning (EF) nr. 1920/2006</w:t>
      </w:r>
      <w:r w:rsidRPr="008106D1">
        <w:rPr>
          <w:rStyle w:val="FootnoteReference"/>
        </w:rPr>
        <w:footnoteReference w:id="11"/>
      </w:r>
      <w:r w:rsidRPr="008106D1">
        <w:t>, særlig artikel 41,</w:t>
      </w:r>
    </w:p>
    <w:p w14:paraId="192523C0" w14:textId="77777777" w:rsidR="00B70F66" w:rsidRPr="008106D1" w:rsidRDefault="00B70F66" w:rsidP="00B70F66">
      <w:pPr>
        <w:pStyle w:val="NormalHanging12a"/>
      </w:pPr>
      <w:r w:rsidRPr="008106D1">
        <w:t>–</w:t>
      </w:r>
      <w:r w:rsidRPr="008106D1">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8106D1">
        <w:rPr>
          <w:rStyle w:val="FootnoteReference"/>
        </w:rPr>
        <w:footnoteReference w:id="12"/>
      </w:r>
      <w:r w:rsidRPr="008106D1">
        <w:t>, særlig artikel 105,</w:t>
      </w:r>
    </w:p>
    <w:p w14:paraId="40D92A28" w14:textId="77777777" w:rsidR="00B70F66" w:rsidRPr="008106D1" w:rsidRDefault="00B70F66" w:rsidP="00B70F66">
      <w:pPr>
        <w:pStyle w:val="NormalHanging12a"/>
      </w:pPr>
      <w:r w:rsidRPr="008106D1">
        <w:t>–</w:t>
      </w:r>
      <w:r w:rsidRPr="008106D1">
        <w:tab/>
        <w:t>der henviser til forretningsordenens artikel 100 og bilag V,</w:t>
      </w:r>
    </w:p>
    <w:p w14:paraId="66331D37" w14:textId="77777777" w:rsidR="00B70F66" w:rsidRPr="008106D1" w:rsidRDefault="00B70F66" w:rsidP="00B70F66">
      <w:pPr>
        <w:pStyle w:val="NormalHanging12a"/>
      </w:pPr>
      <w:r w:rsidRPr="008106D1">
        <w:t>–</w:t>
      </w:r>
      <w:r w:rsidRPr="008106D1">
        <w:tab/>
        <w:t xml:space="preserve">der henviser til udtalelse fra Udvalget om Borgernes Rettigheder og Retlige og Indre </w:t>
      </w:r>
      <w:r w:rsidRPr="008106D1">
        <w:lastRenderedPageBreak/>
        <w:t>Anliggender,</w:t>
      </w:r>
    </w:p>
    <w:p w14:paraId="51F4BB45" w14:textId="77777777" w:rsidR="00B70F66" w:rsidRPr="008106D1" w:rsidRDefault="00B70F66" w:rsidP="00B70F66">
      <w:pPr>
        <w:pStyle w:val="NormalHanging12a"/>
      </w:pPr>
      <w:r w:rsidRPr="008106D1">
        <w:t>–</w:t>
      </w:r>
      <w:r w:rsidRPr="008106D1">
        <w:tab/>
        <w:t>der henviser til betænkning fra Budgetkontroludvalget (A9-0104/2024),</w:t>
      </w:r>
    </w:p>
    <w:p w14:paraId="34C11C4F" w14:textId="77777777" w:rsidR="00B70F66" w:rsidRPr="008106D1" w:rsidRDefault="00B70F66" w:rsidP="00B70F66">
      <w:pPr>
        <w:pStyle w:val="NormalHanging12a"/>
      </w:pPr>
      <w:r w:rsidRPr="008106D1">
        <w:t>1.</w:t>
      </w:r>
      <w:r w:rsidRPr="008106D1">
        <w:tab/>
        <w:t>godkender afslutningen af regnskaberne for Det Europæiske Overvågningscenter for Narkotika og Narkotikamisbrug for regnskabsåret 2022;</w:t>
      </w:r>
    </w:p>
    <w:p w14:paraId="6F67DF28" w14:textId="77777777" w:rsidR="00B70F66" w:rsidRPr="008106D1" w:rsidRDefault="00B70F66" w:rsidP="00B70F66">
      <w:pPr>
        <w:pStyle w:val="NormalHanging12a"/>
      </w:pPr>
      <w:r w:rsidRPr="008106D1">
        <w:t>2.</w:t>
      </w:r>
      <w:r w:rsidRPr="008106D1">
        <w:tab/>
        <w:t xml:space="preserve">pålægger sin formand at sende denne afgørelse til direktøren for Det Europæiske Overvågningscenter for Narkotika og Narkotikamisbrug, Rådet, Kommissionen og Revisionsretten og drage omsorg for, at den offentliggøres i </w:t>
      </w:r>
      <w:r w:rsidRPr="008106D1">
        <w:rPr>
          <w:i/>
          <w:iCs/>
        </w:rPr>
        <w:t>Den Europæiske Unions Tidende</w:t>
      </w:r>
      <w:r w:rsidRPr="008106D1">
        <w:t xml:space="preserve"> (L-udgaven).</w:t>
      </w:r>
    </w:p>
    <w:p w14:paraId="7EE90746" w14:textId="77777777" w:rsidR="00B70F66" w:rsidRPr="008106D1" w:rsidRDefault="00B70F66" w:rsidP="00B70F66"/>
    <w:p w14:paraId="4CC91179" w14:textId="77777777" w:rsidR="00B70F66" w:rsidRPr="008106D1" w:rsidRDefault="00B70F66" w:rsidP="00B70F66">
      <w:pPr>
        <w:widowControl/>
        <w:rPr>
          <w:rFonts w:ascii="Arial" w:hAnsi="Arial" w:cs="Arial"/>
          <w:b/>
        </w:rPr>
        <w:sectPr w:rsidR="00B70F66" w:rsidRPr="008106D1" w:rsidSect="008106D1">
          <w:footnotePr>
            <w:numRestart w:val="eachPage"/>
          </w:footnotePr>
          <w:endnotePr>
            <w:numFmt w:val="decimal"/>
          </w:endnotePr>
          <w:pgSz w:w="11906" w:h="16838"/>
          <w:pgMar w:top="1134" w:right="1418" w:bottom="1418" w:left="1418" w:header="567" w:footer="567" w:gutter="0"/>
          <w:cols w:space="720"/>
          <w:docGrid w:linePitch="326"/>
        </w:sectPr>
      </w:pPr>
    </w:p>
    <w:p w14:paraId="58B03156" w14:textId="77777777" w:rsidR="008D705F" w:rsidRPr="009574E6" w:rsidRDefault="008D705F" w:rsidP="008D705F">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8106D1">
        <w:t>med bemærkningerne, der er en integrerende del af afgørelsen om decharge for gennemførelsen af budgettet for Det Europæiske Overvågningscenter for Narkotika og Narkotikamisbrug for regnskabsåret 2022</w:t>
      </w:r>
      <w:r>
        <w:t xml:space="preserve"> </w:t>
      </w:r>
      <w:r w:rsidRPr="008106D1">
        <w:t>(2023/2157(DEC))</w:t>
      </w:r>
    </w:p>
    <w:p w14:paraId="7A619D09" w14:textId="77777777" w:rsidR="00B70F66" w:rsidRPr="008106D1" w:rsidRDefault="00B70F66" w:rsidP="00B70F66">
      <w:pPr>
        <w:pStyle w:val="EPComma"/>
      </w:pPr>
      <w:r w:rsidRPr="008106D1">
        <w:rPr>
          <w:i/>
          <w:iCs/>
        </w:rPr>
        <w:t>Europa-Parlamentet,</w:t>
      </w:r>
    </w:p>
    <w:p w14:paraId="0DD25896" w14:textId="77777777" w:rsidR="00B70F66" w:rsidRPr="008106D1" w:rsidRDefault="00B70F66" w:rsidP="00B70F66">
      <w:pPr>
        <w:pStyle w:val="NormalHanging12a"/>
      </w:pPr>
      <w:r w:rsidRPr="008106D1">
        <w:t>–</w:t>
      </w:r>
      <w:r w:rsidRPr="008106D1">
        <w:tab/>
        <w:t>der henviser til sin afgørelse om decharge for gennemførelsen af budgettet for Det Europæiske Overvågningscenter for Narkotika og Narkotikamisbrug for regnskabsåret 2022,</w:t>
      </w:r>
    </w:p>
    <w:p w14:paraId="599D1EC6" w14:textId="77777777" w:rsidR="00B70F66" w:rsidRPr="008106D1" w:rsidRDefault="00B70F66" w:rsidP="00B70F66">
      <w:pPr>
        <w:pStyle w:val="NormalHanging12a"/>
      </w:pPr>
      <w:r w:rsidRPr="008106D1">
        <w:t>–</w:t>
      </w:r>
      <w:r w:rsidRPr="008106D1">
        <w:tab/>
        <w:t>der henviser til forretningsordenens artikel 100 og bilag V,</w:t>
      </w:r>
    </w:p>
    <w:p w14:paraId="7BB2792D" w14:textId="77777777" w:rsidR="00B70F66" w:rsidRPr="008106D1" w:rsidRDefault="00B70F66" w:rsidP="00B70F66">
      <w:pPr>
        <w:pStyle w:val="NormalHanging12a"/>
      </w:pPr>
      <w:r w:rsidRPr="008106D1">
        <w:t>–</w:t>
      </w:r>
      <w:r w:rsidRPr="008106D1">
        <w:tab/>
        <w:t>der henviser til udtalelse fra Udvalget om Borgernes Rettigheder og Retlige og Indre Anliggender,</w:t>
      </w:r>
    </w:p>
    <w:p w14:paraId="08DFBF18" w14:textId="77777777" w:rsidR="00B70F66" w:rsidRPr="008106D1" w:rsidRDefault="00B70F66" w:rsidP="00B70F66">
      <w:pPr>
        <w:pStyle w:val="NormalHanging12a"/>
      </w:pPr>
      <w:r w:rsidRPr="008106D1">
        <w:t>–</w:t>
      </w:r>
      <w:r w:rsidRPr="008106D1">
        <w:tab/>
        <w:t>der henviser til betænkning fra Budgetkontroludvalget (A9-0104/2024),</w:t>
      </w:r>
    </w:p>
    <w:p w14:paraId="0AB2A60F" w14:textId="77777777" w:rsidR="00B70F66" w:rsidRPr="008106D1" w:rsidRDefault="00B70F66" w:rsidP="00B70F66">
      <w:pPr>
        <w:pStyle w:val="Normal12Hanging"/>
        <w:rPr>
          <w:szCs w:val="24"/>
        </w:rPr>
      </w:pPr>
      <w:r w:rsidRPr="008106D1">
        <w:t>A.</w:t>
      </w:r>
      <w:r w:rsidRPr="008106D1">
        <w:tab/>
        <w:t>der henviser til, at det endelige budget for Det Europæiske Overvågningscenter for Narkotika og Narkotikamisbrug ("centret") for regnskabsåret 2022 ifølge dets oversigt over indtægter og udgifter</w:t>
      </w:r>
      <w:r w:rsidRPr="008106D1">
        <w:rPr>
          <w:rStyle w:val="FootnoteReference"/>
          <w:szCs w:val="24"/>
        </w:rPr>
        <w:footnoteReference w:id="13"/>
      </w:r>
      <w:r w:rsidRPr="008106D1">
        <w:t xml:space="preserve"> var på 18 893 136 EUR, hvilket svarer til et fald på 0,71 % sammenlignet med 2021; der henviser til, at centrets budget primært (94 %) stammer fra Unionens budget;</w:t>
      </w:r>
    </w:p>
    <w:p w14:paraId="0299329E" w14:textId="77777777" w:rsidR="00B70F66" w:rsidRPr="008106D1" w:rsidRDefault="00B70F66" w:rsidP="00B70F66">
      <w:pPr>
        <w:pStyle w:val="Normal12Hanging"/>
        <w:rPr>
          <w:szCs w:val="24"/>
        </w:rPr>
      </w:pPr>
      <w:r w:rsidRPr="008106D1">
        <w:t>B.</w:t>
      </w:r>
      <w:r w:rsidRPr="008106D1">
        <w:tab/>
        <w:t>der henviser til, at Revisionsretten i sin beretning om centrets årsregnskab for regnskabsåret 2022 ("Revisionsrettens beretning") fastslår, at den har fået rimelig sikkerhed for, at centrets årsregnskab er rigtigt, og at de underliggende transaktioner er lovlige og formelt rigtige;</w:t>
      </w:r>
    </w:p>
    <w:p w14:paraId="4A378E78" w14:textId="77777777" w:rsidR="00B70F66" w:rsidRPr="008106D1" w:rsidRDefault="00B70F66" w:rsidP="00B70F66">
      <w:pPr>
        <w:pStyle w:val="Normal12Hanging"/>
        <w:rPr>
          <w:b/>
          <w:i/>
          <w:szCs w:val="24"/>
        </w:rPr>
      </w:pPr>
      <w:r w:rsidRPr="008106D1">
        <w:rPr>
          <w:b/>
          <w:i/>
        </w:rPr>
        <w:t>Budgetmæssig og økonomisk forvaltning</w:t>
      </w:r>
    </w:p>
    <w:p w14:paraId="50617ED7" w14:textId="77777777" w:rsidR="00B70F66" w:rsidRPr="008106D1" w:rsidRDefault="00B70F66" w:rsidP="00B70F66">
      <w:pPr>
        <w:pStyle w:val="NormalHanging12a"/>
        <w:rPr>
          <w:szCs w:val="24"/>
        </w:rPr>
      </w:pPr>
      <w:r w:rsidRPr="008106D1">
        <w:t>1.</w:t>
      </w:r>
      <w:r w:rsidRPr="008106D1">
        <w:tab/>
        <w:t>bemærker med tilfredshed, at budgetovervågningsindsatsen i regnskabsåret 2022 resulterede i en budgetgennemførelsesgrad på 98,78 % svarende til et fald på 1,22 % i forhold til 2021; noterer sig, at udnyttelsesgraden for betalingsbevillinger var på 96,65 %, hvilket er en lille stigning på 0,30 % i forhold til 2021; bemærker endvidere, at udnyttelsesgraden for betalingsbevillinger, der var fremført fra 2021 til 2022, var på 88,98 %;</w:t>
      </w:r>
    </w:p>
    <w:p w14:paraId="474BE881" w14:textId="77777777" w:rsidR="00B70F66" w:rsidRPr="008106D1" w:rsidRDefault="00B70F66" w:rsidP="00B70F66">
      <w:pPr>
        <w:pStyle w:val="NormalHanging12a"/>
      </w:pPr>
      <w:r w:rsidRPr="008106D1">
        <w:t>2.</w:t>
      </w:r>
      <w:r w:rsidRPr="008106D1">
        <w:tab/>
        <w:t xml:space="preserve">noterer sig på baggrund af Revisionsrettens beretning, at centret, selv om det kun betalte renter for én forsinket betaling, havde et betydeligt antal betalinger, som centrets finansielle og regnskabsmæssige forvaltning (omkostningsbaseret regnskab (ABAC)) på grund af ukorrekte parametre eller ukorrekte datainput vedrørende forfaldsdatoen eller modtagelsen af de dokumenter, der indebærer en betalingsforpligtelse, fejlagtigt havde markeret som forsinkede (107 ud af 1 595); noterer sig på baggrund af centrets svar, at den uoverensstemmende "markering" (af forsinkede betalinger) ikke påvirkede den formelle rigtighed af de involverede transaktioner; bemærker endvidere, at centret i den sammenhæng har truffet foranstaltninger til at minimere den nævnte risiko for "falske positive" og til yderligere at sikre, at centrets ABAC-system giver et retvisende billede </w:t>
      </w:r>
      <w:r w:rsidRPr="008106D1">
        <w:lastRenderedPageBreak/>
        <w:t>af de faktiske forsinkede betalinger; opfordrer centret til fortsat at overvåge dette spørgsmål og til at afbøde eventuelle fremtidige omdømmemæssige risici i forbindelse med dette spørgsmål;</w:t>
      </w:r>
    </w:p>
    <w:p w14:paraId="46237401" w14:textId="77777777" w:rsidR="00B70F66" w:rsidRPr="008106D1" w:rsidRDefault="00B70F66" w:rsidP="00B70F66">
      <w:pPr>
        <w:pStyle w:val="Normal12Hanging"/>
        <w:ind w:left="0" w:firstLine="0"/>
        <w:rPr>
          <w:b/>
          <w:i/>
          <w:szCs w:val="24"/>
        </w:rPr>
      </w:pPr>
      <w:r w:rsidRPr="008106D1">
        <w:rPr>
          <w:b/>
          <w:i/>
        </w:rPr>
        <w:t>Performance</w:t>
      </w:r>
    </w:p>
    <w:p w14:paraId="59262DB8" w14:textId="77777777" w:rsidR="00B70F66" w:rsidRPr="008106D1" w:rsidRDefault="00B70F66" w:rsidP="00B70F66">
      <w:pPr>
        <w:pStyle w:val="NormalHanging12a"/>
        <w:rPr>
          <w:szCs w:val="24"/>
        </w:rPr>
      </w:pPr>
      <w:r w:rsidRPr="008106D1">
        <w:t>3.</w:t>
      </w:r>
      <w:r w:rsidRPr="008106D1">
        <w:tab/>
        <w:t>bemærker, at centrets nye resultatmålingsmodel identificerer et begrænset antal (ti) sammensatte centrale resultatindikatorer (KPI'er), som anvendes til at måle effektiviteten af leveringen af de ønskede output og produktiviteten af anvendelsen af de tildelte ressourcer, og som suppleres af KPI'er på højere niveau, der fokuserer på udfald og virkninger; bemærker, at centret for så vidt angår vurderingen af de centrale resultatindikatorer fastsatte 65 årlige mål, hvoraf 57 mål (87 %) blev nået i 2022;</w:t>
      </w:r>
    </w:p>
    <w:p w14:paraId="28B4C024" w14:textId="77777777" w:rsidR="00B70F66" w:rsidRPr="008106D1" w:rsidRDefault="00B70F66" w:rsidP="00B70F66">
      <w:pPr>
        <w:pStyle w:val="NormalHanging12a"/>
        <w:rPr>
          <w:szCs w:val="24"/>
        </w:rPr>
      </w:pPr>
      <w:r w:rsidRPr="008106D1">
        <w:t>4.</w:t>
      </w:r>
      <w:r w:rsidRPr="008106D1">
        <w:tab/>
        <w:t>bemærker, at centret for så vidt angår arbejdsprogrammet for 2022 opnåede 152 ud af 188 output/resultater (81 %), delvist opnåede 12 % af dem (dvs. 23 output/resultater, som var forsinkede og var i gang ved udgangen af 2022), mens 12 resultater (6 %) ikke blev gennemført, og to resultater ikke var relevante; bemærker, at centret mener, at de fleste forsinkelser eller aflysninger af aktiviteter i 2022 skyldtes manglende ressourcer; bemærker endvidere, at centret med henblik på gennemførelsen af sit nye mandat (som forventes at finde anvendelse fra 2024) indledte forberedelserne, som omfattede centrale ressourcer og krævede visse justeringer i nogle af dets tidligere planlagte aktiviteter;</w:t>
      </w:r>
    </w:p>
    <w:p w14:paraId="393BE5D1" w14:textId="77777777" w:rsidR="00B70F66" w:rsidRPr="008106D1" w:rsidRDefault="00B70F66" w:rsidP="00B70F66">
      <w:pPr>
        <w:pStyle w:val="NormalHanging12a"/>
        <w:rPr>
          <w:szCs w:val="24"/>
        </w:rPr>
      </w:pPr>
      <w:r w:rsidRPr="008106D1">
        <w:t>5.</w:t>
      </w:r>
      <w:r w:rsidRPr="008106D1">
        <w:tab/>
        <w:t>anerkender centrets indsats og fremskridt inden for dets tre arbejdsområder (sundhed, sikkerhed og forretningsmæssige drivkræfter); bemærker navnlig offentliggørelsen i 2022 af den nye europæiske narkotikarapport (EDR), der giver det seneste overblik over narkotikasituationen i Europa frem til 2022, lanceringen af e-læringsplatformen PLATO, der hoster de europæiske forebyggelseslæseplaner (European Prevention Curriculum), og som har til formål at uddanne fagfolk, der er involveret i udformningen af forebyggende beslutninger, udtalelser og politikker i Europa, offentliggørelsen af syv miniguider, der dækker tiltag over for stofbrug narkotika i fritidsmiljøer, lokalsamfund, skoler og fængsler samt imødekommer familiers og hjemløse befolkningsgruppers behov, og offentliggørelsen af tre fokusområder for narkotikaforbrug, narkotikakontrol og e-sundhedsindgreb;</w:t>
      </w:r>
    </w:p>
    <w:p w14:paraId="49EC5A5E" w14:textId="77777777" w:rsidR="00B70F66" w:rsidRPr="008106D1" w:rsidRDefault="00B70F66" w:rsidP="00B70F66">
      <w:pPr>
        <w:pStyle w:val="NormalHanging12a"/>
      </w:pPr>
      <w:r w:rsidRPr="008106D1">
        <w:t>6.</w:t>
      </w:r>
      <w:r w:rsidRPr="008106D1">
        <w:tab/>
        <w:t>bemærker med tilfredshed, at centret i 2022 offentliggjorde en ny "mixed-method"- trendspotterundersøgelse med henblik på at vurdere den indledende beredskabsreaktion på fordrevne ukraineres behov i nabolandene i Unionen; roser centret for at samarbejde med Europol om forberedelsen af den fjerde udgave af den fælles publikation "EU Drug Markets: In-depth analysis", hvis resultater fremlægges i en række moduler, der hver især fokuserer på markedet for et bestemt narkotisk stof og dækker tendenser i hele forsyningskæden fra fremstilling og ulovlig handel til distribution og anvendelse; roser i den forbindelse lanceringen af de første to moduler om kokain og metamfetamin i 2022;</w:t>
      </w:r>
    </w:p>
    <w:p w14:paraId="0B53A104" w14:textId="77777777" w:rsidR="00B70F66" w:rsidRPr="008106D1" w:rsidRDefault="00B70F66" w:rsidP="00B70F66">
      <w:pPr>
        <w:pStyle w:val="NormalHanging12a"/>
        <w:rPr>
          <w:szCs w:val="24"/>
        </w:rPr>
      </w:pPr>
      <w:r w:rsidRPr="008106D1">
        <w:t>7.</w:t>
      </w:r>
      <w:r w:rsidRPr="008106D1">
        <w:tab/>
        <w:t>bemærker, at centret i 2022 fortsatte med at gennemføre Den Europæiske Unions system for tidlig varsling (EWS) i samarbejde med sine partnere; bemærker i samme forbindelse, at varslingssystemet i 2022 for første gang formelt blev underrettet om 41 nye psykoaktive stoffer; bemærker endvidere, at to nye psykoaktive stoffer, som centret havde vurderet i 2021 (3-chloromethcathinone (3-CMC) og 3-methylmethcathinone (3-MMC)), blev medtaget i definitionen af "narkotika" ved Kommissionens delegerede direktiv i 2022;</w:t>
      </w:r>
    </w:p>
    <w:p w14:paraId="2254DA44" w14:textId="77777777" w:rsidR="00B70F66" w:rsidRPr="008106D1" w:rsidRDefault="00B70F66" w:rsidP="00B70F66">
      <w:pPr>
        <w:pStyle w:val="NormalHanging12a"/>
        <w:rPr>
          <w:szCs w:val="24"/>
        </w:rPr>
      </w:pPr>
      <w:r w:rsidRPr="008106D1">
        <w:lastRenderedPageBreak/>
        <w:t>8.</w:t>
      </w:r>
      <w:r w:rsidRPr="008106D1">
        <w:tab/>
        <w:t>glæder sig over centrets deltagelse i narkotikarelaterede uddannelsesarrangementer og kapacitetsopbygning, der sikrede overførsel af dets viden til næsten 950 fagfolk, der arbejder på narkotikaområdet, herunder retshåndhævelsespersonale og politiske beslutningstagere; bemærker endvidere, at omkring 1 200 fagfolk, der arbejder på narkotikaområdet over hele verden, deltog i de syv webinarer, som centret afholdt i 2022; roser centret for sammen med sine partnere at afholde den fjerde europæiske konference om additiv adfærd og afhængighedsforhold ("European Conference on Addictive Behaviours and Dependencies: Lisbon Addictions 2022"), som under det overordnede tema "Global Addictions" samlede et rekordstort antal på 1 757 deltagere fra 84 lande;</w:t>
      </w:r>
    </w:p>
    <w:p w14:paraId="2C4624F1" w14:textId="77777777" w:rsidR="00B70F66" w:rsidRPr="008106D1" w:rsidRDefault="00B70F66" w:rsidP="00B70F66">
      <w:pPr>
        <w:pStyle w:val="NormalHanging12a"/>
        <w:rPr>
          <w:szCs w:val="24"/>
        </w:rPr>
      </w:pPr>
      <w:r w:rsidRPr="008106D1">
        <w:t>9.</w:t>
      </w:r>
      <w:r w:rsidRPr="008106D1">
        <w:tab/>
        <w:t>glæder sig over centrets fortsatte bestræbelser på at fremhæve de sociale aspekter og samfundsmæssige virkninger af narkotika, fremme politikker for social reintegration af stofmisbrugere og behandle narkotikaproblematikken i et tværfagligt perspektiv; anser det for at være af afgørende betydning, at bevidstheden om vigtigheden af forebyggelse og af at have en innovativ tilgang baseret på mental sundhed til narkotikapolitikker fortsat øges;</w:t>
      </w:r>
    </w:p>
    <w:p w14:paraId="1A03FAE9" w14:textId="77777777" w:rsidR="00B70F66" w:rsidRPr="008106D1" w:rsidRDefault="00B70F66" w:rsidP="00B70F66">
      <w:pPr>
        <w:pStyle w:val="NormalHanging12a"/>
      </w:pPr>
      <w:r w:rsidRPr="008106D1">
        <w:t>10.</w:t>
      </w:r>
      <w:r w:rsidRPr="008106D1">
        <w:tab/>
        <w:t>glæder sig over de fremskridt, som centret i samarbejde med Europol har gjort i forbindelse med publikationen "EU Drug Markets: In-depth analysis", som indeholder moduler om specifikke præparater, og som blev offentliggjort i 2022, samt glæder sig over de planlagte offentliggørelser i 2023; glæder sig over arbejdet i 2022 med at forbedre kvaliteten og tilgængeligheden af centrale forsyningsdata i samarbejde med Reitox National Focus Points og Europol; glæder sig over gennemførelsen af alle centrets opgaver inden for rammerne af de operationelle handlingsplaner for cannabis, kokain og heroin under den europæiske tværfaglige platform mod kriminalitetstrusler;</w:t>
      </w:r>
      <w:r w:rsidRPr="008106D1">
        <w:rPr>
          <w:rStyle w:val="FootnoteReference"/>
        </w:rPr>
        <w:t xml:space="preserve"> </w:t>
      </w:r>
      <w:r w:rsidRPr="008106D1">
        <w:t>minder om, at narkotikahandel er blevet identificeret som en hovedkilde til profit og en rekrutteringskanal for organiseret kriminalitet og terrorisme, og fremhæver centrets bidrag til et mere sikkert Europa;</w:t>
      </w:r>
    </w:p>
    <w:p w14:paraId="25BD6974" w14:textId="77777777" w:rsidR="00B70F66" w:rsidRPr="008106D1" w:rsidRDefault="00B70F66" w:rsidP="00B70F66">
      <w:pPr>
        <w:pStyle w:val="NormalHanging12a"/>
      </w:pPr>
      <w:r w:rsidRPr="008106D1">
        <w:t>11.</w:t>
      </w:r>
      <w:r w:rsidRPr="008106D1">
        <w:tab/>
        <w:t>glæder sig over det igangværende samarbejde mellem centret og partnerlandene inden for den europæiske naboskabspolitik på regionalt plan gennem EU4MD-projektet for teknisk bistand samt over den igangværende gennemførelse af EMCDDA4GE-projektet for teknisk bistand på bilateralt plan med Georgien; glæder sig over etableringen af et officielt partnerskab i samarbejdsprogrammet mellem Latinamerika, Caribien og Den Europæiske Union om narkotikapolitikker;</w:t>
      </w:r>
    </w:p>
    <w:p w14:paraId="6E835271" w14:textId="77777777" w:rsidR="00B70F66" w:rsidRPr="008106D1" w:rsidRDefault="00B70F66" w:rsidP="00B70F66">
      <w:pPr>
        <w:pStyle w:val="Normal12Hanging"/>
        <w:rPr>
          <w:b/>
          <w:i/>
          <w:szCs w:val="24"/>
        </w:rPr>
      </w:pPr>
      <w:r w:rsidRPr="008106D1">
        <w:rPr>
          <w:b/>
          <w:i/>
        </w:rPr>
        <w:t>Effektivitet og gevinster</w:t>
      </w:r>
    </w:p>
    <w:p w14:paraId="3EFEA7F2" w14:textId="77777777" w:rsidR="00B70F66" w:rsidRPr="008106D1" w:rsidRDefault="00B70F66" w:rsidP="00B70F66">
      <w:pPr>
        <w:pStyle w:val="Normal12Hanging"/>
        <w:rPr>
          <w:szCs w:val="24"/>
        </w:rPr>
      </w:pPr>
      <w:r w:rsidRPr="008106D1">
        <w:t>12.</w:t>
      </w:r>
      <w:r w:rsidRPr="008106D1">
        <w:tab/>
        <w:t xml:space="preserve">roser centret for tilsagnet om konstant at forbedre effektiviteten og produktiviteten af dets aktiviteter og maksimere anvendelsen af dets ressourcer, ekspertise og knowhow med henblik på i sidste ende at bidrage til et mere sikkert og sundere Europa, navnlig gennem samarbejdsordninger med agenturer på området retlige og indre anliggender og sundhed; noterer sig de foranstaltninger, som centret har truffet for at reducere driftsomkostningerne i forbindelse med dets lokaler, såsom anvendelsen af solafskærmning på glasområder og klimakontrolkontakter på vinduerne; noterer sig endvidere aftalen med Det Europæiske Agentur for Søfartssikkerhed om at dele brugen af fælles områder (kantine, underjordiske parkeringsområder og konferencefaciliteter) i det område, hvor deres hovedkvarter er beliggende, og samarbejdet mellem de to agenturer om fælles indkøb af fælles tjenester (f.eks. sikkerhed, rengøring, catering osv.) samt den fælles tilrettelæggelse af uddannelsesaktiviteter af fælles interesse for </w:t>
      </w:r>
      <w:r w:rsidRPr="008106D1">
        <w:lastRenderedPageBreak/>
        <w:t>personalet i begge agenturer;</w:t>
      </w:r>
    </w:p>
    <w:p w14:paraId="4A7DC229" w14:textId="77777777" w:rsidR="00B70F66" w:rsidRPr="008106D1" w:rsidRDefault="00B70F66" w:rsidP="00B70F66">
      <w:pPr>
        <w:pStyle w:val="Normal12Hanging"/>
      </w:pPr>
      <w:r w:rsidRPr="008106D1">
        <w:t>13.</w:t>
      </w:r>
      <w:r w:rsidRPr="008106D1">
        <w:tab/>
        <w:t>bemærker med tilfredshed, at centret har en strategisk plan (miljøstrategi 2021-2025), om at blive kulstofneutral, og at det i sin årlige aktivitetsrapport har medtaget parametre vedrørende centrets miljøpræstationer og CO</w:t>
      </w:r>
      <w:r w:rsidRPr="008106D1">
        <w:rPr>
          <w:vertAlign w:val="subscript"/>
        </w:rPr>
        <w:t>2</w:t>
      </w:r>
      <w:r w:rsidRPr="008106D1">
        <w:t>-fodaftryk, og at centret har forbedret sine resultater hvert år siden 2014; glæder sig over den beslutning, som centrets direktør traf i 2022 om at opnå EMAS-certificering, og bemærker, at processen forventes afsluttet i 2023;</w:t>
      </w:r>
    </w:p>
    <w:p w14:paraId="558E712A" w14:textId="77777777" w:rsidR="00B70F66" w:rsidRPr="008106D1" w:rsidRDefault="00B70F66" w:rsidP="00B70F66">
      <w:pPr>
        <w:pStyle w:val="Normal12Hanging"/>
      </w:pPr>
      <w:r w:rsidRPr="008106D1">
        <w:t>14.</w:t>
      </w:r>
      <w:r w:rsidRPr="008106D1">
        <w:tab/>
        <w:t>bemærker, at centret i 2022 gennemførte flere projekter, der havde til formål at forbedre miljøpræstationerne ved at forbedre elforbruget, installere solceller på taget af bygningen samt ved at installere elbil-delingsstationer med henblik på at erstatte centrets køretøjsflåde med el- eller hybridkøretøjer;</w:t>
      </w:r>
    </w:p>
    <w:p w14:paraId="54984308" w14:textId="77777777" w:rsidR="00B70F66" w:rsidRPr="008106D1" w:rsidRDefault="00B70F66" w:rsidP="00B70F66">
      <w:pPr>
        <w:pStyle w:val="Normal12Hanging"/>
        <w:rPr>
          <w:b/>
          <w:i/>
          <w:szCs w:val="24"/>
        </w:rPr>
      </w:pPr>
      <w:r w:rsidRPr="008106D1">
        <w:rPr>
          <w:b/>
          <w:i/>
        </w:rPr>
        <w:t>Personalepolitik</w:t>
      </w:r>
    </w:p>
    <w:p w14:paraId="70505D86" w14:textId="77777777" w:rsidR="00B70F66" w:rsidRPr="008106D1" w:rsidRDefault="00B70F66" w:rsidP="00B70F66">
      <w:pPr>
        <w:pStyle w:val="Normal12Hanging"/>
        <w:rPr>
          <w:szCs w:val="24"/>
        </w:rPr>
      </w:pPr>
      <w:r w:rsidRPr="008106D1">
        <w:t>15.</w:t>
      </w:r>
      <w:r w:rsidRPr="008106D1">
        <w:tab/>
        <w:t>bemærker, at stillingsfortegnelsen pr. 31. december 2022 var gennemført med 97 %, med seks tjenestemænd og 68 midlertidigt ansatte ud af de syv tjenestemænd og 69 midlertidigt ansatte, som var godkendt i henhold til Unionens budget (76 godkendte stillinger i 2022 som i 2021); bemærker, at der desuden arbejdede 27 kontraktansatte for centret i 2022; glæder sig over centrets personalescreening i 2022 og den effektive og produktive fordeling af dets ressourcer, idet 72,44 % af centrets personale er afsat til operationelle aktiviteter, 18,20 % til administrativ støtte og koordinering og 9,35 % til neutrale opgaver; roser centret for dets lave personaleudskiftningsgrad (2,9 %) i 2022;</w:t>
      </w:r>
    </w:p>
    <w:p w14:paraId="5620D2CB" w14:textId="77777777" w:rsidR="00B70F66" w:rsidRPr="008106D1" w:rsidRDefault="00B70F66" w:rsidP="00B70F66">
      <w:pPr>
        <w:pStyle w:val="NormalHanging12a"/>
      </w:pPr>
      <w:r w:rsidRPr="008106D1">
        <w:t>16.</w:t>
      </w:r>
      <w:r w:rsidRPr="008106D1">
        <w:tab/>
        <w:t>bemærker, at centret rapporterede, at det har to kvinder (22 %) og syv mænd (78 %) i sin øverste ledelse, mens det har 20 kvinder (37 %) og 34 mænd (63 %) i sin bestyrelse, bemærker, at personalet samlet set består af 36 mænd (38 %) og 58 kvinder (62 %); minder om vigtigheden af at sikre kønsbalance blandt personalet og opfordrer centret til at tage dette aspekt i betragtning med hensyn til ansættelse af personale i fremtiden og i forbindelse med udnævnelser inden for den øverste ledelse; anmoder Kommissionen og medlemsstaterne om at tage hensyn til vigtigheden af at sikre kønsbalance, når de indstiller deres medlemmer til centrets bestyrelse;</w:t>
      </w:r>
    </w:p>
    <w:p w14:paraId="44438BFD" w14:textId="77777777" w:rsidR="00B70F66" w:rsidRPr="008106D1" w:rsidRDefault="00B70F66" w:rsidP="00B70F66">
      <w:pPr>
        <w:pStyle w:val="Normal12Hanging"/>
        <w:rPr>
          <w:szCs w:val="24"/>
        </w:rPr>
      </w:pPr>
      <w:r w:rsidRPr="008106D1">
        <w:t>17.</w:t>
      </w:r>
      <w:r w:rsidRPr="008106D1">
        <w:tab/>
        <w:t>noterer sig på baggrund af centrets rapport de opfølgende foranstaltninger, der er truffet i lyset af meddelelsen af decharge for gennemførelsen af centrets budget for regnskabsåret 2021 ("centrets rapport"), med henblik på at forbedre kønsbalancen i centret; bemærker, at sådanne foranstaltninger blev truffet i forbindelse med centrets ansættelsesprocedurer og formidlingen i medlemsstaterne af information om centrets udvælgelsesproces; roser formanden for centrets bestyrelse for at henvende sig til de relevante myndigheder i medlemsstaterne, Norge og Tyrkiet med hensyn til at sikre kønsbalance i forbindelse med udnævnelsen af deres medlemmer af centrets bestyrelse; noterer sig endvidere på baggrund af centrets rapport vedrørende bemærkningen om den manglende brug af SYSPER, at centret har udviklet og indført sine egne informations- og kommunikationsteknologiske værktøjer til digitaliseret forvaltning af menneskelige ressourcer;</w:t>
      </w:r>
    </w:p>
    <w:p w14:paraId="6E5E455F" w14:textId="77777777" w:rsidR="00B70F66" w:rsidRPr="008106D1" w:rsidRDefault="00B70F66" w:rsidP="00B70F66">
      <w:pPr>
        <w:pStyle w:val="Normal12Hanging"/>
        <w:rPr>
          <w:szCs w:val="24"/>
        </w:rPr>
      </w:pPr>
      <w:r w:rsidRPr="008106D1">
        <w:t>18.</w:t>
      </w:r>
      <w:r w:rsidRPr="008106D1">
        <w:tab/>
        <w:t xml:space="preserve">minder på baggrund af Revisionsrettens årsberetning om EU-agenturerne for regnskabsåret 2018 om bemærkningen vedrørende ansættelsen af vikarer under en </w:t>
      </w:r>
      <w:r w:rsidRPr="008106D1">
        <w:lastRenderedPageBreak/>
        <w:t>rammeaftale i strid med bestemmelserne i direktiv 2008/104/EF</w:t>
      </w:r>
      <w:r w:rsidRPr="008106D1">
        <w:rPr>
          <w:rStyle w:val="FootnoteReference"/>
          <w:szCs w:val="24"/>
        </w:rPr>
        <w:footnoteReference w:id="14"/>
      </w:r>
      <w:r w:rsidRPr="008106D1">
        <w:t xml:space="preserve"> og i den portugisiske arbejdsmarkedslovgivning; noterer sig på baggrund af Revisionsrettens beretning, at denne bemærkning er afsluttet, at den pågældende rammekontrakt udløb i marts 2022, og at den sidste betaling vedrørende vikarer blev foretaget i januar 2022;</w:t>
      </w:r>
    </w:p>
    <w:p w14:paraId="31982CE6" w14:textId="77777777" w:rsidR="00B70F66" w:rsidRPr="008106D1" w:rsidRDefault="00B70F66" w:rsidP="00B70F66">
      <w:pPr>
        <w:pStyle w:val="Normal12Hanging"/>
        <w:rPr>
          <w:b/>
          <w:i/>
          <w:szCs w:val="24"/>
        </w:rPr>
      </w:pPr>
      <w:r w:rsidRPr="008106D1">
        <w:rPr>
          <w:b/>
          <w:i/>
        </w:rPr>
        <w:t>Udbud</w:t>
      </w:r>
    </w:p>
    <w:p w14:paraId="35FF2FDF" w14:textId="77777777" w:rsidR="00B70F66" w:rsidRPr="008106D1" w:rsidRDefault="00B70F66" w:rsidP="00B70F66">
      <w:pPr>
        <w:pStyle w:val="NormalHanging12a"/>
        <w:rPr>
          <w:szCs w:val="24"/>
        </w:rPr>
      </w:pPr>
      <w:r w:rsidRPr="008106D1">
        <w:t>19.</w:t>
      </w:r>
      <w:r w:rsidRPr="008106D1">
        <w:tab/>
        <w:t>noterer sig på baggrund af Revisionsrettens beretning, at et beløb (75 000 EUR) svarende til en kontrakt indgået i maj 2022 ikke var dækket var fuldt dækket af en tilsvarende budgetforpligtelse, hvilket førte til en manko på 8 000 EUR; bemærker, at der var en lignende situation i 2021 for den samme type kontrakt, og at centret ifølge Revisionsrettens beretning i begge tilfælde ikke var i overensstemmelse med kravene i artikel 10, stk. 3, og artikel 73, stk. 2, i centrets finansforordning; anerkender imidlertid på baggrund af centrets svar, at omkostningerne til kontrakten blev delt i henhold til de aftaler, der blev indgået med to andre enheder, der benytter centrets lokaler i Lissabon; bemærker i den forbindelse, at centret kun skulle bære en del af de samlede omkostninger/udgifter i forbindelse med kontrakten, som var baseret på tilsvarende budgetmæssige forpligtelser, mens de resterende omkostninger var baseret på modregning/udligning af regnskabstransaktioner, eftersom disse omkostninger blev båret af de to andre enheder</w:t>
      </w:r>
    </w:p>
    <w:p w14:paraId="19DC6052" w14:textId="77777777" w:rsidR="00B70F66" w:rsidRPr="008106D1" w:rsidRDefault="00B70F66" w:rsidP="00B70F66">
      <w:pPr>
        <w:pStyle w:val="Normal12Hanging"/>
        <w:rPr>
          <w:b/>
          <w:i/>
          <w:szCs w:val="24"/>
        </w:rPr>
      </w:pPr>
      <w:r w:rsidRPr="008106D1">
        <w:rPr>
          <w:b/>
          <w:i/>
        </w:rPr>
        <w:t>Forebyggelse og håndtering af interessekonflikter samt gennemsigtighed</w:t>
      </w:r>
    </w:p>
    <w:p w14:paraId="3667E941" w14:textId="77777777" w:rsidR="00B70F66" w:rsidRPr="008106D1" w:rsidRDefault="00B70F66" w:rsidP="00B70F66">
      <w:pPr>
        <w:pStyle w:val="Normal12Hanging"/>
        <w:rPr>
          <w:szCs w:val="24"/>
        </w:rPr>
      </w:pPr>
      <w:r w:rsidRPr="008106D1">
        <w:t>20.</w:t>
      </w:r>
      <w:r w:rsidRPr="008106D1">
        <w:tab/>
        <w:t>anerkender centrets eksisterende foranstaltninger til og løbende bestræbelser på at sikre gennemsigtighed, forebygge og håndtere interessekonflikter og beskytte whistleblowere; bemærker endvidere, at der i 2022 ikke blev indberettet, undersøgt eller afsluttet sager vedrørende interessekonflikter; glæder sig over, at centret på sit websted har offentliggjort interesseerklæringer og CV'er for ledende medarbejdere, medlemmerne af bestyrelsen og de eksterne eksperter, der er medlemmer af centrets videnskabelige udvalg; minder om, at der for så vidt angår bestyrelsesmedlemmerne kun er et resumé af deres nuværende erhvervsaktiviteter tilgængeligt på centrets websted; noterer sig centrets tilsagn om inden udgangen af 2023 at behandle muligheden for også at medtage disse medlemmers tidligere erhvervsmæssige aktiviteter i de offentliggjorte CV'er;</w:t>
      </w:r>
    </w:p>
    <w:p w14:paraId="4B6C36AF" w14:textId="77777777" w:rsidR="00B70F66" w:rsidRPr="008106D1" w:rsidRDefault="00B70F66" w:rsidP="00B70F66">
      <w:pPr>
        <w:pStyle w:val="Normal12Hanging"/>
        <w:rPr>
          <w:szCs w:val="24"/>
        </w:rPr>
      </w:pPr>
      <w:r w:rsidRPr="008106D1">
        <w:t>21.</w:t>
      </w:r>
      <w:r w:rsidRPr="008106D1">
        <w:tab/>
        <w:t>bemærker, at centret ikke mødtes med lobbyister i 2022; bemærker endvidere på baggrund af de retningslinjer og henstillinger, som Kommissionen og den europæiske ombudsmand har udarbejdet i den forbindelse, at centret har indført en adfærdskodeks og praktiske anbefalinger/retningslinjer for et eventuelt samspil mellem sine medarbejdere og interesserepræsentanter; bemærker endvidere, at disse retningslinjer, såfremt sådanne møder finder sted, anbefaler, at mødet registreres og offentliggøres; opfordrer centret til at følge disse retningslinjer og til straks offentliggøre sådanne møder;</w:t>
      </w:r>
    </w:p>
    <w:p w14:paraId="117AA9C6" w14:textId="77777777" w:rsidR="00B70F66" w:rsidRPr="008106D1" w:rsidRDefault="00B70F66" w:rsidP="00B70F66">
      <w:pPr>
        <w:pStyle w:val="Normal12Hanging"/>
        <w:rPr>
          <w:b/>
          <w:i/>
          <w:szCs w:val="24"/>
        </w:rPr>
      </w:pPr>
      <w:r w:rsidRPr="008106D1">
        <w:rPr>
          <w:b/>
          <w:i/>
        </w:rPr>
        <w:t>Intern kontrol</w:t>
      </w:r>
    </w:p>
    <w:p w14:paraId="29CFCE5F" w14:textId="77777777" w:rsidR="00B70F66" w:rsidRPr="008106D1" w:rsidRDefault="00B70F66" w:rsidP="00B70F66">
      <w:pPr>
        <w:pStyle w:val="Normal12Hanging"/>
        <w:rPr>
          <w:szCs w:val="24"/>
        </w:rPr>
      </w:pPr>
      <w:r w:rsidRPr="008106D1">
        <w:t>22.</w:t>
      </w:r>
      <w:r w:rsidRPr="008106D1">
        <w:tab/>
        <w:t xml:space="preserve">bemærker, at Den Interne Revisionstjeneste (IAS) i 2022 gennemførte to revisioner for centret, nemlig vedrørende internationalt samarbejde og tilstrækkeligheden af </w:t>
      </w:r>
      <w:r w:rsidRPr="008106D1">
        <w:lastRenderedPageBreak/>
        <w:t>koordinerings- og samarbejdsordninger mellem partnergeneraldirektorater og andre interessenter samt af forvaltningsrammen for Unionens decentrale agenturer; bemærker, at revisionsresultaterne for begge revisionsprojekter stadig ikke forelå ved udgangen af 2022, hvor der ikke var nogen udestående kritiske risici og anbefalinger fra IAS, bortset fra én udestående anbefaling om intern kommunikation fra en revision vedrørende forvaltningen af menneskelige ressourcer og etik, der blev gennemført i 2021;</w:t>
      </w:r>
    </w:p>
    <w:p w14:paraId="242CEA41" w14:textId="77777777" w:rsidR="00B70F66" w:rsidRPr="008106D1" w:rsidRDefault="00B70F66" w:rsidP="00B70F66">
      <w:pPr>
        <w:pStyle w:val="Normal12Hanging"/>
        <w:rPr>
          <w:szCs w:val="24"/>
        </w:rPr>
      </w:pPr>
      <w:r w:rsidRPr="008106D1">
        <w:t>23.</w:t>
      </w:r>
      <w:r w:rsidRPr="008106D1">
        <w:tab/>
        <w:t>glæder sig over resultatet af 2022-vurderingen af effektiviteten af centrets interne kontrolsystemer, som konstaterer, at alle komponenter er til stede og fungerer; bemærker, at vurderingen identificerede fem principper for rammerne for intern kontrol, hvor der kan være behov for visse forbedringer med hensyn til kontrolmiljø, kontrolaktiviteter og information og kommunikation; bemærker endvidere, at der i 2022 blev gennemført en omfattende risikoidentifikation og -vurdering med henblik på at forbedre risikostyringen i centret med identificerede risici i forbindelse med centrets nye mandat og dets nye forretningsmodel; opfordrer centret til at afhjælpe alle de mangler, der blev konstateret i forbindelse med de forskellige vurderinger, der blev foretaget i 2022;</w:t>
      </w:r>
    </w:p>
    <w:p w14:paraId="6A238DFC" w14:textId="77777777" w:rsidR="00B70F66" w:rsidRPr="008106D1" w:rsidRDefault="00B70F66" w:rsidP="00B70F66">
      <w:pPr>
        <w:pStyle w:val="Normal12Hanging"/>
      </w:pPr>
      <w:r w:rsidRPr="008106D1">
        <w:t>24.</w:t>
      </w:r>
      <w:r w:rsidRPr="008106D1">
        <w:tab/>
        <w:t>bemærker, at centret vedtog en revideret strategi for bekæmpelse af svig i 2021 med tre strategiske mål og en handlingsplan for gennemførelsen i 2022, som ved årets udgang var bredt gennemført, og at kun én ud af 12 foranstaltninger stadig var åben;</w:t>
      </w:r>
    </w:p>
    <w:p w14:paraId="710AFC99" w14:textId="77777777" w:rsidR="00B70F66" w:rsidRPr="008106D1" w:rsidRDefault="00B70F66" w:rsidP="00B70F66">
      <w:pPr>
        <w:pStyle w:val="Normal12Hanging"/>
        <w:rPr>
          <w:b/>
          <w:i/>
          <w:szCs w:val="24"/>
        </w:rPr>
      </w:pPr>
      <w:r w:rsidRPr="008106D1">
        <w:rPr>
          <w:b/>
          <w:i/>
        </w:rPr>
        <w:t>Øvrige bemærkninger</w:t>
      </w:r>
    </w:p>
    <w:p w14:paraId="4D8963AE" w14:textId="77777777" w:rsidR="00B70F66" w:rsidRPr="008106D1" w:rsidRDefault="00B70F66" w:rsidP="00B70F66">
      <w:pPr>
        <w:pStyle w:val="Normal12Hanging"/>
        <w:rPr>
          <w:szCs w:val="24"/>
        </w:rPr>
      </w:pPr>
      <w:r w:rsidRPr="008106D1">
        <w:t>25.</w:t>
      </w:r>
      <w:r w:rsidRPr="008106D1">
        <w:tab/>
        <w:t>roser centret for den kommunikationsindsats, der var fokuseret på at sikre produktionen af publikationer af høj kvalitet med 66 videnskabelige og institutionelle publikationer i 2022 og 16 videnskabelige artikler og bogkapitler, der var forfattet eller medforfattet af centret og offentliggjort i prestigefyldte tidsskrifter;</w:t>
      </w:r>
    </w:p>
    <w:p w14:paraId="2AC1EBD8" w14:textId="77777777" w:rsidR="00B70F66" w:rsidRPr="008106D1" w:rsidRDefault="00B70F66" w:rsidP="00B70F66">
      <w:pPr>
        <w:pStyle w:val="Normal12Hanging"/>
        <w:rPr>
          <w:szCs w:val="24"/>
        </w:rPr>
      </w:pPr>
      <w:r w:rsidRPr="008106D1">
        <w:t>26.</w:t>
      </w:r>
      <w:r w:rsidRPr="008106D1">
        <w:tab/>
        <w:t>glæder sig over den betydelige stigning i centrets publikum, som centret opnåede i 2022 på tværs af alle kanaler; bemærker i den forbindelse, at centret havde ca. 2,6 millioner unikke besøgende på webstedet, et rekordstort antal (en stigning på næsten 50 % i forhold til 2021), 1,6 millioner visninger af dets videoer (en stigning på 15 % i forhold til 2021) og en stigning i antallet af følgere på to centrale sociale medier, LinkedIn (+ 57 %) og Instagram (+ 37 %);</w:t>
      </w:r>
    </w:p>
    <w:p w14:paraId="6C818AF1" w14:textId="77777777" w:rsidR="00B70F66" w:rsidRPr="008106D1" w:rsidRDefault="00B70F66" w:rsidP="00B70F66">
      <w:pPr>
        <w:pStyle w:val="Normal12Hanging"/>
        <w:rPr>
          <w:szCs w:val="24"/>
        </w:rPr>
      </w:pPr>
      <w:r w:rsidRPr="008106D1">
        <w:t>27.</w:t>
      </w:r>
      <w:r w:rsidRPr="008106D1">
        <w:tab/>
        <w:t>opfordrer centret til at fokusere på at udbrede resultaterne af sin forskning til offentligheden og til at nå ud til denne via sociale medier og andre medier; glæder sig i den forbindelse over brugertilgængeligheden af de rapporter, som centret har udarbejdet;</w:t>
      </w:r>
    </w:p>
    <w:p w14:paraId="40BC38B6" w14:textId="77777777" w:rsidR="00B70F66" w:rsidRPr="008106D1" w:rsidRDefault="00B70F66" w:rsidP="00B70F66">
      <w:pPr>
        <w:pStyle w:val="NormalHanging12a"/>
        <w:rPr>
          <w:szCs w:val="24"/>
        </w:rPr>
      </w:pPr>
      <w:r w:rsidRPr="008106D1">
        <w:t>28.</w:t>
      </w:r>
      <w:r w:rsidRPr="008106D1">
        <w:tab/>
        <w:t>glæder sig over ressourcesiden "EMCDDA 4 Ukraine", der er oprettet for fagfolk, der arbejder inden for narkotikaområdet i Europa, og som støtter mennesker, der er fordrevet fra Ukraine;</w:t>
      </w:r>
    </w:p>
    <w:p w14:paraId="0FD86D05" w14:textId="77777777" w:rsidR="00B70F66" w:rsidRPr="008106D1" w:rsidRDefault="00B70F66" w:rsidP="00B70F66">
      <w:pPr>
        <w:pStyle w:val="NormalCenter12a"/>
      </w:pPr>
      <w:r w:rsidRPr="008106D1">
        <w:t>°</w:t>
      </w:r>
    </w:p>
    <w:p w14:paraId="7CDB168E" w14:textId="77777777" w:rsidR="00B70F66" w:rsidRPr="008106D1" w:rsidRDefault="00B70F66" w:rsidP="00B70F66">
      <w:pPr>
        <w:pStyle w:val="NormalCenter12a"/>
      </w:pPr>
      <w:r w:rsidRPr="008106D1">
        <w:t>°</w:t>
      </w:r>
      <w:r w:rsidRPr="008106D1">
        <w:tab/>
        <w:t>°</w:t>
      </w:r>
    </w:p>
    <w:p w14:paraId="7BFD3932" w14:textId="2F7443B7" w:rsidR="00B70F66" w:rsidRPr="008106D1" w:rsidRDefault="00B70F66" w:rsidP="00B70F66">
      <w:pPr>
        <w:pStyle w:val="NormalHanging12a"/>
      </w:pPr>
      <w:r w:rsidRPr="008106D1">
        <w:t>29.</w:t>
      </w:r>
      <w:r w:rsidRPr="008106D1">
        <w:tab/>
        <w:t xml:space="preserve">henviser med hensyn til de øvrige bemærkninger, der ledsager dechargeafgørelsen, og </w:t>
      </w:r>
      <w:r w:rsidRPr="008106D1">
        <w:lastRenderedPageBreak/>
        <w:t>som er af horisontal karakter, til sin beslutning af</w:t>
      </w:r>
      <w:bookmarkStart w:id="8" w:name="_GoBack"/>
      <w:bookmarkEnd w:id="8"/>
      <w:r w:rsidRPr="008106D1">
        <w:t xml:space="preserve"> </w:t>
      </w:r>
      <w:r w:rsidR="001B2368" w:rsidRPr="00385E20">
        <w:t>11. april</w:t>
      </w:r>
      <w:r w:rsidRPr="008106D1">
        <w:t xml:space="preserve"> 2024</w:t>
      </w:r>
      <w:r w:rsidRPr="008106D1">
        <w:rPr>
          <w:rStyle w:val="FootnoteReference"/>
        </w:rPr>
        <w:footnoteReference w:id="15"/>
      </w:r>
      <w:r w:rsidRPr="008106D1">
        <w:t xml:space="preserve"> om agenturernes resultater, økonomiske forvaltning og kontrol.</w:t>
      </w:r>
    </w:p>
    <w:sectPr w:rsidR="00B70F66" w:rsidRPr="008106D1" w:rsidSect="008106D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18791" w14:textId="77777777" w:rsidR="00CB3313" w:rsidRPr="008106D1" w:rsidRDefault="00CB3313">
      <w:r w:rsidRPr="008106D1">
        <w:separator/>
      </w:r>
    </w:p>
  </w:endnote>
  <w:endnote w:type="continuationSeparator" w:id="0">
    <w:p w14:paraId="0B45BF24" w14:textId="77777777" w:rsidR="00CB3313" w:rsidRPr="008106D1" w:rsidRDefault="00CB3313">
      <w:r w:rsidRPr="008106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6B98" w14:textId="77777777" w:rsidR="00B70F66" w:rsidRPr="008106D1" w:rsidRDefault="00B70F66" w:rsidP="003A7D15">
    <w:pPr>
      <w:pStyle w:val="EPFooter"/>
    </w:pPr>
    <w:r w:rsidRPr="008106D1">
      <w:t>PE</w:t>
    </w:r>
    <w:r w:rsidRPr="008106D1">
      <w:rPr>
        <w:rStyle w:val="HideTWBExt"/>
      </w:rPr>
      <w:t>&lt;NoPE&gt;</w:t>
    </w:r>
    <w:r w:rsidRPr="008106D1">
      <w:t>753.525</w:t>
    </w:r>
    <w:r w:rsidRPr="008106D1">
      <w:rPr>
        <w:rStyle w:val="HideTWBExt"/>
      </w:rPr>
      <w:t>&lt;/NoPE&gt;&lt;Version&gt;</w:t>
    </w:r>
    <w:r w:rsidRPr="008106D1">
      <w:t>v02-00</w:t>
    </w:r>
    <w:r w:rsidRPr="008106D1">
      <w:rPr>
        <w:rStyle w:val="HideTWBExt"/>
      </w:rPr>
      <w:t>&lt;/Version&gt;</w:t>
    </w:r>
    <w:r w:rsidRPr="008106D1">
      <w:tab/>
    </w:r>
    <w:r w:rsidRPr="008106D1">
      <w:fldChar w:fldCharType="begin"/>
    </w:r>
    <w:r w:rsidRPr="008106D1">
      <w:instrText xml:space="preserve"> PAGE  \* MERGEFORMAT </w:instrText>
    </w:r>
    <w:r w:rsidRPr="008106D1">
      <w:fldChar w:fldCharType="separate"/>
    </w:r>
    <w:r w:rsidR="008106D1" w:rsidRPr="008106D1">
      <w:rPr>
        <w:noProof/>
      </w:rPr>
      <w:t>2</w:t>
    </w:r>
    <w:r w:rsidRPr="008106D1">
      <w:fldChar w:fldCharType="end"/>
    </w:r>
    <w:r w:rsidRPr="008106D1">
      <w:t>/</w:t>
    </w:r>
    <w:r w:rsidR="00FC3391">
      <w:fldChar w:fldCharType="begin"/>
    </w:r>
    <w:r w:rsidR="00FC3391">
      <w:instrText xml:space="preserve"> NUMPAGES  \* MERGEFORMAT </w:instrText>
    </w:r>
    <w:r w:rsidR="00FC3391">
      <w:fldChar w:fldCharType="separate"/>
    </w:r>
    <w:r w:rsidR="008106D1" w:rsidRPr="008106D1">
      <w:rPr>
        <w:noProof/>
      </w:rPr>
      <w:t>4</w:t>
    </w:r>
    <w:r w:rsidR="00FC3391">
      <w:rPr>
        <w:noProof/>
      </w:rPr>
      <w:fldChar w:fldCharType="end"/>
    </w:r>
    <w:r w:rsidRPr="008106D1">
      <w:tab/>
    </w:r>
    <w:r w:rsidRPr="008106D1">
      <w:rPr>
        <w:rStyle w:val="HideTWBExt"/>
      </w:rPr>
      <w:t>&lt;PathFdR&gt;</w:t>
    </w:r>
    <w:r w:rsidRPr="008106D1">
      <w:t>RR\1298782DA.docx</w:t>
    </w:r>
    <w:r w:rsidRPr="008106D1">
      <w:rPr>
        <w:rStyle w:val="HideTWBExt"/>
      </w:rPr>
      <w:t>&lt;/PathFdR&gt;</w:t>
    </w:r>
  </w:p>
  <w:p w14:paraId="02DD708D" w14:textId="77777777" w:rsidR="00B70F66" w:rsidRPr="008106D1" w:rsidRDefault="00B70F66" w:rsidP="003A7D15">
    <w:pPr>
      <w:pStyle w:val="EPFooter2"/>
    </w:pPr>
    <w:r w:rsidRPr="008106D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A8C49" w14:textId="77777777" w:rsidR="00B70F66" w:rsidRPr="008106D1" w:rsidRDefault="00B70F66" w:rsidP="003A7D1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49640" w14:textId="77777777" w:rsidR="00B70F66" w:rsidRPr="008106D1" w:rsidRDefault="00B70F66" w:rsidP="003A7D15">
    <w:pPr>
      <w:pStyle w:val="EPFooter"/>
    </w:pPr>
    <w:r w:rsidRPr="008106D1">
      <w:rPr>
        <w:rStyle w:val="HideTWBExt"/>
      </w:rPr>
      <w:t>&lt;PathFdR&gt;</w:t>
    </w:r>
    <w:r w:rsidRPr="008106D1">
      <w:t>RR\1298782DA.docx</w:t>
    </w:r>
    <w:r w:rsidRPr="008106D1">
      <w:rPr>
        <w:rStyle w:val="HideTWBExt"/>
      </w:rPr>
      <w:t>&lt;/PathFdR&gt;</w:t>
    </w:r>
    <w:r w:rsidRPr="008106D1">
      <w:tab/>
    </w:r>
    <w:r w:rsidRPr="008106D1">
      <w:tab/>
      <w:t>PE</w:t>
    </w:r>
    <w:r w:rsidRPr="008106D1">
      <w:rPr>
        <w:rStyle w:val="HideTWBExt"/>
      </w:rPr>
      <w:t>&lt;NoPE&gt;</w:t>
    </w:r>
    <w:r w:rsidRPr="008106D1">
      <w:t>753.525</w:t>
    </w:r>
    <w:r w:rsidRPr="008106D1">
      <w:rPr>
        <w:rStyle w:val="HideTWBExt"/>
      </w:rPr>
      <w:t>&lt;/NoPE&gt;&lt;Version&gt;</w:t>
    </w:r>
    <w:r w:rsidRPr="008106D1">
      <w:t>v02-00</w:t>
    </w:r>
    <w:r w:rsidRPr="008106D1">
      <w:rPr>
        <w:rStyle w:val="HideTWBExt"/>
      </w:rPr>
      <w:t>&lt;/Version&gt;</w:t>
    </w:r>
  </w:p>
  <w:p w14:paraId="4E4509D6" w14:textId="77777777" w:rsidR="00B70F66" w:rsidRPr="008106D1" w:rsidRDefault="00B70F66" w:rsidP="003A7D15">
    <w:pPr>
      <w:pStyle w:val="EPFooter2"/>
    </w:pPr>
    <w:r w:rsidRPr="008106D1">
      <w:t>DA</w:t>
    </w:r>
    <w:r w:rsidRPr="008106D1">
      <w:tab/>
    </w:r>
    <w:r w:rsidRPr="008106D1">
      <w:rPr>
        <w:b w:val="0"/>
        <w:i/>
        <w:color w:val="C0C0C0"/>
        <w:sz w:val="22"/>
      </w:rPr>
      <w:t>Forenet i mangfoldighed</w:t>
    </w:r>
    <w:r w:rsidRPr="008106D1">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08A3" w14:textId="77777777" w:rsidR="00064002" w:rsidRPr="008106D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BFFB8" w14:textId="77777777" w:rsidR="00064002" w:rsidRPr="008106D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D0136" w14:textId="77777777" w:rsidR="00064002" w:rsidRPr="008106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14D7C" w14:textId="77777777" w:rsidR="00CB3313" w:rsidRPr="008106D1" w:rsidRDefault="00CB3313">
      <w:r w:rsidRPr="008106D1">
        <w:separator/>
      </w:r>
    </w:p>
  </w:footnote>
  <w:footnote w:type="continuationSeparator" w:id="0">
    <w:p w14:paraId="2E784D8E" w14:textId="77777777" w:rsidR="00CB3313" w:rsidRPr="008106D1" w:rsidRDefault="00CB3313">
      <w:r w:rsidRPr="008106D1">
        <w:continuationSeparator/>
      </w:r>
    </w:p>
  </w:footnote>
  <w:footnote w:id="1">
    <w:p w14:paraId="7B27DF1C" w14:textId="77777777" w:rsidR="00B70F66" w:rsidRPr="00385E20" w:rsidRDefault="00B70F66" w:rsidP="008106D1">
      <w:pPr>
        <w:pStyle w:val="FootnoteText"/>
        <w:ind w:left="567" w:hanging="567"/>
        <w:rPr>
          <w:sz w:val="24"/>
        </w:rPr>
      </w:pPr>
      <w:r w:rsidRPr="008106D1">
        <w:rPr>
          <w:rStyle w:val="FootnoteReference"/>
          <w:sz w:val="24"/>
          <w:lang w:val="da-DK"/>
        </w:rPr>
        <w:footnoteRef/>
      </w:r>
      <w:r w:rsidR="008106D1" w:rsidRPr="00385E20">
        <w:rPr>
          <w:sz w:val="24"/>
        </w:rPr>
        <w:t xml:space="preserve"> </w:t>
      </w:r>
      <w:r w:rsidR="008106D1" w:rsidRPr="00385E20">
        <w:rPr>
          <w:sz w:val="24"/>
        </w:rPr>
        <w:tab/>
      </w:r>
      <w:r w:rsidRPr="00385E20">
        <w:rPr>
          <w:sz w:val="24"/>
        </w:rPr>
        <w:t>EUT C, C/2023/594, 27.10.2023.</w:t>
      </w:r>
    </w:p>
  </w:footnote>
  <w:footnote w:id="2">
    <w:p w14:paraId="43A727BD" w14:textId="77777777" w:rsidR="00B70F66" w:rsidRPr="00385E20" w:rsidRDefault="00B70F66" w:rsidP="008106D1">
      <w:pPr>
        <w:pStyle w:val="FootnoteText"/>
        <w:ind w:left="567" w:hanging="567"/>
        <w:rPr>
          <w:sz w:val="24"/>
        </w:rPr>
      </w:pPr>
      <w:r w:rsidRPr="008106D1">
        <w:rPr>
          <w:rStyle w:val="FootnoteReference"/>
          <w:sz w:val="24"/>
          <w:lang w:val="da-DK"/>
        </w:rPr>
        <w:footnoteRef/>
      </w:r>
      <w:r w:rsidR="008106D1" w:rsidRPr="00385E20">
        <w:rPr>
          <w:sz w:val="24"/>
        </w:rPr>
        <w:t xml:space="preserve"> </w:t>
      </w:r>
      <w:r w:rsidR="008106D1" w:rsidRPr="00385E20">
        <w:rPr>
          <w:sz w:val="24"/>
        </w:rPr>
        <w:tab/>
      </w:r>
      <w:r w:rsidRPr="00385E20">
        <w:rPr>
          <w:sz w:val="24"/>
        </w:rPr>
        <w:t>EUT C, C/2023/112, 12.10.2023.</w:t>
      </w:r>
    </w:p>
  </w:footnote>
  <w:footnote w:id="3">
    <w:p w14:paraId="7EAC4D28"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193 af 30.7.2018, s. 1.</w:t>
      </w:r>
    </w:p>
  </w:footnote>
  <w:footnote w:id="4">
    <w:p w14:paraId="3318ED05"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376 af 27.12.2006, s. 1.</w:t>
      </w:r>
    </w:p>
  </w:footnote>
  <w:footnote w:id="5">
    <w:p w14:paraId="5E49AB76" w14:textId="77777777" w:rsidR="00B70F66" w:rsidRPr="008106D1" w:rsidRDefault="00B70F66" w:rsidP="008106D1">
      <w:pPr>
        <w:pStyle w:val="FootnoteText"/>
        <w:ind w:left="567" w:hanging="567"/>
        <w:rPr>
          <w:sz w:val="24"/>
          <w:szCs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166 af 30.6.2023, s. 6.</w:t>
      </w:r>
    </w:p>
  </w:footnote>
  <w:footnote w:id="6">
    <w:p w14:paraId="4B43B51E" w14:textId="77777777" w:rsidR="00B70F66" w:rsidRPr="008106D1" w:rsidRDefault="00B70F66" w:rsidP="008106D1">
      <w:pPr>
        <w:pStyle w:val="FootnoteText"/>
        <w:ind w:left="567" w:hanging="567"/>
        <w:rPr>
          <w:sz w:val="24"/>
          <w:szCs w:val="24"/>
          <w:lang w:val="da-DK"/>
        </w:rPr>
      </w:pPr>
      <w:r w:rsidRPr="008106D1">
        <w:rPr>
          <w:rStyle w:val="FootnoteReference"/>
          <w:sz w:val="24"/>
          <w:szCs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122 af 10.5.2019, s. 1.</w:t>
      </w:r>
    </w:p>
  </w:footnote>
  <w:footnote w:id="7">
    <w:p w14:paraId="7F882546" w14:textId="77777777" w:rsidR="00B70F66" w:rsidRPr="00385E20" w:rsidRDefault="00B70F66" w:rsidP="008106D1">
      <w:pPr>
        <w:pStyle w:val="FootnoteText"/>
        <w:ind w:left="567" w:hanging="567"/>
        <w:rPr>
          <w:sz w:val="24"/>
        </w:rPr>
      </w:pPr>
      <w:r w:rsidRPr="008106D1">
        <w:rPr>
          <w:rStyle w:val="FootnoteReference"/>
          <w:sz w:val="24"/>
          <w:lang w:val="da-DK"/>
        </w:rPr>
        <w:footnoteRef/>
      </w:r>
      <w:r w:rsidR="008106D1" w:rsidRPr="00385E20">
        <w:rPr>
          <w:sz w:val="24"/>
        </w:rPr>
        <w:t xml:space="preserve"> </w:t>
      </w:r>
      <w:r w:rsidR="008106D1" w:rsidRPr="00385E20">
        <w:rPr>
          <w:sz w:val="24"/>
        </w:rPr>
        <w:tab/>
      </w:r>
      <w:r w:rsidRPr="00385E20">
        <w:rPr>
          <w:sz w:val="24"/>
        </w:rPr>
        <w:t>EUT C, C/2023/594, 27.10.2023.</w:t>
      </w:r>
    </w:p>
  </w:footnote>
  <w:footnote w:id="8">
    <w:p w14:paraId="250AE56B" w14:textId="77777777" w:rsidR="00B70F66" w:rsidRPr="00385E20" w:rsidRDefault="00B70F66" w:rsidP="008106D1">
      <w:pPr>
        <w:pStyle w:val="FootnoteText"/>
        <w:ind w:left="567" w:hanging="567"/>
        <w:rPr>
          <w:sz w:val="24"/>
        </w:rPr>
      </w:pPr>
      <w:r w:rsidRPr="008106D1">
        <w:rPr>
          <w:rStyle w:val="FootnoteReference"/>
          <w:sz w:val="24"/>
          <w:lang w:val="da-DK"/>
        </w:rPr>
        <w:footnoteRef/>
      </w:r>
      <w:r w:rsidR="008106D1" w:rsidRPr="00385E20">
        <w:rPr>
          <w:sz w:val="24"/>
        </w:rPr>
        <w:t xml:space="preserve"> </w:t>
      </w:r>
      <w:r w:rsidR="008106D1" w:rsidRPr="00385E20">
        <w:rPr>
          <w:sz w:val="24"/>
        </w:rPr>
        <w:tab/>
      </w:r>
      <w:r w:rsidRPr="00385E20">
        <w:rPr>
          <w:sz w:val="24"/>
        </w:rPr>
        <w:t>EUT C, C/2023/112, 12.10.2023.</w:t>
      </w:r>
    </w:p>
  </w:footnote>
  <w:footnote w:id="9">
    <w:p w14:paraId="2E0FFE6F"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193 af 30.7.2018, s. 1.</w:t>
      </w:r>
    </w:p>
  </w:footnote>
  <w:footnote w:id="10">
    <w:p w14:paraId="36A0A385"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376 af 27.12.2006, s. 1.</w:t>
      </w:r>
    </w:p>
  </w:footnote>
  <w:footnote w:id="11">
    <w:p w14:paraId="4BADEBD3" w14:textId="77777777" w:rsidR="00B70F66" w:rsidRPr="008106D1" w:rsidRDefault="00B70F66" w:rsidP="008106D1">
      <w:pPr>
        <w:pStyle w:val="FootnoteText"/>
        <w:ind w:left="567" w:hanging="567"/>
        <w:rPr>
          <w:sz w:val="24"/>
          <w:szCs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166 af 30.6.2023, s. 6.</w:t>
      </w:r>
    </w:p>
  </w:footnote>
  <w:footnote w:id="12">
    <w:p w14:paraId="6A3CD491"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L 122 af 10.5.2019, s. 1.</w:t>
      </w:r>
    </w:p>
  </w:footnote>
  <w:footnote w:id="13">
    <w:p w14:paraId="3AB3B37D"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EUT C 141/06 af 29.3.2022, s. 33.</w:t>
      </w:r>
    </w:p>
  </w:footnote>
  <w:footnote w:id="14">
    <w:p w14:paraId="1AF9A312" w14:textId="77777777"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Europa-Parlamentets og Rådets direktiv 2008/104/EF af 19. november 2008 om vikararbejde (EUT L 327 af 5.12.2008, s. 9).</w:t>
      </w:r>
    </w:p>
  </w:footnote>
  <w:footnote w:id="15">
    <w:p w14:paraId="75F1A926" w14:textId="06EEF94B" w:rsidR="00B70F66" w:rsidRPr="008106D1" w:rsidRDefault="00B70F66" w:rsidP="008106D1">
      <w:pPr>
        <w:pStyle w:val="FootnoteText"/>
        <w:ind w:left="567" w:hanging="567"/>
        <w:rPr>
          <w:sz w:val="24"/>
          <w:lang w:val="da-DK"/>
        </w:rPr>
      </w:pPr>
      <w:r w:rsidRPr="008106D1">
        <w:rPr>
          <w:rStyle w:val="FootnoteReference"/>
          <w:sz w:val="24"/>
          <w:lang w:val="da-DK"/>
        </w:rPr>
        <w:footnoteRef/>
      </w:r>
      <w:r w:rsidR="008106D1" w:rsidRPr="008106D1">
        <w:rPr>
          <w:sz w:val="24"/>
          <w:lang w:val="da-DK"/>
        </w:rPr>
        <w:t xml:space="preserve"> </w:t>
      </w:r>
      <w:r w:rsidR="008106D1" w:rsidRPr="008106D1">
        <w:rPr>
          <w:sz w:val="24"/>
          <w:lang w:val="da-DK"/>
        </w:rPr>
        <w:tab/>
      </w:r>
      <w:r w:rsidRPr="008106D1">
        <w:rPr>
          <w:sz w:val="24"/>
          <w:lang w:val="da-DK"/>
        </w:rPr>
        <w:t>Vedtagne tekster, P9_TA(2024)0</w:t>
      </w:r>
      <w:r w:rsidR="00EB71A6">
        <w:rPr>
          <w:sz w:val="24"/>
          <w:lang w:val="da-DK"/>
        </w:rPr>
        <w:t>280</w:t>
      </w:r>
      <w:r w:rsidRPr="008106D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4E768" w14:textId="77777777" w:rsidR="00B70F66" w:rsidRPr="008106D1" w:rsidRDefault="00B7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228F3" w14:textId="77777777" w:rsidR="00B70F66" w:rsidRPr="008106D1" w:rsidRDefault="00B7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DAD9" w14:textId="77777777" w:rsidR="00B70F66" w:rsidRPr="008106D1" w:rsidRDefault="00B70F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EBE6" w14:textId="77777777" w:rsidR="00064002" w:rsidRPr="008106D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1836" w14:textId="77777777" w:rsidR="00064002" w:rsidRPr="008106D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4A7A1" w14:textId="77777777" w:rsidR="00064002" w:rsidRPr="008106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DA"/>
    <w:docVar w:name="dvnumam" w:val="0"/>
    <w:docVar w:name="dvpe" w:val="753.525"/>
    <w:docVar w:name="dvrapporteur" w:val="Ordfører: "/>
    <w:docVar w:name="dvtitre" w:val="Europa-Parlamentets afgørelse af xx.xx 2024 om decharge for gennemførelsen af budgettet for Det Europæiske Overvågningscenter for Narkotika og Narkotikamisbrug for regnskabsåret 2022(2023/2157(DEC))"/>
  </w:docVars>
  <w:rsids>
    <w:rsidRoot w:val="00CB3313"/>
    <w:rsid w:val="00002272"/>
    <w:rsid w:val="00064002"/>
    <w:rsid w:val="000677B9"/>
    <w:rsid w:val="000831BA"/>
    <w:rsid w:val="000A42CC"/>
    <w:rsid w:val="000E7DD9"/>
    <w:rsid w:val="0010095E"/>
    <w:rsid w:val="00125B37"/>
    <w:rsid w:val="00187494"/>
    <w:rsid w:val="001B2368"/>
    <w:rsid w:val="001F32AE"/>
    <w:rsid w:val="002767FF"/>
    <w:rsid w:val="002B18FE"/>
    <w:rsid w:val="002B5493"/>
    <w:rsid w:val="00343214"/>
    <w:rsid w:val="00361C00"/>
    <w:rsid w:val="00385E2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06D1"/>
    <w:rsid w:val="00817416"/>
    <w:rsid w:val="00842779"/>
    <w:rsid w:val="00865F67"/>
    <w:rsid w:val="00881A7B"/>
    <w:rsid w:val="008840E5"/>
    <w:rsid w:val="00887B3E"/>
    <w:rsid w:val="008C2AC6"/>
    <w:rsid w:val="008D705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F66"/>
    <w:rsid w:val="00BD48FE"/>
    <w:rsid w:val="00BD636A"/>
    <w:rsid w:val="00BD7BD8"/>
    <w:rsid w:val="00BE6ADC"/>
    <w:rsid w:val="00C05BFE"/>
    <w:rsid w:val="00C23CD4"/>
    <w:rsid w:val="00C61C0C"/>
    <w:rsid w:val="00C941CB"/>
    <w:rsid w:val="00CB3313"/>
    <w:rsid w:val="00CC2357"/>
    <w:rsid w:val="00CF071A"/>
    <w:rsid w:val="00D058B8"/>
    <w:rsid w:val="00D4684A"/>
    <w:rsid w:val="00D56C11"/>
    <w:rsid w:val="00D834A0"/>
    <w:rsid w:val="00D872DF"/>
    <w:rsid w:val="00D91E21"/>
    <w:rsid w:val="00DA7FCD"/>
    <w:rsid w:val="00E365E1"/>
    <w:rsid w:val="00E820A4"/>
    <w:rsid w:val="00EB006A"/>
    <w:rsid w:val="00EB4772"/>
    <w:rsid w:val="00EB71A6"/>
    <w:rsid w:val="00ED169E"/>
    <w:rsid w:val="00ED4235"/>
    <w:rsid w:val="00F04346"/>
    <w:rsid w:val="00F075DC"/>
    <w:rsid w:val="00F149E9"/>
    <w:rsid w:val="00F5134D"/>
    <w:rsid w:val="00F74202"/>
    <w:rsid w:val="00F87713"/>
    <w:rsid w:val="00FB4360"/>
    <w:rsid w:val="00FC339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A4614"/>
  <w15:chartTrackingRefBased/>
  <w15:docId w15:val="{132A899B-E904-4F5C-A982-81F9FBE6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F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F66"/>
    <w:pPr>
      <w:spacing w:before="480" w:after="240"/>
    </w:pPr>
  </w:style>
  <w:style w:type="paragraph" w:customStyle="1" w:styleId="PageHeading">
    <w:name w:val="PageHeading"/>
    <w:basedOn w:val="Normal"/>
    <w:rsid w:val="00B70F66"/>
    <w:pPr>
      <w:keepNext/>
      <w:spacing w:after="480"/>
      <w:jc w:val="center"/>
    </w:pPr>
    <w:rPr>
      <w:rFonts w:ascii="Arial" w:hAnsi="Arial" w:cs="Arial"/>
      <w:b/>
    </w:rPr>
  </w:style>
  <w:style w:type="paragraph" w:customStyle="1" w:styleId="NormalBold">
    <w:name w:val="NormalBold"/>
    <w:basedOn w:val="Normal"/>
    <w:rsid w:val="00B70F66"/>
    <w:rPr>
      <w:b/>
    </w:rPr>
  </w:style>
  <w:style w:type="paragraph" w:customStyle="1" w:styleId="NormalHanging12a">
    <w:name w:val="NormalHanging12a"/>
    <w:basedOn w:val="Normal"/>
    <w:link w:val="NormalHanging12aChar"/>
    <w:rsid w:val="00B70F66"/>
    <w:pPr>
      <w:spacing w:after="240"/>
      <w:ind w:left="567" w:hanging="567"/>
    </w:pPr>
  </w:style>
  <w:style w:type="paragraph" w:customStyle="1" w:styleId="NormalCenter12a">
    <w:name w:val="NormalCenter12a"/>
    <w:basedOn w:val="Normal"/>
    <w:rsid w:val="00B70F66"/>
    <w:pPr>
      <w:spacing w:after="240"/>
      <w:jc w:val="center"/>
    </w:pPr>
  </w:style>
  <w:style w:type="paragraph" w:styleId="Header">
    <w:name w:val="header"/>
    <w:basedOn w:val="Normal"/>
    <w:link w:val="HeaderChar"/>
    <w:rsid w:val="00B70F66"/>
    <w:pPr>
      <w:tabs>
        <w:tab w:val="center" w:pos="4513"/>
        <w:tab w:val="right" w:pos="9026"/>
      </w:tabs>
    </w:pPr>
  </w:style>
  <w:style w:type="character" w:customStyle="1" w:styleId="HeaderChar">
    <w:name w:val="Header Char"/>
    <w:basedOn w:val="DefaultParagraphFont"/>
    <w:link w:val="Header"/>
    <w:rsid w:val="00B70F66"/>
    <w:rPr>
      <w:sz w:val="24"/>
      <w:lang w:val="da-DK"/>
    </w:rPr>
  </w:style>
  <w:style w:type="paragraph" w:customStyle="1" w:styleId="EPFooter">
    <w:name w:val="EPFooter"/>
    <w:basedOn w:val="Normal"/>
    <w:rsid w:val="00B70F6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70F66"/>
    <w:rPr>
      <w:sz w:val="24"/>
      <w:lang w:val="da-DK"/>
    </w:rPr>
  </w:style>
  <w:style w:type="paragraph" w:customStyle="1" w:styleId="Normal12Hanging">
    <w:name w:val="Normal12Hanging"/>
    <w:basedOn w:val="Normal"/>
    <w:rsid w:val="00B70F66"/>
    <w:pPr>
      <w:spacing w:after="240"/>
      <w:ind w:left="567" w:hanging="567"/>
    </w:pPr>
  </w:style>
  <w:style w:type="paragraph" w:customStyle="1" w:styleId="Normal24a">
    <w:name w:val="Normal24a"/>
    <w:basedOn w:val="Normal"/>
    <w:rsid w:val="00B70F66"/>
    <w:pPr>
      <w:spacing w:after="480"/>
    </w:pPr>
  </w:style>
  <w:style w:type="paragraph" w:customStyle="1" w:styleId="Normal12a">
    <w:name w:val="Normal12a"/>
    <w:basedOn w:val="Normal"/>
    <w:rsid w:val="00B70F66"/>
    <w:pPr>
      <w:spacing w:after="240"/>
    </w:pPr>
  </w:style>
  <w:style w:type="paragraph" w:customStyle="1" w:styleId="PageHeadingNotTOC">
    <w:name w:val="PageHeadingNotTOC"/>
    <w:basedOn w:val="Normal"/>
    <w:rsid w:val="00B70F66"/>
    <w:pPr>
      <w:keepNext/>
      <w:spacing w:after="480"/>
      <w:jc w:val="center"/>
    </w:pPr>
    <w:rPr>
      <w:rFonts w:ascii="Arial" w:hAnsi="Arial" w:cs="Arial"/>
      <w:b/>
    </w:rPr>
  </w:style>
  <w:style w:type="paragraph" w:styleId="BalloonText">
    <w:name w:val="Balloon Text"/>
    <w:basedOn w:val="Normal"/>
    <w:link w:val="BalloonTextChar"/>
    <w:rsid w:val="00BD636A"/>
    <w:rPr>
      <w:rFonts w:ascii="Segoe UI" w:hAnsi="Segoe UI" w:cs="Segoe UI"/>
      <w:sz w:val="18"/>
      <w:szCs w:val="18"/>
    </w:rPr>
  </w:style>
  <w:style w:type="character" w:customStyle="1" w:styleId="BalloonTextChar">
    <w:name w:val="Balloon Text Char"/>
    <w:basedOn w:val="DefaultParagraphFont"/>
    <w:link w:val="BalloonText"/>
    <w:rsid w:val="00BD636A"/>
    <w:rPr>
      <w:rFonts w:ascii="Segoe UI" w:hAnsi="Segoe UI" w:cs="Segoe UI"/>
      <w:sz w:val="18"/>
      <w:szCs w:val="18"/>
      <w:lang w:val="da-DK"/>
    </w:rPr>
  </w:style>
  <w:style w:type="character" w:styleId="CommentReference">
    <w:name w:val="annotation reference"/>
    <w:basedOn w:val="DefaultParagraphFont"/>
    <w:rsid w:val="001B2368"/>
    <w:rPr>
      <w:sz w:val="16"/>
      <w:szCs w:val="16"/>
    </w:rPr>
  </w:style>
  <w:style w:type="paragraph" w:styleId="CommentText">
    <w:name w:val="annotation text"/>
    <w:basedOn w:val="Normal"/>
    <w:link w:val="CommentTextChar"/>
    <w:rsid w:val="001B2368"/>
    <w:rPr>
      <w:sz w:val="20"/>
    </w:rPr>
  </w:style>
  <w:style w:type="character" w:customStyle="1" w:styleId="CommentTextChar">
    <w:name w:val="Comment Text Char"/>
    <w:basedOn w:val="DefaultParagraphFont"/>
    <w:link w:val="CommentText"/>
    <w:rsid w:val="001B2368"/>
    <w:rPr>
      <w:lang w:val="da-DK"/>
    </w:rPr>
  </w:style>
  <w:style w:type="paragraph" w:styleId="CommentSubject">
    <w:name w:val="annotation subject"/>
    <w:basedOn w:val="CommentText"/>
    <w:next w:val="CommentText"/>
    <w:link w:val="CommentSubjectChar"/>
    <w:rsid w:val="001B2368"/>
    <w:rPr>
      <w:b/>
      <w:bCs/>
    </w:rPr>
  </w:style>
  <w:style w:type="character" w:customStyle="1" w:styleId="CommentSubjectChar">
    <w:name w:val="Comment Subject Char"/>
    <w:basedOn w:val="CommentTextChar"/>
    <w:link w:val="CommentSubject"/>
    <w:rsid w:val="001B236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2A6AC-226F-40C9-A525-36D6F4581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3451</Words>
  <Characters>21612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2024-04-11T15:13:00Z</dcterms:created>
  <dcterms:modified xsi:type="dcterms:W3CDTF">2024-04-11T15:13:00Z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A9-0104/2024</vt:lpwstr>
  </property>
  <property fmtid="{D5CDD505-2E9C-101B-9397-08002B2CF9AE}" pid="4" name="&lt;Type&gt;">
    <vt:lpwstr>RR</vt:lpwstr>
  </property>
</Properties>
</file>