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4B1" w:rsidTr="0010095E">
        <w:trPr>
          <w:trHeight w:hRule="exact" w:val="1418"/>
        </w:trPr>
        <w:tc>
          <w:tcPr>
            <w:tcW w:w="6804" w:type="dxa"/>
            <w:shd w:val="clear" w:color="auto" w:fill="auto"/>
            <w:vAlign w:val="center"/>
          </w:tcPr>
          <w:p w:rsidR="00751A4A" w:rsidRPr="00BE04B1" w:rsidRDefault="007E54C2" w:rsidP="0010095E">
            <w:pPr>
              <w:pStyle w:val="EPName"/>
            </w:pPr>
            <w:r w:rsidRPr="00BE04B1">
              <w:t>Ευρωπαϊκό Κοινοβούλιο</w:t>
            </w:r>
          </w:p>
          <w:p w:rsidR="00751A4A" w:rsidRPr="00BE04B1" w:rsidRDefault="00817416" w:rsidP="00756632">
            <w:pPr>
              <w:pStyle w:val="EPTerm"/>
              <w:rPr>
                <w:rStyle w:val="HideTWBExt"/>
                <w:noProof w:val="0"/>
                <w:vanish w:val="0"/>
                <w:color w:val="auto"/>
              </w:rPr>
            </w:pPr>
            <w:r w:rsidRPr="00BE04B1">
              <w:t>2019-2024</w:t>
            </w:r>
          </w:p>
        </w:tc>
        <w:tc>
          <w:tcPr>
            <w:tcW w:w="2268" w:type="dxa"/>
            <w:shd w:val="clear" w:color="auto" w:fill="auto"/>
          </w:tcPr>
          <w:p w:rsidR="00751A4A" w:rsidRPr="00BE04B1" w:rsidRDefault="00187494" w:rsidP="0010095E">
            <w:pPr>
              <w:pStyle w:val="EPLogo"/>
            </w:pPr>
            <w:r w:rsidRPr="00BE04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04B1" w:rsidRDefault="00D058B8" w:rsidP="004C5D52">
      <w:pPr>
        <w:pStyle w:val="LineTop"/>
      </w:pPr>
    </w:p>
    <w:p w:rsidR="00680577" w:rsidRPr="00BE04B1" w:rsidRDefault="007E54C2" w:rsidP="00680577">
      <w:pPr>
        <w:pStyle w:val="EPBodyTA1"/>
      </w:pPr>
      <w:r w:rsidRPr="00BE04B1">
        <w:t>ΚΕΙΜΕΝΑ ΠΟΥ ΕΓΚΡΙΘΗΚΑΝ</w:t>
      </w:r>
    </w:p>
    <w:p w:rsidR="00D058B8" w:rsidRPr="00BE04B1" w:rsidRDefault="00D058B8" w:rsidP="00D058B8">
      <w:pPr>
        <w:pStyle w:val="LineBottom"/>
      </w:pPr>
    </w:p>
    <w:p w:rsidR="007E54C2" w:rsidRPr="00BE04B1" w:rsidRDefault="007E54C2" w:rsidP="007E54C2">
      <w:pPr>
        <w:pStyle w:val="ATHeading1"/>
      </w:pPr>
      <w:bookmarkStart w:id="0" w:name="TANumber"/>
      <w:r w:rsidRPr="00BE04B1">
        <w:t>P9_TA(2024)0</w:t>
      </w:r>
      <w:r w:rsidR="00BE04B1">
        <w:t>241</w:t>
      </w:r>
      <w:bookmarkEnd w:id="0"/>
    </w:p>
    <w:p w:rsidR="007E54C2" w:rsidRPr="00BE04B1" w:rsidRDefault="007E54C2" w:rsidP="007E54C2">
      <w:pPr>
        <w:pStyle w:val="ATHeading2"/>
      </w:pPr>
      <w:bookmarkStart w:id="1" w:name="title"/>
      <w:r w:rsidRPr="00BE04B1">
        <w:t>Απαλλαγή 2022: Ευρωπαϊκό Κέντρο Παρακολούθησης Ναρκωτικών και Τοξικομανίας</w:t>
      </w:r>
      <w:bookmarkEnd w:id="1"/>
    </w:p>
    <w:p w:rsidR="007E54C2" w:rsidRPr="00BE04B1" w:rsidRDefault="007E54C2" w:rsidP="007E54C2">
      <w:pPr>
        <w:rPr>
          <w:i/>
          <w:vanish/>
        </w:rPr>
      </w:pPr>
      <w:r w:rsidRPr="00BE04B1">
        <w:rPr>
          <w:i/>
        </w:rPr>
        <w:fldChar w:fldCharType="begin"/>
      </w:r>
      <w:r w:rsidRPr="00BE04B1">
        <w:rPr>
          <w:i/>
        </w:rPr>
        <w:instrText xml:space="preserve"> TC"(</w:instrText>
      </w:r>
      <w:bookmarkStart w:id="2" w:name="DocNumber"/>
      <w:r w:rsidRPr="00BE04B1">
        <w:rPr>
          <w:i/>
        </w:rPr>
        <w:instrText>A9-0104/2024</w:instrText>
      </w:r>
      <w:bookmarkEnd w:id="2"/>
      <w:r w:rsidRPr="00BE04B1">
        <w:rPr>
          <w:i/>
        </w:rPr>
        <w:instrText xml:space="preserve"> - Εισηγητής: Petri Sarvamaa)"\l3 \n&gt; \* MERGEFORMAT </w:instrText>
      </w:r>
      <w:r w:rsidRPr="00BE04B1">
        <w:rPr>
          <w:i/>
        </w:rPr>
        <w:fldChar w:fldCharType="end"/>
      </w:r>
    </w:p>
    <w:p w:rsidR="007E54C2" w:rsidRPr="00BE04B1" w:rsidRDefault="007E54C2" w:rsidP="007E54C2">
      <w:pPr>
        <w:rPr>
          <w:vanish/>
        </w:rPr>
      </w:pPr>
      <w:bookmarkStart w:id="3" w:name="Commission"/>
      <w:r w:rsidRPr="00BE04B1">
        <w:rPr>
          <w:vanish/>
        </w:rPr>
        <w:t>Επιτροπή Ελέγχου του Προϋπολογισμού</w:t>
      </w:r>
      <w:bookmarkEnd w:id="3"/>
    </w:p>
    <w:p w:rsidR="007E54C2" w:rsidRPr="00BE04B1" w:rsidRDefault="007E54C2" w:rsidP="007E54C2">
      <w:pPr>
        <w:rPr>
          <w:vanish/>
        </w:rPr>
      </w:pPr>
      <w:bookmarkStart w:id="4" w:name="PE"/>
      <w:r w:rsidRPr="00BE04B1">
        <w:rPr>
          <w:vanish/>
        </w:rPr>
        <w:t>PE753.525</w:t>
      </w:r>
      <w:bookmarkEnd w:id="4"/>
    </w:p>
    <w:p w:rsidR="007E54C2" w:rsidRPr="00BE04B1" w:rsidRDefault="00D41DD4" w:rsidP="007E54C2">
      <w:pPr>
        <w:pStyle w:val="ATHeading3"/>
      </w:pPr>
      <w:bookmarkStart w:id="5" w:name="Sujet"/>
      <w:r w:rsidRPr="00BE04B1">
        <w:t>1. Α</w:t>
      </w:r>
      <w:r w:rsidR="007E54C2" w:rsidRPr="00BE04B1">
        <w:t xml:space="preserve">πόφαση του Ευρωπαϊκού Κοινοβουλίου </w:t>
      </w:r>
      <w:r w:rsidRPr="00BE04B1">
        <w:t xml:space="preserve">της 11ης Απριλίου 2024 </w:t>
      </w:r>
      <w:r w:rsidR="007E54C2" w:rsidRPr="00BE04B1">
        <w:t>σχετικά με την απαλλαγή όσον αφορά την εκτέλεση του προϋπολογισμού του Ευρωπαϊκού Κέντρου Παρακολούθησης Ναρκωτικών και Τοξικομανίας για το οικονομικό έτος 2022</w:t>
      </w:r>
      <w:bookmarkEnd w:id="5"/>
      <w:r w:rsidR="007E54C2" w:rsidRPr="00BE04B1">
        <w:t xml:space="preserve"> </w:t>
      </w:r>
      <w:bookmarkStart w:id="6" w:name="References"/>
      <w:r w:rsidR="007E54C2" w:rsidRPr="00BE04B1">
        <w:t>(2023/2157(DEC))</w:t>
      </w:r>
      <w:bookmarkEnd w:id="6"/>
    </w:p>
    <w:p w:rsidR="00CF38D2" w:rsidRPr="00BE04B1" w:rsidRDefault="00CF38D2" w:rsidP="00CF38D2">
      <w:pPr>
        <w:pStyle w:val="EPComma"/>
      </w:pPr>
      <w:bookmarkStart w:id="7" w:name="TextBodyBegin"/>
      <w:bookmarkEnd w:id="7"/>
      <w:r w:rsidRPr="00BE04B1">
        <w:rPr>
          <w:i/>
        </w:rPr>
        <w:t>Το Ευρωπαϊκό Κοινοβούλιο</w:t>
      </w:r>
      <w:r w:rsidRPr="00BE04B1">
        <w:t>,</w:t>
      </w:r>
    </w:p>
    <w:p w:rsidR="00CF38D2" w:rsidRPr="00BE04B1" w:rsidRDefault="00CF38D2" w:rsidP="00D41DD4">
      <w:pPr>
        <w:pStyle w:val="NormalHanging12a"/>
        <w:widowControl/>
      </w:pPr>
      <w:r w:rsidRPr="00BE04B1">
        <w:t>–</w:t>
      </w:r>
      <w:r w:rsidRPr="00BE04B1">
        <w:tab/>
        <w:t>έχοντας υπόψη τους οριστικούς ετήσιους λογαριασμούς του Ευρωπαϊκού Κέντρου Παρακολούθησης Ναρκωτικών και Τοξικομανίας για το οικονομικό έτος 2022,</w:t>
      </w:r>
    </w:p>
    <w:p w:rsidR="00CF38D2" w:rsidRPr="00BE04B1" w:rsidRDefault="00CF38D2" w:rsidP="00D41DD4">
      <w:pPr>
        <w:pStyle w:val="NormalHanging12a"/>
        <w:widowControl/>
      </w:pPr>
      <w:r w:rsidRPr="00BE04B1">
        <w:t>–</w:t>
      </w:r>
      <w:r w:rsidRPr="00BE04B1">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BE04B1">
        <w:rPr>
          <w:rStyle w:val="FootnoteReference"/>
        </w:rPr>
        <w:footnoteReference w:id="1"/>
      </w:r>
      <w:r w:rsidRPr="00BE04B1">
        <w:t>,</w:t>
      </w:r>
    </w:p>
    <w:p w:rsidR="00CF38D2" w:rsidRPr="00BE04B1" w:rsidRDefault="00CF38D2" w:rsidP="00D41DD4">
      <w:pPr>
        <w:pStyle w:val="NormalHanging12a"/>
        <w:widowControl/>
      </w:pPr>
      <w:r w:rsidRPr="00BE04B1">
        <w:t>–</w:t>
      </w:r>
      <w:r w:rsidRPr="00BE04B1">
        <w:tab/>
        <w:t>έχοντας υπόψη τη δήλωση αξιοπιστίας</w:t>
      </w:r>
      <w:r w:rsidRPr="00BE04B1">
        <w:rPr>
          <w:rStyle w:val="FootnoteReference"/>
        </w:rPr>
        <w:footnoteReference w:id="2"/>
      </w:r>
      <w:r w:rsidRPr="00BE04B1">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CF38D2" w:rsidRPr="00BE04B1" w:rsidRDefault="00CF38D2" w:rsidP="00D41DD4">
      <w:pPr>
        <w:pStyle w:val="NormalHanging12a"/>
        <w:widowControl/>
      </w:pPr>
      <w:r w:rsidRPr="00BE04B1">
        <w:t>–</w:t>
      </w:r>
      <w:r w:rsidRPr="00BE04B1">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(0</w:t>
      </w:r>
      <w:r w:rsidR="000B25F1" w:rsidRPr="00BE04B1">
        <w:t>618</w:t>
      </w:r>
      <w:r w:rsidRPr="00BE04B1">
        <w:t>0/2024 – C9-00</w:t>
      </w:r>
      <w:r w:rsidR="000B25F1" w:rsidRPr="00BE04B1">
        <w:t>95</w:t>
      </w:r>
      <w:r w:rsidRPr="00BE04B1">
        <w:t>/2024),</w:t>
      </w:r>
    </w:p>
    <w:p w:rsidR="00CF38D2" w:rsidRPr="00BE04B1" w:rsidRDefault="00CF38D2" w:rsidP="00D41DD4">
      <w:pPr>
        <w:pStyle w:val="NormalHanging12a"/>
        <w:widowControl/>
      </w:pPr>
      <w:r w:rsidRPr="00BE04B1">
        <w:t>–</w:t>
      </w:r>
      <w:r w:rsidRPr="00BE04B1">
        <w:tab/>
        <w:t>έχοντας υπόψη το άρθρο 319 της Συνθήκης για τη λειτουργία της Ευρωπαϊκής Ένωσης,</w:t>
      </w:r>
    </w:p>
    <w:p w:rsidR="00CF38D2" w:rsidRPr="00BE04B1" w:rsidRDefault="00CF38D2" w:rsidP="00D41DD4">
      <w:pPr>
        <w:pStyle w:val="NormalHanging12a"/>
        <w:widowControl/>
      </w:pPr>
      <w:r w:rsidRPr="00BE04B1">
        <w:t>–</w:t>
      </w:r>
      <w:r w:rsidRPr="00BE04B1">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BE04B1">
        <w:lastRenderedPageBreak/>
        <w:t>(ΕΕ) αριθ. 223/2014, (ΕΕ) αριθ. 283/2014 και της απόφασης αριθ. 541/2014/ΕΕ και για την κατάργηση του κανονισμού (ΕΕ, Ευρατόμ) αριθ. 966/2012</w:t>
      </w:r>
      <w:r w:rsidRPr="00BE04B1">
        <w:rPr>
          <w:rStyle w:val="FootnoteReference"/>
        </w:rPr>
        <w:footnoteReference w:id="3"/>
      </w:r>
      <w:r w:rsidRPr="00BE04B1">
        <w:t>, και ιδίως το άρθρο 70,</w:t>
      </w:r>
    </w:p>
    <w:p w:rsidR="00CF38D2" w:rsidRPr="00BE04B1" w:rsidRDefault="00CF38D2" w:rsidP="00D41DD4">
      <w:pPr>
        <w:pStyle w:val="NormalHanging12a"/>
        <w:widowControl/>
      </w:pPr>
      <w:r w:rsidRPr="00BE04B1">
        <w:t>–</w:t>
      </w:r>
      <w:r w:rsidRPr="00BE04B1">
        <w:tab/>
        <w:t>έχοντας υπόψη τον κανονισμό (ΕΚ) αριθ. 1920/2006 του Ευρωπαϊκού Κοινοβουλίου και του Συμβουλίου, της 12ης Δεκεμβρίου 2006, σχετικά με το Ευρωπαϊκό Κέντρο Παρακολούθησης Ναρκωτικών και Τοξικομανίας</w:t>
      </w:r>
      <w:r w:rsidRPr="00BE04B1">
        <w:rPr>
          <w:rStyle w:val="FootnoteReference"/>
        </w:rPr>
        <w:footnoteReference w:id="4"/>
      </w:r>
      <w:r w:rsidRPr="00BE04B1">
        <w:t>, και ιδίως το άρθρο 15,</w:t>
      </w:r>
    </w:p>
    <w:p w:rsidR="00CF38D2" w:rsidRPr="00BE04B1" w:rsidRDefault="00CF38D2" w:rsidP="00D41DD4">
      <w:pPr>
        <w:pStyle w:val="NormalHanging12a"/>
        <w:widowControl/>
      </w:pPr>
      <w:r w:rsidRPr="00BE04B1">
        <w:t>–</w:t>
      </w:r>
      <w:r w:rsidRPr="00BE04B1">
        <w:tab/>
        <w:t>έχοντας υπόψη τον κανονισμό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αριθ. 1920/2006</w:t>
      </w:r>
      <w:r w:rsidRPr="00BE04B1">
        <w:rPr>
          <w:rStyle w:val="FootnoteReference"/>
        </w:rPr>
        <w:footnoteReference w:id="5"/>
      </w:r>
      <w:r w:rsidRPr="00BE04B1">
        <w:t>, και ιδίως το άρθρο 41,</w:t>
      </w:r>
    </w:p>
    <w:p w:rsidR="00CF38D2" w:rsidRPr="00BE04B1" w:rsidRDefault="00CF38D2" w:rsidP="00D41DD4">
      <w:pPr>
        <w:pStyle w:val="NormalHanging12a"/>
        <w:widowControl/>
      </w:pPr>
      <w:r w:rsidRPr="00BE04B1">
        <w:t>–</w:t>
      </w:r>
      <w:r w:rsidRPr="00BE04B1">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BE04B1">
        <w:rPr>
          <w:rStyle w:val="FootnoteReference"/>
        </w:rPr>
        <w:footnoteReference w:id="6"/>
      </w:r>
      <w:r w:rsidRPr="00BE04B1">
        <w:t>, και ιδίως το άρθρο 105,</w:t>
      </w:r>
    </w:p>
    <w:p w:rsidR="00CF38D2" w:rsidRPr="00BE04B1" w:rsidRDefault="00CF38D2" w:rsidP="00D41DD4">
      <w:pPr>
        <w:pStyle w:val="NormalHanging12a"/>
        <w:widowControl/>
      </w:pPr>
      <w:r w:rsidRPr="00BE04B1">
        <w:t>–</w:t>
      </w:r>
      <w:r w:rsidRPr="00BE04B1">
        <w:tab/>
        <w:t>έχοντας υπόψη το άρθρο 100 και το παράρτημα V του Κανονισμού του,</w:t>
      </w:r>
    </w:p>
    <w:p w:rsidR="00CF38D2" w:rsidRPr="00BE04B1" w:rsidRDefault="00CF38D2" w:rsidP="00D41DD4">
      <w:pPr>
        <w:pStyle w:val="NormalHanging12a"/>
        <w:widowControl/>
      </w:pPr>
      <w:r w:rsidRPr="00BE04B1">
        <w:t>–</w:t>
      </w:r>
      <w:r w:rsidRPr="00BE04B1">
        <w:tab/>
        <w:t>έχοντας υπόψη τη γνωμοδότηση της Επιτροπής Πολιτικών Ελευθεριών, Δικαιοσύνης και Εσωτερικών Υποθέσεων,</w:t>
      </w:r>
    </w:p>
    <w:p w:rsidR="00CF38D2" w:rsidRPr="00BE04B1" w:rsidRDefault="00CF38D2" w:rsidP="00D41DD4">
      <w:pPr>
        <w:pStyle w:val="NormalHanging12a"/>
        <w:widowControl/>
      </w:pPr>
      <w:r w:rsidRPr="00BE04B1">
        <w:t>–</w:t>
      </w:r>
      <w:r w:rsidRPr="00BE04B1">
        <w:tab/>
        <w:t>έχοντας υπόψη την έκθεση της Επιτροπής Ελέγχου του Προϋπολογισμού (A9-0104/2024),</w:t>
      </w:r>
    </w:p>
    <w:p w:rsidR="00CF38D2" w:rsidRPr="00BE04B1" w:rsidRDefault="00CF38D2" w:rsidP="00D41DD4">
      <w:pPr>
        <w:pStyle w:val="NormalHanging12a"/>
        <w:widowControl/>
      </w:pPr>
      <w:r w:rsidRPr="00BE04B1">
        <w:t>1.</w:t>
      </w:r>
      <w:r w:rsidRPr="00BE04B1">
        <w:tab/>
        <w:t>χορηγεί απαλλαγή στον διευθυντή του Ευρωπαϊκού Κέντρου Παρακολούθησης Ναρκωτικών και Τοξικομανίας όσον αφορά την εκτέλεση του προϋπολογισμού του Κέντρου για το οικονομικό έτος 2022·</w:t>
      </w:r>
    </w:p>
    <w:p w:rsidR="00CF38D2" w:rsidRPr="00BE04B1" w:rsidRDefault="00CF38D2" w:rsidP="00D41DD4">
      <w:pPr>
        <w:pStyle w:val="NormalHanging12a"/>
        <w:widowControl/>
      </w:pPr>
      <w:r w:rsidRPr="00BE04B1">
        <w:t>2.</w:t>
      </w:r>
      <w:r w:rsidRPr="00BE04B1">
        <w:tab/>
        <w:t>εκθέτει τις παρατηρήσεις του στο ψήφισμα που ακολουθεί·</w:t>
      </w:r>
    </w:p>
    <w:p w:rsidR="00CF38D2" w:rsidRPr="00BE04B1" w:rsidRDefault="00CF38D2" w:rsidP="00D41DD4">
      <w:pPr>
        <w:pStyle w:val="NormalHanging12a"/>
        <w:widowControl/>
      </w:pPr>
      <w:r w:rsidRPr="00BE04B1">
        <w:t>3.</w:t>
      </w:r>
      <w:r w:rsidRPr="00BE04B1">
        <w:tab/>
        <w:t xml:space="preserve">αναθέτει στην Πρόεδρό του να διαβιβάσει την παρούσα απόφαση και το ψήφισμα που αποτελεί αναπόσπαστο μέρος της στον διευθυντή του Ευρωπαϊκού Κέντρου Παρακολούθησης Ναρκωτικών και Τοξικομανίας, στο Συμβούλιο, στην Επιτροπή και στο Ελεγκτικό Συνέδριο, και να μεριμνήσει για τη δημοσίευσή τους στην </w:t>
      </w:r>
      <w:r w:rsidRPr="00BE04B1">
        <w:rPr>
          <w:i/>
        </w:rPr>
        <w:t>Επίσημη Εφημερίδα της Ευρωπαϊκής Ένωσης</w:t>
      </w:r>
      <w:r w:rsidRPr="00BE04B1">
        <w:t xml:space="preserve"> (σειρά L).</w:t>
      </w:r>
    </w:p>
    <w:p w:rsidR="00CF38D2" w:rsidRPr="00BE04B1" w:rsidRDefault="00CF38D2" w:rsidP="00CF38D2"/>
    <w:p w:rsidR="00CF38D2" w:rsidRPr="00BE04B1" w:rsidRDefault="00CF38D2" w:rsidP="00CF38D2">
      <w:pPr>
        <w:widowControl/>
        <w:rPr>
          <w:rFonts w:ascii="Arial" w:hAnsi="Arial" w:cs="Arial"/>
          <w:b/>
        </w:rPr>
        <w:sectPr w:rsidR="00CF38D2" w:rsidRPr="00BE04B1" w:rsidSect="00D864B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F38D2" w:rsidRPr="00BE04B1" w:rsidRDefault="00CF38D2" w:rsidP="00BE04B1">
      <w:pPr>
        <w:pStyle w:val="ATHeading3"/>
      </w:pPr>
      <w:bookmarkStart w:id="8" w:name="_Toc146790741"/>
      <w:bookmarkStart w:id="9" w:name="_Toc161929037"/>
      <w:r w:rsidRPr="00BE04B1">
        <w:lastRenderedPageBreak/>
        <w:t xml:space="preserve">2. </w:t>
      </w:r>
      <w:r w:rsidR="00D41DD4" w:rsidRPr="00BE04B1">
        <w:t xml:space="preserve">Απόφαση του Ευρωπαϊκού Κοινοβουλίου της 11ης Απριλίου 2024 </w:t>
      </w:r>
      <w:bookmarkEnd w:id="8"/>
      <w:bookmarkEnd w:id="9"/>
      <w:r w:rsidRPr="00BE04B1">
        <w:t>σχετικά με το κλείσιμο των λογαριασμών του Ευρωπαϊκού Κέντρου Παρακολούθησης Ναρκωτικών και Τοξικομανίας για το οικονομικό έτος 2022</w:t>
      </w:r>
      <w:r w:rsidR="00D41DD4" w:rsidRPr="00BE04B1">
        <w:t xml:space="preserve"> </w:t>
      </w:r>
      <w:r w:rsidRPr="00BE04B1">
        <w:t>(2023/2157(DEC))</w:t>
      </w:r>
    </w:p>
    <w:p w:rsidR="00CF38D2" w:rsidRPr="00BE04B1" w:rsidRDefault="00CF38D2" w:rsidP="00CF38D2">
      <w:pPr>
        <w:pStyle w:val="EPComma"/>
      </w:pPr>
      <w:r w:rsidRPr="00BE04B1">
        <w:rPr>
          <w:i/>
        </w:rPr>
        <w:t>Το Ευρωπαϊκό Κοινοβούλιο</w:t>
      </w:r>
      <w:r w:rsidRPr="00BE04B1">
        <w:t>,</w:t>
      </w:r>
    </w:p>
    <w:p w:rsidR="00CF38D2" w:rsidRPr="00BE04B1" w:rsidRDefault="00CF38D2" w:rsidP="00D41DD4">
      <w:pPr>
        <w:pStyle w:val="NormalHanging12a"/>
        <w:widowControl/>
      </w:pPr>
      <w:r w:rsidRPr="00BE04B1">
        <w:t>–</w:t>
      </w:r>
      <w:r w:rsidRPr="00BE04B1">
        <w:tab/>
        <w:t>έχοντας υπόψη τους οριστικούς ετήσιους λογαριασμούς του Ευρωπαϊκού Κέντρου Παρακολούθησης Ναρκωτικών και Τοξικομανίας για το οικονομικό έτος 2022,</w:t>
      </w:r>
    </w:p>
    <w:p w:rsidR="00CF38D2" w:rsidRPr="00BE04B1" w:rsidRDefault="00CF38D2" w:rsidP="00D41DD4">
      <w:pPr>
        <w:pStyle w:val="NormalHanging12a"/>
        <w:widowControl/>
      </w:pPr>
      <w:r w:rsidRPr="00BE04B1">
        <w:t>–</w:t>
      </w:r>
      <w:r w:rsidRPr="00BE04B1">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BE04B1">
        <w:rPr>
          <w:rStyle w:val="FootnoteReference"/>
        </w:rPr>
        <w:footnoteReference w:id="7"/>
      </w:r>
      <w:r w:rsidRPr="00BE04B1">
        <w:t>,</w:t>
      </w:r>
    </w:p>
    <w:p w:rsidR="00CF38D2" w:rsidRPr="00BE04B1" w:rsidRDefault="00CF38D2" w:rsidP="00D41DD4">
      <w:pPr>
        <w:pStyle w:val="NormalHanging12a"/>
        <w:widowControl/>
      </w:pPr>
      <w:r w:rsidRPr="00BE04B1">
        <w:t>–</w:t>
      </w:r>
      <w:r w:rsidRPr="00BE04B1">
        <w:tab/>
        <w:t>έχοντας υπόψη τη δήλωση αξιοπιστίας</w:t>
      </w:r>
      <w:r w:rsidRPr="00BE04B1">
        <w:rPr>
          <w:rStyle w:val="FootnoteReference"/>
        </w:rPr>
        <w:footnoteReference w:id="8"/>
      </w:r>
      <w:r w:rsidRPr="00BE04B1">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CF38D2" w:rsidRPr="00BE04B1" w:rsidRDefault="00CF38D2" w:rsidP="00D41DD4">
      <w:pPr>
        <w:pStyle w:val="NormalHanging12a"/>
        <w:widowControl/>
      </w:pPr>
      <w:r w:rsidRPr="00BE04B1">
        <w:t>–</w:t>
      </w:r>
      <w:r w:rsidRPr="00BE04B1">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w:t>
      </w:r>
      <w:r w:rsidR="000B25F1" w:rsidRPr="00BE04B1">
        <w:t>06180/2024 – C9-0095/2024</w:t>
      </w:r>
      <w:r w:rsidRPr="00BE04B1">
        <w:t>),</w:t>
      </w:r>
    </w:p>
    <w:p w:rsidR="00CF38D2" w:rsidRPr="00BE04B1" w:rsidRDefault="00CF38D2" w:rsidP="00D41DD4">
      <w:pPr>
        <w:pStyle w:val="NormalHanging12a"/>
        <w:widowControl/>
      </w:pPr>
      <w:r w:rsidRPr="00BE04B1">
        <w:t>–</w:t>
      </w:r>
      <w:r w:rsidRPr="00BE04B1">
        <w:tab/>
        <w:t>έχοντας υπόψη το άρθρο 319 της Συνθήκης για τη λειτουργία της Ευρωπαϊκής Ένωσης,</w:t>
      </w:r>
    </w:p>
    <w:p w:rsidR="00CF38D2" w:rsidRPr="00BE04B1" w:rsidRDefault="00CF38D2" w:rsidP="00D41DD4">
      <w:pPr>
        <w:pStyle w:val="NormalHanging12a"/>
        <w:widowControl/>
      </w:pPr>
      <w:r w:rsidRPr="00BE04B1">
        <w:t>–</w:t>
      </w:r>
      <w:r w:rsidRPr="00BE04B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E04B1">
        <w:rPr>
          <w:rStyle w:val="FootnoteReference"/>
        </w:rPr>
        <w:footnoteReference w:id="9"/>
      </w:r>
      <w:r w:rsidRPr="00BE04B1">
        <w:t>, και ιδίως το άρθρο 70,</w:t>
      </w:r>
    </w:p>
    <w:p w:rsidR="00CF38D2" w:rsidRPr="00BE04B1" w:rsidRDefault="00CF38D2" w:rsidP="00D41DD4">
      <w:pPr>
        <w:pStyle w:val="NormalHanging12a"/>
        <w:widowControl/>
      </w:pPr>
      <w:r w:rsidRPr="00BE04B1">
        <w:t>–</w:t>
      </w:r>
      <w:r w:rsidRPr="00BE04B1">
        <w:tab/>
        <w:t>έχοντας υπόψη τον κανονισμό (ΕΚ) αριθ. 1920/2006 του Ευρωπαϊκού Κοινοβουλίου και του Συμβουλίου, της 12ης Δεκεμβρίου 2006, σχετικά με το Ευρωπαϊκό Κέντρο Παρακολούθησης Ναρκωτικών και Τοξικομανίας</w:t>
      </w:r>
      <w:r w:rsidRPr="00BE04B1">
        <w:rPr>
          <w:rStyle w:val="FootnoteReference"/>
        </w:rPr>
        <w:footnoteReference w:id="10"/>
      </w:r>
      <w:r w:rsidRPr="00BE04B1">
        <w:t>, και ιδίως το άρθρο 15,</w:t>
      </w:r>
    </w:p>
    <w:p w:rsidR="00CF38D2" w:rsidRPr="00BE04B1" w:rsidRDefault="00CF38D2" w:rsidP="00D41DD4">
      <w:pPr>
        <w:pStyle w:val="NormalHanging12a"/>
        <w:widowControl/>
      </w:pPr>
      <w:r w:rsidRPr="00BE04B1">
        <w:t>–</w:t>
      </w:r>
      <w:r w:rsidRPr="00BE04B1">
        <w:tab/>
        <w:t>έχοντας υπόψη τον κανονισμό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αριθ. 1920/2006</w:t>
      </w:r>
      <w:r w:rsidRPr="00BE04B1">
        <w:rPr>
          <w:rStyle w:val="FootnoteReference"/>
        </w:rPr>
        <w:footnoteReference w:id="11"/>
      </w:r>
      <w:r w:rsidRPr="00BE04B1">
        <w:t>, και ιδίως το άρθρο 41,</w:t>
      </w:r>
    </w:p>
    <w:p w:rsidR="00CF38D2" w:rsidRPr="00BE04B1" w:rsidRDefault="00CF38D2" w:rsidP="00D41DD4">
      <w:pPr>
        <w:pStyle w:val="NormalHanging12a"/>
        <w:widowControl/>
      </w:pPr>
      <w:r w:rsidRPr="00BE04B1">
        <w:t>–</w:t>
      </w:r>
      <w:r w:rsidRPr="00BE04B1">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BE04B1">
        <w:lastRenderedPageBreak/>
        <w:t>και αναφέρονται στο άρθρο 70 του κανονισμού (ΕΕ, Ευρατόμ) 2018/1046 του Ευρωπαϊκού Κοινοβουλίου και του Συμβουλίου</w:t>
      </w:r>
      <w:r w:rsidRPr="00BE04B1">
        <w:rPr>
          <w:rStyle w:val="FootnoteReference"/>
        </w:rPr>
        <w:footnoteReference w:id="12"/>
      </w:r>
      <w:r w:rsidRPr="00BE04B1">
        <w:t>, και ιδίως το άρθρο 105,</w:t>
      </w:r>
    </w:p>
    <w:p w:rsidR="00CF38D2" w:rsidRPr="00BE04B1" w:rsidRDefault="00CF38D2" w:rsidP="00D41DD4">
      <w:pPr>
        <w:pStyle w:val="NormalHanging12a"/>
        <w:widowControl/>
      </w:pPr>
      <w:r w:rsidRPr="00BE04B1">
        <w:t>–</w:t>
      </w:r>
      <w:r w:rsidRPr="00BE04B1">
        <w:tab/>
        <w:t>έχοντας υπόψη το άρθρο 100 και το παράρτημα V του Κανονισμού του,</w:t>
      </w:r>
    </w:p>
    <w:p w:rsidR="00CF38D2" w:rsidRPr="00BE04B1" w:rsidRDefault="00CF38D2" w:rsidP="00D41DD4">
      <w:pPr>
        <w:pStyle w:val="NormalHanging12a"/>
        <w:widowControl/>
      </w:pPr>
      <w:r w:rsidRPr="00BE04B1">
        <w:t>–</w:t>
      </w:r>
      <w:r w:rsidRPr="00BE04B1">
        <w:tab/>
        <w:t>έχοντας υπόψη τη γνωμοδότηση της Επιτροπής Πολιτικών Ελευθεριών, Δικαιοσύνης και Εσωτερικών Υποθέσεων,</w:t>
      </w:r>
    </w:p>
    <w:p w:rsidR="00CF38D2" w:rsidRPr="00BE04B1" w:rsidRDefault="00CF38D2" w:rsidP="00D41DD4">
      <w:pPr>
        <w:pStyle w:val="NormalHanging12a"/>
        <w:widowControl/>
      </w:pPr>
      <w:r w:rsidRPr="00BE04B1">
        <w:t>–</w:t>
      </w:r>
      <w:r w:rsidRPr="00BE04B1">
        <w:tab/>
        <w:t>έχοντας υπόψη την έκθεση της Επιτροπής Ελέγχου του Προϋπολογισμού (A9-0104/2024),</w:t>
      </w:r>
    </w:p>
    <w:p w:rsidR="00CF38D2" w:rsidRPr="00BE04B1" w:rsidRDefault="00CF38D2" w:rsidP="00D41DD4">
      <w:pPr>
        <w:pStyle w:val="NormalHanging12a"/>
        <w:widowControl/>
      </w:pPr>
      <w:r w:rsidRPr="00BE04B1">
        <w:t>1.</w:t>
      </w:r>
      <w:r w:rsidRPr="00BE04B1">
        <w:tab/>
        <w:t>εγκρίνει το κλείσιμο των λογαριασμών του Ευρωπαϊκού Κέντρου Παρακολούθησης Ναρκωτικών και Τοξικομανίας για το οικονομικό έτος 2022·</w:t>
      </w:r>
    </w:p>
    <w:p w:rsidR="00CF38D2" w:rsidRPr="00BE04B1" w:rsidRDefault="00CF38D2" w:rsidP="00D41DD4">
      <w:pPr>
        <w:pStyle w:val="NormalHanging12a"/>
        <w:widowControl/>
      </w:pPr>
      <w:r w:rsidRPr="00BE04B1">
        <w:t>2.</w:t>
      </w:r>
      <w:r w:rsidRPr="00BE04B1">
        <w:tab/>
        <w:t xml:space="preserve">αναθέτει στην Πρόεδρό του να διαβιβάσει την παρούσα απόφαση στον διευθυντή του Ευρωπαϊκού Κέντρου Παρακολούθησης Ναρκωτικών και Τοξικομανίας, στο Συμβούλιο, στην Επιτροπή και στο Ελεγκτικό Συνέδριο, και να μεριμνήσει για τη δημοσίευσή της στην </w:t>
      </w:r>
      <w:r w:rsidRPr="00BE04B1">
        <w:rPr>
          <w:i/>
        </w:rPr>
        <w:t>Επίσημη Εφημερίδα της Ευρωπαϊκής Ένωσης</w:t>
      </w:r>
      <w:r w:rsidRPr="00BE04B1">
        <w:t xml:space="preserve"> (σειρά L).</w:t>
      </w:r>
    </w:p>
    <w:p w:rsidR="00CF38D2" w:rsidRPr="00BE04B1" w:rsidRDefault="00CF38D2" w:rsidP="00CF38D2"/>
    <w:p w:rsidR="00CF38D2" w:rsidRPr="00BE04B1" w:rsidRDefault="00CF38D2" w:rsidP="00CF38D2">
      <w:pPr>
        <w:widowControl/>
        <w:rPr>
          <w:rFonts w:ascii="Arial" w:hAnsi="Arial" w:cs="Arial"/>
          <w:b/>
        </w:rPr>
        <w:sectPr w:rsidR="00CF38D2" w:rsidRPr="00BE04B1" w:rsidSect="00D864B4">
          <w:footnotePr>
            <w:numRestart w:val="eachPage"/>
          </w:footnotePr>
          <w:endnotePr>
            <w:numFmt w:val="decimal"/>
          </w:endnotePr>
          <w:pgSz w:w="11906" w:h="16838"/>
          <w:pgMar w:top="1134" w:right="1418" w:bottom="1418" w:left="1418" w:header="567" w:footer="567" w:gutter="0"/>
          <w:cols w:space="720"/>
          <w:docGrid w:linePitch="326"/>
        </w:sectPr>
      </w:pPr>
    </w:p>
    <w:p w:rsidR="00CF38D2" w:rsidRPr="00BE04B1" w:rsidRDefault="00CF38D2" w:rsidP="00BE04B1">
      <w:pPr>
        <w:pStyle w:val="ATHeading3"/>
      </w:pPr>
      <w:bookmarkStart w:id="10" w:name="_Toc146790742"/>
      <w:bookmarkStart w:id="11" w:name="_Toc161929038"/>
      <w:r w:rsidRPr="00BE04B1">
        <w:lastRenderedPageBreak/>
        <w:t xml:space="preserve">3. </w:t>
      </w:r>
      <w:r w:rsidR="00D41DD4" w:rsidRPr="00BE04B1">
        <w:t xml:space="preserve">Ψήφισμα του Ευρωπαϊκού Κοινοβουλίου της 11ης Απριλίου 2024 </w:t>
      </w:r>
      <w:bookmarkEnd w:id="10"/>
      <w:bookmarkEnd w:id="11"/>
      <w:r w:rsidRPr="00BE04B1">
        <w:t>με τις παρατηρήσεις που αποτελούν αναπόσπαστο μέρος της απόφασης σχετικά με την απαλλαγή όσον αφορά την εκτέλεση του προϋπολογισμού του Ευρωπαϊκού Κέντρου Παρακολούθησης Ναρκωτικών και Τοξικομανίας για το οικονομικό έτος 2022</w:t>
      </w:r>
      <w:r w:rsidR="00D41DD4" w:rsidRPr="00BE04B1">
        <w:t xml:space="preserve"> </w:t>
      </w:r>
      <w:r w:rsidRPr="00BE04B1">
        <w:t>(2023/2157(DEC))</w:t>
      </w:r>
    </w:p>
    <w:p w:rsidR="00CF38D2" w:rsidRPr="00BE04B1" w:rsidRDefault="00CF38D2" w:rsidP="00CF38D2">
      <w:pPr>
        <w:pStyle w:val="EPComma"/>
      </w:pPr>
      <w:r w:rsidRPr="00BE04B1">
        <w:rPr>
          <w:i/>
        </w:rPr>
        <w:t>Το Ευρωπαϊκό Κοινοβούλιο</w:t>
      </w:r>
      <w:r w:rsidRPr="00BE04B1">
        <w:t>,</w:t>
      </w:r>
    </w:p>
    <w:p w:rsidR="00CF38D2" w:rsidRPr="00BE04B1" w:rsidRDefault="00CF38D2" w:rsidP="00D41DD4">
      <w:pPr>
        <w:pStyle w:val="NormalHanging12a"/>
        <w:widowControl/>
      </w:pPr>
      <w:r w:rsidRPr="00BE04B1">
        <w:t>–</w:t>
      </w:r>
      <w:r w:rsidRPr="00BE04B1">
        <w:tab/>
        <w:t>έχοντας υπόψη την απόφασή του σχετικά με την απαλλαγή όσον αφορά την εκτέλεση του προϋπολογισμού του Ευρωπαϊκού Κέντρου Παρακολούθησης Ναρκωτικών και Τοξικομανίας για το οικονομικό έτος 2022,</w:t>
      </w:r>
    </w:p>
    <w:p w:rsidR="00CF38D2" w:rsidRPr="00BE04B1" w:rsidRDefault="00CF38D2" w:rsidP="00D41DD4">
      <w:pPr>
        <w:pStyle w:val="NormalHanging12a"/>
        <w:widowControl/>
      </w:pPr>
      <w:r w:rsidRPr="00BE04B1">
        <w:t>–</w:t>
      </w:r>
      <w:r w:rsidRPr="00BE04B1">
        <w:tab/>
        <w:t>έχοντας υπόψη το άρθρο 100 και το παράρτημα V του Κανονισμού του,</w:t>
      </w:r>
    </w:p>
    <w:p w:rsidR="00CF38D2" w:rsidRPr="00BE04B1" w:rsidRDefault="00CF38D2" w:rsidP="00D41DD4">
      <w:pPr>
        <w:pStyle w:val="NormalHanging12a"/>
        <w:widowControl/>
      </w:pPr>
      <w:r w:rsidRPr="00BE04B1">
        <w:t>–</w:t>
      </w:r>
      <w:r w:rsidRPr="00BE04B1">
        <w:tab/>
        <w:t>έχοντας υπόψη τη γνωμοδότηση της Επιτροπής Πολιτικών Ελευθεριών, Δικαιοσύνης και Εσωτερικών Υποθέσεων,</w:t>
      </w:r>
    </w:p>
    <w:p w:rsidR="00CF38D2" w:rsidRPr="00BE04B1" w:rsidRDefault="00CF38D2" w:rsidP="00D41DD4">
      <w:pPr>
        <w:pStyle w:val="NormalHanging12a"/>
        <w:widowControl/>
      </w:pPr>
      <w:r w:rsidRPr="00BE04B1">
        <w:t>–</w:t>
      </w:r>
      <w:r w:rsidRPr="00BE04B1">
        <w:tab/>
        <w:t>έχοντας υπόψη την έκθεση της Επιτροπής Ελέγχου του Προϋπολογισμού (A9-0104/2024),</w:t>
      </w:r>
    </w:p>
    <w:p w:rsidR="00CF38D2" w:rsidRPr="00BE04B1" w:rsidRDefault="00CF38D2" w:rsidP="00D41DD4">
      <w:pPr>
        <w:pStyle w:val="Normal12Hanging"/>
        <w:widowControl/>
        <w:rPr>
          <w:szCs w:val="24"/>
        </w:rPr>
      </w:pPr>
      <w:r w:rsidRPr="00BE04B1">
        <w:t>Α.</w:t>
      </w:r>
      <w:r w:rsidRPr="00BE04B1">
        <w:tab/>
        <w:t>λαμβάνοντας υπόψη ότι, σύμφωνα με την κατάσταση εσόδων και δαπανών του</w:t>
      </w:r>
      <w:r w:rsidRPr="00BE04B1">
        <w:rPr>
          <w:rStyle w:val="FootnoteReference"/>
          <w:szCs w:val="24"/>
        </w:rPr>
        <w:footnoteReference w:id="13"/>
      </w:r>
      <w:r w:rsidRPr="00BE04B1">
        <w:t>, ο οριστικός προϋπολογισμός του Ευρωπαϊκού Κέντρου Παρακολούθησης Ναρκωτικών και Τοξικομανίας («το Κέντρο») για το οικονομικό έτος 2022 ήταν 18 893 136 EUR, που συνιστά μείωση κατά 0,71 % σε σύγκριση με το 2021· λαμβάνοντας υπόψη ότι ο προϋπολογισμός του Κέντρου προέρχεται κυρίως (94 %) από τον προϋπολογισμό της Ένωσης·</w:t>
      </w:r>
    </w:p>
    <w:p w:rsidR="00CF38D2" w:rsidRPr="00BE04B1" w:rsidRDefault="00CF38D2" w:rsidP="00D41DD4">
      <w:pPr>
        <w:pStyle w:val="Normal12Hanging"/>
        <w:widowControl/>
        <w:rPr>
          <w:szCs w:val="24"/>
        </w:rPr>
      </w:pPr>
      <w:r w:rsidRPr="00BE04B1">
        <w:t>Β.</w:t>
      </w:r>
      <w:r w:rsidRPr="00BE04B1">
        <w:tab/>
        <w:t>λαμβάνοντας υπόψη ότι το Ελεγκτικό Συνέδριο, στην έκθεσή του για τους ετήσιους λογαριασμούς του Κέντρου για το οικονομικό έτος 2022 («η έκθεση του Ελεγκτικού Συνεδρίου»), δηλώνει πως αποκόμισε εύλογη βεβαιότητα ότι οι ετήσιοι λογαριασμοί του Κέντρου είναι αξιόπιστοι και ότι οι πράξεις στις οποίες βασίζονται είναι νόμιμες και κανονικές·</w:t>
      </w:r>
    </w:p>
    <w:p w:rsidR="00CF38D2" w:rsidRPr="00BE04B1" w:rsidRDefault="00CF38D2" w:rsidP="00D41DD4">
      <w:pPr>
        <w:pStyle w:val="Normal12Hanging"/>
        <w:widowControl/>
        <w:rPr>
          <w:b/>
          <w:i/>
          <w:szCs w:val="24"/>
        </w:rPr>
      </w:pPr>
      <w:r w:rsidRPr="00BE04B1">
        <w:rPr>
          <w:b/>
          <w:i/>
        </w:rPr>
        <w:t>Δημοσιονομική και χρηματοοικονομική διαχείριση</w:t>
      </w:r>
    </w:p>
    <w:p w:rsidR="00CF38D2" w:rsidRPr="00BE04B1" w:rsidRDefault="00CF38D2" w:rsidP="00D41DD4">
      <w:pPr>
        <w:pStyle w:val="NormalHanging12a"/>
        <w:widowControl/>
        <w:rPr>
          <w:szCs w:val="24"/>
        </w:rPr>
      </w:pPr>
      <w:r w:rsidRPr="00BE04B1">
        <w:t>1.</w:t>
      </w:r>
      <w:r w:rsidRPr="00BE04B1">
        <w:tab/>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του προϋπολογισμού 98,78 % (μείωση κατά 1,22 % σε σύγκριση με το 2021)· επισημαίνει ότι το ποσοστό εκτέλεσης των πιστώσεων πληρωμών ήταν 96,65 %, το οποίο αποτελεί ελαφρά αύξηση κατά 0,30 % σε σύγκριση με το 2021· σημειώνει ακόμη ότι το ποσοστό εκτέλεσης των πιστώσεων πληρωμών που μεταφέρθηκαν από το 2021 στο 2022 ήταν 88,98 %·</w:t>
      </w:r>
    </w:p>
    <w:p w:rsidR="00CF38D2" w:rsidRPr="00BE04B1" w:rsidRDefault="00CF38D2" w:rsidP="00D41DD4">
      <w:pPr>
        <w:pStyle w:val="NormalHanging12a"/>
        <w:widowControl/>
      </w:pPr>
      <w:r w:rsidRPr="00BE04B1">
        <w:t>2.</w:t>
      </w:r>
      <w:r w:rsidRPr="00BE04B1">
        <w:tab/>
        <w:t>σημειώνει ότι, σύμ</w:t>
      </w:r>
      <w:bookmarkStart w:id="12" w:name="_GoBack"/>
      <w:bookmarkEnd w:id="12"/>
      <w:r w:rsidRPr="00BE04B1">
        <w:t xml:space="preserve">φωνα με την έκθεση του Ελεγκτικού Συνεδρίου, το Κέντρο, αν και κατέβαλε τόκους μόνο για μία καθυστερημένη πληρωμή, είχε σημαντικό αριθμό πληρωμών που επισημάνθηκαν εσφαλμένα ως καθυστερημένες (107 από τις 1 595) από τη δημοσιονομική και λογιστική διαχείριση του Κέντρου [λογιστική σε δεδουλευμένη βάση (ABAC)] λόγω εσφαλμένων παραμετροποιήσεων ή/και εσφαλμένων εισροών </w:t>
      </w:r>
      <w:r w:rsidRPr="00BE04B1">
        <w:lastRenderedPageBreak/>
        <w:t>δεδομένων, ή και των δύο, όσον αφορά την καταληκτική ημερομηνία πληρωμής ή την παραλαβή των εγγράφων που συνεπάγονται υποχρέωση πληρωμής· σημειώνει ότι, σύμφωνα με την απάντηση του Κέντρου, η ασυνεπής επισήμανση καθυστερημένων πληρωμών δεν επηρέασε την κανονικότητα των σχετικών πράξεων· σημειώνει ακόμη ότι το Κέντρο έλαβε ορισμένα μέτρα για να ελαχιστοποιήσει τον κίνδυνο των «</w:t>
      </w:r>
      <w:proofErr w:type="spellStart"/>
      <w:r w:rsidRPr="00BE04B1">
        <w:t>ψευδοθετικών</w:t>
      </w:r>
      <w:proofErr w:type="spellEnd"/>
      <w:r w:rsidRPr="00BE04B1">
        <w:t xml:space="preserve"> αποτελεσμάτων» που επισημάνθηκε και να διασφαλίσει επίσης ότι το οικείο σύστημα ABAC μπορεί να παρέχει σαφή και ακριβή εικόνα των πληρωμών που είναι όντως καθυστερημένες· καλεί το Κέντρο να συνεχίσει να παρακολουθεί το ζήτημα αυτό και να μετριάσει πιθανούς μελλοντικούς κινδύνους προσβολής της φήμης που συνδέονται με το ζήτημα αυτό·</w:t>
      </w:r>
    </w:p>
    <w:p w:rsidR="00CF38D2" w:rsidRPr="00BE04B1" w:rsidRDefault="00CF38D2" w:rsidP="00D41DD4">
      <w:pPr>
        <w:pStyle w:val="Normal12Hanging"/>
        <w:widowControl/>
        <w:rPr>
          <w:b/>
          <w:i/>
          <w:szCs w:val="24"/>
        </w:rPr>
      </w:pPr>
      <w:r w:rsidRPr="00BE04B1">
        <w:rPr>
          <w:b/>
          <w:i/>
        </w:rPr>
        <w:t>Επιδόσεις</w:t>
      </w:r>
    </w:p>
    <w:p w:rsidR="00CF38D2" w:rsidRPr="00BE04B1" w:rsidRDefault="00CF38D2" w:rsidP="00D41DD4">
      <w:pPr>
        <w:pStyle w:val="NormalHanging12a"/>
        <w:widowControl/>
        <w:rPr>
          <w:szCs w:val="24"/>
        </w:rPr>
      </w:pPr>
      <w:r w:rsidRPr="00BE04B1">
        <w:t>3.</w:t>
      </w:r>
      <w:r w:rsidRPr="00BE04B1">
        <w:tab/>
        <w:t>σημειώνει ότι το νέο μοντέλο μέτρησης των επιδόσεων του Κέντρου προσδιορίζει περιορισμένο αριθμό (10) σύνθετων κύριων δεικτών επιδόσεων (ΚΔΕ), οι οποίοι χρησιμοποιούνται για τη μέτρηση της αποτελεσματικότητας της επίτευξης των επιθυμητών αποτελεσμάτων και της αποδοτικότητας της χρήσης των διατιθέμενων πόρων, και οι οποίοι συμπληρώνονται από ΚΔΕ υψηλότερου επιπέδου που εστιάζουν στα αποτελέσματα και τον αντίκτυπο· σημειώνει ότι, για την αξιολόγηση των ΚΔΕ, το Κέντρο έχει καθορίσει 65 ετήσιους στόχους, εκ των οποίων 57 (87 %) επιτεύχθηκαν το 2022·</w:t>
      </w:r>
    </w:p>
    <w:p w:rsidR="00CF38D2" w:rsidRPr="00BE04B1" w:rsidRDefault="00CF38D2" w:rsidP="00D41DD4">
      <w:pPr>
        <w:pStyle w:val="NormalHanging12a"/>
        <w:widowControl/>
        <w:rPr>
          <w:szCs w:val="24"/>
        </w:rPr>
      </w:pPr>
      <w:r w:rsidRPr="00BE04B1">
        <w:t>4.</w:t>
      </w:r>
      <w:r w:rsidRPr="00BE04B1">
        <w:tab/>
        <w:t>σημειώνει ότι, για το πρόγραμμα εργασίας του 2022, το Κέντρο πέτυχε 152 από τις 188 εκροές/αποτελέσματα (81 %), πέτυχε εν μέρει το 12 % αυτών (δηλαδή 23 εκροές/αποτελέσματα, τα οποία καθυστέρησαν και βρίσκονταν σε εξέλιξη στο τέλος του 2022), ενώ δεν υλοποιήθηκαν 12 αποτελέσματα (6 %), και δύο αποτελέσματα ήταν άνευ αντικειμένου· παρατηρεί ότι η άποψη του Κέντρου είναι πως οι περισσότερες καθυστερήσεις ή ακυρώσεις δραστηριοτήτων το 2022 οφείλονταν στην έλλειψη πόρων· σημειώνει ακόμη ότι, για την εκτέλεση της νέας εντολής του (που αναμένεται να ισχύει από το 2024), το Κέντρο ξεκίνησε προετοιμασίες το 2022, οι οποίες περιλάμβαναν βασικούς πόρους και απαιτούσαν κάποιες προσαρμογές σε ορισμένες από τις προηγουμένως προγραμματισμένες δραστηριότητές του·</w:t>
      </w:r>
    </w:p>
    <w:p w:rsidR="00CF38D2" w:rsidRPr="00BE04B1" w:rsidRDefault="00CF38D2" w:rsidP="00D41DD4">
      <w:pPr>
        <w:pStyle w:val="NormalHanging12a"/>
        <w:widowControl/>
        <w:rPr>
          <w:szCs w:val="24"/>
        </w:rPr>
      </w:pPr>
      <w:r w:rsidRPr="00BE04B1">
        <w:t>5.</w:t>
      </w:r>
      <w:r w:rsidRPr="00BE04B1">
        <w:tab/>
        <w:t>αναγνωρίζει τις προσπάθειες και την πρόοδο που έχει σημειώσει το Κέντρο στους τρεις τομείς εργασίας του (υγεία, ασφάλεια και επιχειρηματικοί παράγοντες)· σημειώνει ειδικότερα τη δημοσίευση, το 2022, της νέας ευρωπαϊκής έκθεσης για τα ναρκωτικά, η οποία παρέχει την πλέον πρόσφατη επισκόπηση της κατάστασης των ναρκωτικών στην Ευρώπη έως το 2022, την έναρξη λειτουργίας της πλατφόρμας ηλεκτρονικής μάθησης PLATO που φιλοξενεί το ευρωπαϊκό πρόγραμμα σπουδών για την πρόληψη, το οποίο έχει σχεδιαστεί για την κατάρτιση επαγγελματιών που συμμετέχουν στη διαμόρφωση αποφάσεων, γνωμών και πολιτικών σχετικά με την πρόληψη στην Ευρώπη, την έκδοση επτά μίνι οδηγών οι οποίοι καλύπτουν την αντιμετώπιση των ναρκωτικών σε περιβάλλοντα αναψυχής, τοπικές κοινότητες, σχολεία και φυλακές, καθώς και την ανταπόκριση στις ανάγκες των οικογενειών και των αστέγων, και τη δημοσίευση τριών δεικτών σχετικά με παρεμβάσεις στους χώρους επιτηρούμενης χρήσης ναρκωτικών, στην υπηρεσία ανάλυσης ναρκωτικών και στην ηλεκτρονική υγεία·</w:t>
      </w:r>
    </w:p>
    <w:p w:rsidR="00CF38D2" w:rsidRPr="00BE04B1" w:rsidRDefault="00CF38D2" w:rsidP="00D41DD4">
      <w:pPr>
        <w:pStyle w:val="NormalHanging12a"/>
        <w:widowControl/>
      </w:pPr>
      <w:r w:rsidRPr="00BE04B1">
        <w:t>6.</w:t>
      </w:r>
      <w:r w:rsidRPr="00BE04B1">
        <w:tab/>
        <w:t xml:space="preserve">σημειώνει με ικανοποίηση ότι, το 2022, το Κέντρο δημοσίευσε μια νέα ταχεία μελέτη τάσεων μικτής μεθόδου για την αξιολόγηση της αρχικής ανταπόκρισης της υπηρεσίας στις ανάγκες των εκτοπισθέντων Ουκρανών σε γειτονικές χώρες εντός της Ένωσης· επαινεί το Κέντρο για τη συνεργασία με την Ευρωπόλ όσον αφορά την εκπόνηση της τέταρτης έκδοσης της κοινής δημοσίευσης με θέμα «Αγορές ναρκωτικών στην ΕΕ: σε βάθος ανάλυση», τα πορίσματα της οποίας παρουσιάζονται σε μια σειρά ενοτήτων, καθεμία από τις οποίες εστιάζει στην αγορά ενός συγκεκριμένου ναρκωτικού και καλύπτει τις τάσεις κατά μήκος της εφοδιαστικής αλυσίδας, από την παραγωγή και τη διακίνηση έως τη διανομή και τη χρήση· επαινεί, στο πλαίσιο αυτό, τη δρομολόγηση, το 2022, των δύο πρώτων ενοτήτων για την κοκαΐνη και τη </w:t>
      </w:r>
      <w:proofErr w:type="spellStart"/>
      <w:r w:rsidRPr="00BE04B1">
        <w:t>μεθαμφεταμίνη</w:t>
      </w:r>
      <w:proofErr w:type="spellEnd"/>
      <w:r w:rsidRPr="00BE04B1">
        <w:t>·</w:t>
      </w:r>
    </w:p>
    <w:p w:rsidR="00CF38D2" w:rsidRPr="00BE04B1" w:rsidRDefault="00CF38D2" w:rsidP="00D41DD4">
      <w:pPr>
        <w:pStyle w:val="NormalHanging12a"/>
        <w:widowControl/>
        <w:rPr>
          <w:szCs w:val="24"/>
        </w:rPr>
      </w:pPr>
      <w:r w:rsidRPr="00BE04B1">
        <w:t>7.</w:t>
      </w:r>
      <w:r w:rsidRPr="00BE04B1">
        <w:tab/>
        <w:t>σημειώνει ότι, το 2022, το Κέντρο συνέχισε να εφαρμόζει το σύστημα έγκαιρης προειδοποίησης της Ευρωπαϊκής Ένωσης (ΣΕΠ) σε συνεργασία με τους εταίρους του· σημειώνει, στο ίδιο πλαίσιο, ότι το 2022 κοινοποιήθηκαν επισήμως στο ΣΕΠ 41 νέες ψυχοδραστικές ουσίες για πρώτη φορά· σημειώνει ακόμη ότι δύο νέες ψυχοδραστικές ουσίες που είχαν αξιολογηθεί από το Κέντρο το 2021 (3-χλωρομεθκαθινόνη (3-CMC) και 3-μεθυλομεθκαθινόνη (3-MMC)) συμπεριλήφθηκαν στον ορισμό του «ναρκωτικού» με κατ’ εξουσιοδότηση οδηγία της Επιτροπής το 2022·</w:t>
      </w:r>
    </w:p>
    <w:p w:rsidR="00CF38D2" w:rsidRPr="00BE04B1" w:rsidRDefault="00CF38D2" w:rsidP="00D41DD4">
      <w:pPr>
        <w:pStyle w:val="NormalHanging12a"/>
        <w:widowControl/>
        <w:rPr>
          <w:szCs w:val="24"/>
        </w:rPr>
      </w:pPr>
      <w:r w:rsidRPr="00BE04B1">
        <w:t>8.</w:t>
      </w:r>
      <w:r w:rsidRPr="00BE04B1">
        <w:tab/>
        <w:t>επικροτεί τη συμμετοχή του Κέντρου σε εκδηλώσεις κατάρτισης και ανάπτυξης ικανοτήτων όσον αφορά τα ναρκωτικά, με τις οποίες κατόρθωσε να μεταδώσει τις γνώσεις του σε σχεδόν 950 επαγγελματίες που εργάζονται στον τομέα των ναρκωτικών, συμπεριλαμβανομένων υπαλλήλων επιβολής του νόμου και υπευθύνων χάραξης πολιτικής· σημειώνει ακόμη ότι περίπου 1 200 επαγγελματίες που εργάζονται στον τομέα των ναρκωτικών σε ολόκληρο τον κόσμο παρακολούθησαν τα επτά διαδικτυακά σεμινάρια που διοργάνωσε το Κέντρο το 2022· επαινεί το Κέντρο για τη διοργάνωση, μαζί με τους εταίρους του, της τέταρτης Ευρωπαϊκής Διάσκεψης για τις εθιστικές συμπεριφορές και τις εξαρτήσεις, με τίτλο «</w:t>
      </w:r>
      <w:proofErr w:type="spellStart"/>
      <w:r w:rsidRPr="00BE04B1">
        <w:t>Lisbon</w:t>
      </w:r>
      <w:proofErr w:type="spellEnd"/>
      <w:r w:rsidRPr="00BE04B1">
        <w:t xml:space="preserve"> </w:t>
      </w:r>
      <w:proofErr w:type="spellStart"/>
      <w:r w:rsidRPr="00BE04B1">
        <w:t>Addictions</w:t>
      </w:r>
      <w:proofErr w:type="spellEnd"/>
      <w:r w:rsidRPr="00BE04B1">
        <w:t xml:space="preserve"> 2022», η οποία στο πλαίσιο του πρωταρχικού θέματος των «παγκόσμιων εθισμών», συγκέντρωσε αριθμό ρεκόρ 1 757 συμμετεχόντων από 84 χώρες·</w:t>
      </w:r>
    </w:p>
    <w:p w:rsidR="00CF38D2" w:rsidRPr="00BE04B1" w:rsidRDefault="00CF38D2" w:rsidP="00D41DD4">
      <w:pPr>
        <w:pStyle w:val="NormalHanging12a"/>
        <w:widowControl/>
        <w:rPr>
          <w:szCs w:val="24"/>
        </w:rPr>
      </w:pPr>
      <w:r w:rsidRPr="00BE04B1">
        <w:t>9.</w:t>
      </w:r>
      <w:r w:rsidRPr="00BE04B1">
        <w:tab/>
        <w:t>επικροτεί τις αδιάκοπες προσπάθειες του Κέντρου για την ανάδειξη των κοινωνικών πτυχών και των κοινωνικών επιπτώσεων των ναρκωτικών, την προώθηση πολιτικών κοινωνικής επανένταξης για τους χρήστες ναρκωτικών και την προσέγγιση του θέματος των ναρκωτικών με διεπιστημονική προοπτική· θεωρεί απαραίτητο να συνεχιστεί η ευαισθητοποίηση σχετικά με τη σημασία της πρόληψης και μιας καινοτόμου προσέγγισης των πολιτικών για τα ναρκωτικά που να βασίζεται στην ψυχική υγεία·</w:t>
      </w:r>
    </w:p>
    <w:p w:rsidR="00CF38D2" w:rsidRPr="00BE04B1" w:rsidRDefault="00CF38D2" w:rsidP="00D41DD4">
      <w:pPr>
        <w:pStyle w:val="NormalHanging12a"/>
        <w:widowControl/>
      </w:pPr>
      <w:r w:rsidRPr="00BE04B1">
        <w:t>10.</w:t>
      </w:r>
      <w:r w:rsidRPr="00BE04B1">
        <w:tab/>
        <w:t xml:space="preserve">εκφράζει την ικανοποίησή του για την πρόοδο που σημείωσε το Κέντρο όσον αφορά την κοινή «Εμπεριστατωμένη ανάλυση της ΕΕ για τις αγορές ναρκωτικών», η οποία διενεργείται σε συνεργασία με την Ευρωπόλ, δεδομένου ότι το 2022 δημοσιεύτηκαν ενότητες σχετικά με συγκεκριμένα ναρκωτικά και προγραμματίστηκαν και άλλες δημοσιεύσεις για το 2023· εκφράζει την ικανοποίησή του για το έργο που πραγματοποίησε το Κέντρο το 2022 για τη βελτίωση της ποιότητας και της διαθεσιμότητας των βασικών δεδομένων εφοδιασμού, σε συνεργασία με τα εθνικά σημεία εστίασης του δικτύου </w:t>
      </w:r>
      <w:proofErr w:type="spellStart"/>
      <w:r w:rsidRPr="00BE04B1">
        <w:t>Reitox</w:t>
      </w:r>
      <w:proofErr w:type="spellEnd"/>
      <w:r w:rsidRPr="00BE04B1">
        <w:t xml:space="preserve"> και την Ευρωπόλ· εκφράζει την ικανοποίησή του για την εκτέλεση όλων των καθηκόντων του Κέντρου στο πλαίσιο των επιχειρησιακών σχεδίων δράσης της Πολυκλαδικής Πλατφόρμας κατά των Εγκληματικών Απειλών για την κάνναβη, την κοκαΐνη και την ηρωίνη·</w:t>
      </w:r>
      <w:r w:rsidRPr="00BE04B1">
        <w:rPr>
          <w:rStyle w:val="FootnoteReference"/>
        </w:rPr>
        <w:t xml:space="preserve"> </w:t>
      </w:r>
      <w:r w:rsidRPr="00BE04B1">
        <w:t>υπενθυμίζει ότι η διακίνηση ναρκωτικών έχει αναγνωριστεί ως κύρια πηγή κέρδους και ως δίαυλος στρατολόγησης για το οργανωμένο έγκλημα και την τρομοκρατία, και τονίζει τη συμβολή του Κέντρου σε μια ασφαλέστερη Ευρώπη·</w:t>
      </w:r>
    </w:p>
    <w:p w:rsidR="00CF38D2" w:rsidRPr="00BE04B1" w:rsidRDefault="00CF38D2" w:rsidP="00D41DD4">
      <w:pPr>
        <w:pStyle w:val="NormalHanging12a"/>
        <w:widowControl/>
      </w:pPr>
      <w:r w:rsidRPr="00BE04B1">
        <w:t>11.</w:t>
      </w:r>
      <w:r w:rsidRPr="00BE04B1">
        <w:tab/>
        <w:t>εκφράζει την ικανοποίησή του για τη συνεχιζόμενη συνεργασία μεταξύ του Κέντρου και των χωρών εταίρων της Ευρωπαϊκής Πολιτικής Γειτονίας σε περιφερειακό επίπεδο, μέσω του έργου τεχνικής βοήθειας EU4MD, καθώς και για τη συνεχιζόμενη υλοποίηση του διμερούς έργου με τη Γεωργία (EMCDDA4GE)· χαιρετίζει την καθιέρωση επίσημης εταιρικής σχέσης στο πλαίσιο του προγράμματος συνεργασίας μεταξύ της Λατινικής Αμερικής, της Καραϊβικής και της Ευρωπαϊκής Ένωσης για τις πολιτικές στον τομέα των ναρκωτικών·</w:t>
      </w:r>
    </w:p>
    <w:p w:rsidR="00CF38D2" w:rsidRPr="00BE04B1" w:rsidRDefault="00CF38D2" w:rsidP="00D41DD4">
      <w:pPr>
        <w:pStyle w:val="Normal12Hanging"/>
        <w:widowControl/>
        <w:rPr>
          <w:b/>
          <w:i/>
          <w:szCs w:val="24"/>
        </w:rPr>
      </w:pPr>
      <w:r w:rsidRPr="00BE04B1">
        <w:rPr>
          <w:b/>
          <w:i/>
        </w:rPr>
        <w:t>Αποδοτικότητα και οφέλη</w:t>
      </w:r>
    </w:p>
    <w:p w:rsidR="00CF38D2" w:rsidRPr="00BE04B1" w:rsidRDefault="00CF38D2" w:rsidP="00D41DD4">
      <w:pPr>
        <w:pStyle w:val="Normal12Hanging"/>
        <w:widowControl/>
        <w:rPr>
          <w:szCs w:val="24"/>
        </w:rPr>
      </w:pPr>
      <w:r w:rsidRPr="00BE04B1">
        <w:t>12.</w:t>
      </w:r>
      <w:r w:rsidRPr="00BE04B1">
        <w:tab/>
        <w:t>επαινεί το Κέντρο για τη δέσμευσή του να βελτιώνει διαρκώς την αποτελεσματικότητα και αποδοτικότητα των δραστηριοτήτων του και να μεγιστοποιεί τη χρήση των πόρων, της εμπειρογνωσίας και τεχνογνωσίας του, προκειμένου να συμβάλει εντέλει σε μια ασφαλέστερη και υγιέστερη Ευρώπη, ιδίως χάρη σε ρυθμίσεις συνεργασίας με οργανισμούς στους τομείς της δικαιοσύνης και εσωτερικών υποθέσεων και της υγείας· σημειώνει τα μέτρα που έχει λάβει το Κέντρο ώστε να μειώσει το κόστος λειτουργίας των εγκαταστάσεών του, όπως η χρήση ηλιακής σκίασης σε υαλοπίνακες και διακοπτών για τον έλεγχο του κλίματος στα παράθυρα· σημειώνει ακόμη τη συμφωνία με τον Ευρωπαϊκό Οργανισμό για την Ασφάλεια στη Θάλασσα να μοιραστεί τη χρήση κοινόχρηστων χώρων (κυλικείο, υπόγειος χώρος στάθμευσης και συνεδριακές εγκαταστάσεις) στο συγκρότημα όπου βρίσκονται τα κεντρικά γραφεία τους, καθώς και τη συνεργασία μεταξύ των δύο οργανισμών όσον αφορά την ομαδοποιημένη προμήθεια κοινών υπηρεσιών (π.χ. ασφάλεια, καθαρισμός, τροφοδοσία, μεταξύ άλλων) και την κοινή οργάνωση δραστηριοτήτων κατάρτισης κοινού ενδιαφέροντος για το προσωπικό αμφότερων των οργανισμών·</w:t>
      </w:r>
    </w:p>
    <w:p w:rsidR="00CF38D2" w:rsidRPr="00BE04B1" w:rsidRDefault="00CF38D2" w:rsidP="00D41DD4">
      <w:pPr>
        <w:pStyle w:val="Normal12Hanging"/>
        <w:widowControl/>
      </w:pPr>
      <w:r w:rsidRPr="00BE04B1">
        <w:t>13.</w:t>
      </w:r>
      <w:r w:rsidRPr="00BE04B1">
        <w:tab/>
        <w:t>σημειώνει με ικανοποίηση ότι το Κέντρο διαθέτει στρατηγικό σχέδιο («περιβαλλοντική στρατηγική 2021-2025») για να καταστεί ουδέτερο ως προς τις ανθρακούχες εκπομπές, και ότι έχει συμπεριλάβει στην ετήσια έκθεση δραστηριοτήτων του δείκτες μέτρησης σχετικά με τις περιβαλλοντικές επιδόσεις και το αποτύπωμα CO</w:t>
      </w:r>
      <w:r w:rsidRPr="00BE04B1">
        <w:rPr>
          <w:vertAlign w:val="subscript"/>
        </w:rPr>
        <w:t>2</w:t>
      </w:r>
      <w:r w:rsidRPr="00BE04B1">
        <w:t xml:space="preserve"> του Κέντρου, με συνεχώς βελτιωμένα ετήσια αποτελέσματα από το 2014· επικροτεί την απόφαση που έλαβε το 2022 ο διευθυντής του Κέντρου σχετικά με τη λήψη της πιστοποίησης EMAS, διαδικασία η οποία αναμενόταν να ολοκληρωθεί το 2023·</w:t>
      </w:r>
    </w:p>
    <w:p w:rsidR="00CF38D2" w:rsidRPr="00BE04B1" w:rsidRDefault="00CF38D2" w:rsidP="00D41DD4">
      <w:pPr>
        <w:pStyle w:val="Normal12Hanging"/>
        <w:widowControl/>
      </w:pPr>
      <w:r w:rsidRPr="00BE04B1">
        <w:t>14.</w:t>
      </w:r>
      <w:r w:rsidRPr="00BE04B1">
        <w:tab/>
        <w:t>σημειώνει ότι, το 2022, το Κέντρο υλοποίησε διάφορα έργα που αποσκοπούσαν στη βελτίωση των περιβαλλοντικών επιδόσεων, βελτιώνοντας την κατανάλωση ηλεκτρικής ενέργειας, εγκαθιστώντας ηλιακές κυψέλες στην οροφή του κτιρίου, και εγκαθιστώντας ηλεκτρικούς σταθμούς κοινοχρησίας αυτοκινήτων με σκοπό την αντικατάσταση του στόλου οχημάτων του Κέντρου με ηλεκτρικά ή υβριδικά οχήματα·</w:t>
      </w:r>
    </w:p>
    <w:p w:rsidR="00CF38D2" w:rsidRPr="00BE04B1" w:rsidRDefault="00CF38D2" w:rsidP="00D41DD4">
      <w:pPr>
        <w:pStyle w:val="Normal12Hanging"/>
        <w:widowControl/>
        <w:rPr>
          <w:b/>
          <w:i/>
          <w:szCs w:val="24"/>
        </w:rPr>
      </w:pPr>
      <w:r w:rsidRPr="00BE04B1">
        <w:rPr>
          <w:b/>
          <w:i/>
        </w:rPr>
        <w:t>Πολιτική προσωπικού</w:t>
      </w:r>
    </w:p>
    <w:p w:rsidR="00CF38D2" w:rsidRPr="00BE04B1" w:rsidRDefault="00CF38D2" w:rsidP="00D41DD4">
      <w:pPr>
        <w:pStyle w:val="Normal12Hanging"/>
        <w:widowControl/>
        <w:rPr>
          <w:szCs w:val="24"/>
        </w:rPr>
      </w:pPr>
      <w:r w:rsidRPr="00BE04B1">
        <w:t>15.</w:t>
      </w:r>
      <w:r w:rsidRPr="00BE04B1">
        <w:tab/>
        <w:t>σημειώνει ότι, στις 31 Δεκεμβρίου 2022, το ποσοστό εκτέλεσης του πίνακα προσωπικού ήταν 97 %, με την κάλυψη έξι εκ των επτά θέσεων μόνιμων υπαλλήλων και 68 εκ των 69 θέσεων έκτακτων υπαλλήλων που είχαν εγκριθεί στον προϋπολογισμό της Ένωσης (76 εγκεκριμένες θέσεις το 2022, όπως και το 2021)· σημειώνει ότι, επιπλέον, 27 συμβασιούχοι υπάλληλοι εργάστηκαν για το Κέντρο το 2022· επικροτεί την αναλυτική εξέταση του προσωπικού του Κέντρου το 2022 και την αποτελεσματική και αποδοτική κατανομή των πόρων του, με το 72,44 % του προσωπικού του Κέντρου να ασχολείται με επιχειρησιακές δραστηριότητες, το 18,20 % με τη διοικητική υποστήριξη και τον συντονισμό και το 9,35 % με ουδέτερες εργασίες· επαινεί το Κέντρο για το χαμηλό ποσοστό εναλλαγής προσωπικού (2,9 %) το 2022·</w:t>
      </w:r>
    </w:p>
    <w:p w:rsidR="00CF38D2" w:rsidRPr="00BE04B1" w:rsidRDefault="00CF38D2" w:rsidP="00D41DD4">
      <w:pPr>
        <w:pStyle w:val="NormalHanging12a"/>
        <w:widowControl/>
      </w:pPr>
      <w:r w:rsidRPr="00BE04B1">
        <w:t>16.</w:t>
      </w:r>
      <w:r w:rsidRPr="00BE04B1">
        <w:tab/>
        <w:t>σημειώνει ότι, σύμφωνα με πληροφορίες, το Κέντρο έχει δύο γυναίκες (22 %) και επτά άνδρες (78 %) στις ανώτερες διοικητικές θέσεις του, ενώ στο διοικητικό του συμβούλιο (ΔΣ) συμμετέχουν 20 γυναίκες (37 %) και 34 άνδρες (63 %)· σημειώνει ότι το προσωπικό απαρτίζεται συνολικά από 36 άνδρες (38 %) και 58 γυναίκες (62 %)· υπενθυμίζει τη σημασία να διασφαλιστεί η ισόρροπη εκπροσώπηση των φύλων στο προσωπικό, και καλεί το Κέντρο να λάβει υπόψη την πτυχή αυτή όσον αφορά τις μελλοντικές προσλήψεις προσωπικού και τους διορισμούς στις ανώτερες διοικητικές θέσεις του· ζητεί από την Επιτροπή και τα κράτη μέλη να λάβουν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Κέντρου·</w:t>
      </w:r>
    </w:p>
    <w:p w:rsidR="00CF38D2" w:rsidRPr="00BE04B1" w:rsidRDefault="00CF38D2" w:rsidP="00D41DD4">
      <w:pPr>
        <w:pStyle w:val="Normal12Hanging"/>
        <w:widowControl/>
        <w:rPr>
          <w:szCs w:val="24"/>
        </w:rPr>
      </w:pPr>
      <w:r w:rsidRPr="00BE04B1">
        <w:t>17.</w:t>
      </w:r>
      <w:r w:rsidRPr="00BE04B1">
        <w:tab/>
        <w:t>λαμβάνει γνώση της έκθεσης του Κέντρου σχετικά με τα μέτρα παρακολούθησης που ελήφθησαν στο πλαίσιο της απαλλαγής όσον αφορά την εκτέλεση του προϋπολογισμού του Κέντρου για το οικονομικό έτος 2021 («η έκθεση του Κέντρου»), για τη βελτίωση της ισόρροπης εκπροσώπησης των φύλων εντός του Κέντρου· παρατηρεί ότι τα εν λόγω μέτρα ελήφθησαν στο πλαίσιο των διαδικασιών πρόσληψης του Κέντρου και της διάδοσης, στα κράτη μέλη, πληροφοριών σχετικά με τη διαδικασία επιλογής του Κέντρου· επαινεί τον πρόεδρο του διοικητικού συμβουλίου του Κέντρου για την επικοινωνία με τις αρμόδιες αρχές των κρατών μελών, της Νορβηγίας και της Τουρκίας όσον αφορά τη διασφάλιση της ισόρροπης εκπροσώπησης των φύλων κατά τον διορισμό των μελών του διοικητικού συμβουλίου του Κέντρου· σημειώνει ακόμη ότι, σύμφωνα με την έκθεση του Κέντρου όσον αφορά την παρατήρηση σχετικά με τη μη χρήση του SYSPER, το Κέντρο έχει αναπτύξει και θέσει σε εφαρμογή δικά του εργαλεία ΤΠΕ για την ψηφιοποιημένη διαχείριση των ανθρώπινων πόρων·</w:t>
      </w:r>
    </w:p>
    <w:p w:rsidR="00CF38D2" w:rsidRPr="00BE04B1" w:rsidRDefault="00CF38D2" w:rsidP="00D41DD4">
      <w:pPr>
        <w:pStyle w:val="Normal12Hanging"/>
        <w:widowControl/>
        <w:rPr>
          <w:szCs w:val="24"/>
        </w:rPr>
      </w:pPr>
      <w:r w:rsidRPr="00BE04B1">
        <w:t>18.</w:t>
      </w:r>
      <w:r w:rsidRPr="00BE04B1">
        <w:tab/>
        <w:t>υπενθυμίζει, σύμφωνα με την ετήσια έκθεση του Ελεγκτικού Συνεδρίου σχετικά με τους οργανισμούς της Ένωσης για το 2018, την παρατήρηση όσον αφορά την πρόσληψη προσωρινά απασχολουμένων μέσω σύμβασης-πλαισίου χωρίς να τηρούνται οι απαιτήσεις της οδηγίας 2008/104/ΕΚ</w:t>
      </w:r>
      <w:r w:rsidRPr="00BE04B1">
        <w:rPr>
          <w:rStyle w:val="FootnoteReference"/>
          <w:szCs w:val="24"/>
        </w:rPr>
        <w:footnoteReference w:id="14"/>
      </w:r>
      <w:r w:rsidRPr="00BE04B1">
        <w:t xml:space="preserve"> και της πορτογαλικής εργατικής νομοθεσίας· σημειώνει ότι, σύμφωνα με την έκθεση του Ελεγκτικού Συνεδρίου, η παρατήρηση αυτή έχει κλείσει, ενώ η εν λόγω σύμβαση-πλαίσιο έληξε τον Μάρτιο του 2022 και η τελευταία πληρωμή για τους προσωρινά απασχολούμενους πραγματοποιήθηκε τον Ιανουάριο του 2022·</w:t>
      </w:r>
    </w:p>
    <w:p w:rsidR="00CF38D2" w:rsidRPr="00BE04B1" w:rsidRDefault="00CF38D2" w:rsidP="00D41DD4">
      <w:pPr>
        <w:pStyle w:val="Normal12Hanging"/>
        <w:widowControl/>
        <w:rPr>
          <w:b/>
          <w:i/>
          <w:szCs w:val="24"/>
        </w:rPr>
      </w:pPr>
      <w:r w:rsidRPr="00BE04B1">
        <w:rPr>
          <w:b/>
          <w:i/>
        </w:rPr>
        <w:t>Σύναψη συμβάσεων</w:t>
      </w:r>
    </w:p>
    <w:p w:rsidR="00CF38D2" w:rsidRPr="00BE04B1" w:rsidRDefault="00CF38D2" w:rsidP="00D41DD4">
      <w:pPr>
        <w:pStyle w:val="NormalHanging12a"/>
        <w:widowControl/>
        <w:rPr>
          <w:szCs w:val="24"/>
        </w:rPr>
      </w:pPr>
      <w:r w:rsidRPr="00BE04B1">
        <w:t>19.</w:t>
      </w:r>
      <w:r w:rsidRPr="00BE04B1">
        <w:tab/>
        <w:t>σημειώνει ότι, σύμφωνα με την έκθεση του Ελεγκτικού Συνεδρίου, το ποσό (75 000 EUR) που αντιστοιχεί σε σύμβαση η οποία συνήφθη το 2022 δεν καλύφθηκε πλήρως από αντίστοιχη δημοσιονομική δέσμευση, με αποτέλεσμα να σημειωθεί έλλειμμα ύψους 8 000 EUR· σημειώνει ότι παρόμοια κατάσταση προέκυψε το 2021 για τον ίδιο τύπο σύμβασης, και ότι σε αμφότερες τις περιπτώσεις το Κέντρο, σύμφωνα με την έκθεση του Ελεγκτικού Συνεδρίου, δεν συμμορφώθηκε με τις απαιτήσεις του άρθρου 10 παράγραφος 3 και του άρθρου 73 παράγραφος 2 του δημοσιονομικού κανονισμού του Κέντρου· αναγνωρίζει ωστόσο, από την απάντηση του Κέντρου, ότι το κόστος της σύμβασης επιμερίστηκε με βάση τις συμφωνίες που συνήφθησαν με δύο άλλες οντότητες που χρησιμοποιούν τις εγκαταστάσεις του Κέντρου στη Λισαβόνα· παρατηρεί, στο πλαίσιο αυτό, ότι το Κέντρο χρειάστηκε να επωμισθεί ένα μόνο μέρος του συνολικού κόστους/δαπάνης για τη σύμβαση, το οποίο βασιζόταν σε αντίστοιχες δημοσιονομικές αναλήψεις υποχρεώσεων, ενώ το υπόλοιπο κόστος βασιζόταν σε λογιστικές πράξεις αντιστάθμισης/εκκαθάρισης, δεδομένου ότι το κόστος αυτό βάρυνε τις δύο άλλες οντότητες·</w:t>
      </w:r>
    </w:p>
    <w:p w:rsidR="00CF38D2" w:rsidRPr="00BE04B1" w:rsidRDefault="00CF38D2" w:rsidP="00D41DD4">
      <w:pPr>
        <w:pStyle w:val="Normal12Hanging"/>
        <w:widowControl/>
        <w:rPr>
          <w:b/>
          <w:i/>
          <w:szCs w:val="24"/>
        </w:rPr>
      </w:pPr>
      <w:r w:rsidRPr="00BE04B1">
        <w:rPr>
          <w:b/>
          <w:i/>
        </w:rPr>
        <w:t>Πρόληψη και διαχείριση συγκρούσεων συμφερόντων και διαφάνεια</w:t>
      </w:r>
    </w:p>
    <w:p w:rsidR="00CF38D2" w:rsidRPr="00BE04B1" w:rsidRDefault="00CF38D2" w:rsidP="00D41DD4">
      <w:pPr>
        <w:pStyle w:val="Normal12Hanging"/>
        <w:widowControl/>
        <w:rPr>
          <w:szCs w:val="24"/>
        </w:rPr>
      </w:pPr>
      <w:r w:rsidRPr="00BE04B1">
        <w:t>20.</w:t>
      </w:r>
      <w:r w:rsidRPr="00BE04B1">
        <w:tab/>
        <w:t>αναγνωρίζει τα υφιστάμενα μέτρα που εφαρμόζει το Κέντρο και τις προσπάθειες που εξακολουθεί να καταβάλλει ώστε να διασφαλίζει τη διαφάνεια, να προλαμβάνει και να διαχειρίζεται τις συγκρούσεις συμφερόντων και να παρέχει προστασία σε πληροφοριοδότες δημόσιου συμφέροντος· σημειώνει ότι, το 2022, δεν αναφέρθηκαν, δεν διερευνήθηκαν και δεν περατώθηκαν περιπτώσεις σύγκρουσης συμφερόντων και καταγγελίας δυσλειτουργιών· επικροτεί το γεγονός ότι το Κέντρο δημοσίευσε στον ιστότοπό του τις δηλώσεις συμφερόντων και τα βιογραφικά σημειώματα των ανώτερων διοικητικών στελεχών του, των μελών του διοικητικού συμβουλίου και των εξωτερικών εμπειρογνωμόνων που είναι μέλη της επιστημονικής επιτροπής του Κέντρου· υπενθυμίζει ότι, στην περίπτωση των μελών του διοικητικού συμβουλίου, στον ιστότοπο του Κέντρου διατίθεται περίληψη μόνο των τρεχουσών επαγγελματικών δραστηριοτήτων τους· σημειώνει τη δέσμευση του Κέντρου να εξετάσει, έως το τέλος του 2023, τη σκοπιμότητα να περιλαμβάνεται στα δημοσιευμένα βιογραφικά σημειώματα η προηγούμενη επαγγελματική δραστηριότητα των εν λόγω μελών·</w:t>
      </w:r>
    </w:p>
    <w:p w:rsidR="00CF38D2" w:rsidRPr="00BE04B1" w:rsidRDefault="00CF38D2" w:rsidP="00D41DD4">
      <w:pPr>
        <w:pStyle w:val="Normal12Hanging"/>
        <w:widowControl/>
        <w:rPr>
          <w:szCs w:val="24"/>
        </w:rPr>
      </w:pPr>
      <w:r w:rsidRPr="00BE04B1">
        <w:t>21.</w:t>
      </w:r>
      <w:r w:rsidRPr="00BE04B1">
        <w:tab/>
        <w:t>σημειώνει ότι το Κέντρο δεν συναντήθηκε με εκπροσώπους ομάδων συμφερόντων το 2022· σημειώνει ακόμη ότι, με βάση τις κατευθυντήριες γραμμές και τις συστάσεις που εκπόνησαν η Επιτροπή και ο Ευρωπαίος Διαμεσολαβητής επί του θέματος, το Κέντρο έχει θεσπίσει κώδικα δεοντολογίας και πρακτικές συστάσεις/κατευθυντήριες γραμμές για την πιθανή αλληλεπίδραση του προσωπικού του με εκπροσώπους συμφερόντων· σημειώνει ακόμη ότι, σε περίπτωση που πραγματοποιηθούν τέτοιες συναντήσεις, οι εν λόγω κατευθυντήριες γραμμές συνιστούν την καταχώριση και δημοσιοποίηση της συνάντησης· καλεί το Κέντρο να τηρεί τις εν λόγω κατευθυντήριες γραμμές και να δημοσιεύει χωρίς καθυστέρηση τις εν λόγω συναντήσεις·</w:t>
      </w:r>
    </w:p>
    <w:p w:rsidR="00CF38D2" w:rsidRPr="00BE04B1" w:rsidRDefault="00CF38D2" w:rsidP="00D41DD4">
      <w:pPr>
        <w:pStyle w:val="Normal12Hanging"/>
        <w:widowControl/>
        <w:rPr>
          <w:b/>
          <w:i/>
          <w:szCs w:val="24"/>
        </w:rPr>
      </w:pPr>
      <w:r w:rsidRPr="00BE04B1">
        <w:rPr>
          <w:b/>
          <w:i/>
        </w:rPr>
        <w:t>Εσωτερικός έλεγχος</w:t>
      </w:r>
    </w:p>
    <w:p w:rsidR="00CF38D2" w:rsidRPr="00BE04B1" w:rsidRDefault="00CF38D2" w:rsidP="00D41DD4">
      <w:pPr>
        <w:pStyle w:val="Normal12Hanging"/>
        <w:widowControl/>
        <w:rPr>
          <w:szCs w:val="24"/>
        </w:rPr>
      </w:pPr>
      <w:r w:rsidRPr="00BE04B1">
        <w:t>22.</w:t>
      </w:r>
      <w:r w:rsidRPr="00BE04B1">
        <w:tab/>
        <w:t>σημειώνει ότι, το 2022, η Υπηρεσία Εσωτερικού Λογιστικού Ελέγχου (IAS) διενήργησε δύο ελέγχους για το Κέντρο, και συγκεκριμένα όσον αφορά τη διεθνή συνεργασία και την επάρκεια του συντονισμού και των ρυθμίσεων εργασίας των γενικών διευθύνσεων-εταίρων και άλλων συμφεροντούχων, καθώς και το πλαίσιο διακυβέρνησης των αποκεντρωμένων οργανισμών της Ένωσης· σημειώνει ότι τα αποτελέσματα για αμφότερα τα έργα ελέγχου δεν ήταν ακόμη διαθέσιμα στο τέλος του 2022, χρονική στιγμή κατά την οποία δεν υπήρχαν εκκρεμείς κρίσιμοι κίνδυνοι ή συστάσεις από την IAS, εκτός από μία εκκρεμούσα σύσταση σχετικά με την εσωτερική επικοινωνία, από έλεγχο όσον αφορά τη διαχείριση των ανθρώπινων πόρων και τη δεοντολογία ο οποίος διενεργήθηκε το 2021·</w:t>
      </w:r>
    </w:p>
    <w:p w:rsidR="00CF38D2" w:rsidRPr="00BE04B1" w:rsidRDefault="00CF38D2" w:rsidP="00D41DD4">
      <w:pPr>
        <w:pStyle w:val="Normal12Hanging"/>
        <w:widowControl/>
        <w:rPr>
          <w:szCs w:val="24"/>
        </w:rPr>
      </w:pPr>
      <w:r w:rsidRPr="00BE04B1">
        <w:t>23.</w:t>
      </w:r>
      <w:r w:rsidRPr="00BE04B1">
        <w:tab/>
        <w:t>επικροτεί το αποτέλεσμα της αξιολόγησης του 2022 σχετικά με την αποτελεσματικότητα των συστημάτων εσωτερικού ελέγχου του Κέντρου, σύμφωνα με το οποίο όλες οι συνιστώσες υφίστανται και λειτουργούν· σημειώνει ότι η αξιολόγηση εντόπισε πέντε αρχές του πλαισίου εσωτερικού ελέγχου όπου ενδέχεται να απαιτούνται ορισμένες βελτιώσεις σε σχέση με το περιβάλλον ελέγχου, τις δραστηριότητες ελέγχου και την ενημέρωση και επικοινωνία· σημειώνει ακόμη ότι, το 2022, πραγματοποιήθηκε ολοκληρωμένη διαδικασία εντοπισμού και αξιολόγησης κινδύνων, με στόχο τη βελτίωση της διαχείρισης κινδύνων στο Κέντρο, εντοπίστηκαν δε κίνδυνοι που σχετίζονται με τη νέα εντολή του Κέντρου και το νέο επιχειρηματικό μοντέλο του· καλεί το Κέντρο να αντιμετωπίσει όλες τις ελλείψεις που εντοπίστηκαν με την ευκαιρία των διαφόρων αξιολογήσεων που διενεργήθηκαν το 2022·</w:t>
      </w:r>
    </w:p>
    <w:p w:rsidR="00CF38D2" w:rsidRPr="00BE04B1" w:rsidRDefault="00CF38D2" w:rsidP="00D41DD4">
      <w:pPr>
        <w:pStyle w:val="Normal12Hanging"/>
        <w:widowControl/>
      </w:pPr>
      <w:r w:rsidRPr="00BE04B1">
        <w:t>24.</w:t>
      </w:r>
      <w:r w:rsidRPr="00BE04B1">
        <w:tab/>
        <w:t>σημειώνει ότι το Κέντρο ενέκρινε, το 2021, αναθεωρημένη στρατηγική για την καταπολέμηση της απάτης, με τρεις στρατηγικούς στόχους και ένα σχέδιο δράσης για την εφαρμογή του το 2022, το οποίο, έως το τέλος του έτους, εφαρμοζόταν ευρέως, με μόνο μία από τις 12 δράσεις να εκκρεμεί ακόμα·</w:t>
      </w:r>
    </w:p>
    <w:p w:rsidR="00CF38D2" w:rsidRPr="00BE04B1" w:rsidRDefault="007F1AD0" w:rsidP="00D41DD4">
      <w:pPr>
        <w:pStyle w:val="Normal12Hanging"/>
        <w:widowControl/>
        <w:rPr>
          <w:b/>
          <w:i/>
          <w:szCs w:val="24"/>
        </w:rPr>
      </w:pPr>
      <w:r w:rsidRPr="00BE04B1">
        <w:rPr>
          <w:b/>
          <w:i/>
        </w:rPr>
        <w:t>Λοιπές παρατηρήσεις</w:t>
      </w:r>
    </w:p>
    <w:p w:rsidR="00CF38D2" w:rsidRPr="00BE04B1" w:rsidRDefault="00CF38D2" w:rsidP="00D41DD4">
      <w:pPr>
        <w:pStyle w:val="Normal12Hanging"/>
        <w:widowControl/>
        <w:rPr>
          <w:szCs w:val="24"/>
        </w:rPr>
      </w:pPr>
      <w:r w:rsidRPr="00BE04B1">
        <w:t>25.</w:t>
      </w:r>
      <w:r w:rsidRPr="00BE04B1">
        <w:tab/>
        <w:t>επαινεί το Κέντρο για τις επικοινωνιακές προσπάθειες που εστίασαν στη διασφάλιση της παραγωγής δημοσιεύσεων υψηλής ποιότητας: το 2022 εκδόθηκαν 66 επιστημονικές και θεσμικές δημοσιεύσεις και 16 επιστημονικά άρθρα και κεφάλαια βιβλίων που συντάχθηκαν από το Κέντρο ή από κοινού με το Κέντρο και δημοσιεύθηκαν σε υψηλού κύρους περιοδικά·</w:t>
      </w:r>
    </w:p>
    <w:p w:rsidR="00CF38D2" w:rsidRPr="00BE04B1" w:rsidRDefault="00CF38D2" w:rsidP="00D41DD4">
      <w:pPr>
        <w:pStyle w:val="Normal12Hanging"/>
        <w:widowControl/>
        <w:rPr>
          <w:szCs w:val="24"/>
        </w:rPr>
      </w:pPr>
      <w:r w:rsidRPr="00BE04B1">
        <w:t>26.</w:t>
      </w:r>
      <w:r w:rsidRPr="00BE04B1">
        <w:tab/>
        <w:t>επικροτεί τη σημαντική αύξηση του κοινού του Κέντρου το 2022 σε όλους τους διαύλους· σημειώνει ότι, στο πλαίσιο αυτό, το Κέντρο είχε περίπου 2,6 </w:t>
      </w:r>
      <w:r w:rsidR="00D41DD4" w:rsidRPr="00BE04B1">
        <w:t>εκατομμύρια</w:t>
      </w:r>
      <w:r w:rsidRPr="00BE04B1">
        <w:t> μοναδικούς επισκέπτες στον ιστότοπό του, που ήταν αριθμός ρεκόρ (αύξηση σχεδόν κατά 50 % σε σχέση με το 2021), 1,6 </w:t>
      </w:r>
      <w:r w:rsidR="00D41DD4" w:rsidRPr="00BE04B1">
        <w:t>εκατομμύρια</w:t>
      </w:r>
      <w:r w:rsidRPr="00BE04B1">
        <w:t xml:space="preserve"> προβολές των </w:t>
      </w:r>
      <w:proofErr w:type="spellStart"/>
      <w:r w:rsidRPr="00BE04B1">
        <w:t>βίντεό</w:t>
      </w:r>
      <w:proofErr w:type="spellEnd"/>
      <w:r w:rsidRPr="00BE04B1">
        <w:t xml:space="preserve"> του (αύξηση κατά 15 % σε σύγκριση με το 2021), και περισσότερους ακολούθους σε δύο βασικά μέσα κοινωνικής δικτύωσης, στο LinkedIn (+57 %) και στο </w:t>
      </w:r>
      <w:proofErr w:type="spellStart"/>
      <w:r w:rsidRPr="00BE04B1">
        <w:t>Instagram</w:t>
      </w:r>
      <w:proofErr w:type="spellEnd"/>
      <w:r w:rsidRPr="00BE04B1">
        <w:t xml:space="preserve"> (+37 %)·</w:t>
      </w:r>
    </w:p>
    <w:p w:rsidR="00CF38D2" w:rsidRPr="00BE04B1" w:rsidRDefault="00CF38D2" w:rsidP="00D41DD4">
      <w:pPr>
        <w:pStyle w:val="Normal12Hanging"/>
        <w:widowControl/>
        <w:rPr>
          <w:szCs w:val="24"/>
        </w:rPr>
      </w:pPr>
      <w:r w:rsidRPr="00BE04B1">
        <w:t>27.</w:t>
      </w:r>
      <w:r w:rsidRPr="00BE04B1">
        <w:tab/>
        <w:t>καλεί το Κέντρο να εστιάσει στη διάδοση των αποτελεσμάτων των ερευνών του στο ευρύ κοινό και να αξιοποιήσει τα μέσα κοινωνικής δικτύωσης και άλλα μέσα ενημέρωσης για να προσεγγίσει το κοινό· επικροτεί, εν προκειμένω, το γεγονός ότι οι εκθέσεις που εκπονεί το Κέντρο είναι προσβάσιμες σε χρήστες·</w:t>
      </w:r>
    </w:p>
    <w:p w:rsidR="00CF38D2" w:rsidRPr="00BE04B1" w:rsidRDefault="00CF38D2" w:rsidP="00D41DD4">
      <w:pPr>
        <w:pStyle w:val="NormalHanging12a"/>
        <w:widowControl/>
        <w:rPr>
          <w:szCs w:val="24"/>
        </w:rPr>
      </w:pPr>
      <w:r w:rsidRPr="00BE04B1">
        <w:t>28.</w:t>
      </w:r>
      <w:r w:rsidRPr="00BE04B1">
        <w:tab/>
        <w:t xml:space="preserve">εκφράζει την ικανοποίησή του για τη σελίδα ενημερωτικού υλικού «EMCDDA 4 </w:t>
      </w:r>
      <w:proofErr w:type="spellStart"/>
      <w:r w:rsidRPr="00BE04B1">
        <w:t>Ukraine</w:t>
      </w:r>
      <w:proofErr w:type="spellEnd"/>
      <w:r w:rsidRPr="00BE04B1">
        <w:t>», η οποία δημιουργήθηκε για επαγγελματίες που εργάζονται στον τομέα των ναρκωτικών στην Ευρώπη προς στήριξη των εκτοπισθέντων από την Ουκρανία·</w:t>
      </w:r>
    </w:p>
    <w:p w:rsidR="00CF38D2" w:rsidRPr="00BE04B1" w:rsidRDefault="00CF38D2" w:rsidP="00D41DD4">
      <w:pPr>
        <w:pStyle w:val="NormalCenter12a"/>
        <w:widowControl/>
        <w:ind w:left="567" w:hanging="567"/>
      </w:pPr>
      <w:r w:rsidRPr="00BE04B1">
        <w:t>°</w:t>
      </w:r>
    </w:p>
    <w:p w:rsidR="00CF38D2" w:rsidRPr="00BE04B1" w:rsidRDefault="00CF38D2" w:rsidP="00D41DD4">
      <w:pPr>
        <w:pStyle w:val="NormalCenter12a"/>
        <w:widowControl/>
        <w:ind w:left="567" w:hanging="567"/>
      </w:pPr>
      <w:r w:rsidRPr="00BE04B1">
        <w:t>°</w:t>
      </w:r>
      <w:r w:rsidRPr="00BE04B1">
        <w:tab/>
        <w:t>°</w:t>
      </w:r>
    </w:p>
    <w:p w:rsidR="00CF38D2" w:rsidRPr="00BE04B1" w:rsidRDefault="00CF38D2" w:rsidP="00D41DD4">
      <w:pPr>
        <w:pStyle w:val="NormalHanging12a"/>
        <w:widowControl/>
      </w:pPr>
      <w:r w:rsidRPr="00BE04B1">
        <w:t>29.</w:t>
      </w:r>
      <w:r w:rsidRPr="00BE04B1">
        <w:tab/>
        <w:t xml:space="preserve">παραπέμπει, όσον αφορά τις άλλες παρατηρήσεις οριζόντιου χαρακτήρα που συνοδεύουν την απόφαση απαλλαγής, στο ψήφισμά του της </w:t>
      </w:r>
      <w:r w:rsidR="00D41DD4" w:rsidRPr="00BE04B1">
        <w:t xml:space="preserve">11ης Απριλίου </w:t>
      </w:r>
      <w:r w:rsidRPr="00BE04B1">
        <w:t>2024</w:t>
      </w:r>
      <w:r w:rsidRPr="00BE04B1">
        <w:rPr>
          <w:rStyle w:val="FootnoteReference"/>
        </w:rPr>
        <w:footnoteReference w:id="15"/>
      </w:r>
      <w:r w:rsidRPr="00BE04B1">
        <w:t xml:space="preserve"> σχετικά με τις επιδόσεις, τη χρηματοοικονομική διαχείριση και τον έλεγχο των οργανισμών.</w:t>
      </w:r>
    </w:p>
    <w:p w:rsidR="00D41DD4" w:rsidRPr="00BE04B1" w:rsidRDefault="00D41DD4" w:rsidP="00D41DD4">
      <w:pPr>
        <w:pStyle w:val="NormalHanging12a"/>
        <w:widowControl/>
      </w:pPr>
    </w:p>
    <w:p w:rsidR="00D41DD4" w:rsidRPr="00BE04B1" w:rsidRDefault="00D41DD4" w:rsidP="00D41DD4">
      <w:pPr>
        <w:pStyle w:val="NormalHanging12a"/>
        <w:widowControl/>
      </w:pPr>
    </w:p>
    <w:sectPr w:rsidR="00D41DD4" w:rsidRPr="00BE04B1" w:rsidSect="00D864B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4C2" w:rsidRPr="00D864B4" w:rsidRDefault="007E54C2">
      <w:r w:rsidRPr="00D864B4">
        <w:separator/>
      </w:r>
    </w:p>
  </w:endnote>
  <w:endnote w:type="continuationSeparator" w:id="0">
    <w:p w:rsidR="007E54C2" w:rsidRPr="00D864B4" w:rsidRDefault="007E54C2">
      <w:r w:rsidRPr="00D86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8D2" w:rsidRPr="00D864B4" w:rsidRDefault="00CF38D2" w:rsidP="00AE4CAD">
    <w:pPr>
      <w:pStyle w:val="EPFooter"/>
    </w:pPr>
    <w:r w:rsidRPr="00D864B4">
      <w:t>PE</w:t>
    </w:r>
    <w:r w:rsidRPr="00D864B4">
      <w:rPr>
        <w:rStyle w:val="HideTWBExt"/>
      </w:rPr>
      <w:t>&lt;NoPE&gt;</w:t>
    </w:r>
    <w:r w:rsidRPr="00D864B4">
      <w:t>753.525</w:t>
    </w:r>
    <w:r w:rsidRPr="00D864B4">
      <w:rPr>
        <w:rStyle w:val="HideTWBExt"/>
      </w:rPr>
      <w:t>&lt;/NoPE&gt;&lt;Version&gt;</w:t>
    </w:r>
    <w:r w:rsidRPr="00D864B4">
      <w:t>v02-00</w:t>
    </w:r>
    <w:r w:rsidRPr="00D864B4">
      <w:rPr>
        <w:rStyle w:val="HideTWBExt"/>
      </w:rPr>
      <w:t>&lt;/Version&gt;</w:t>
    </w:r>
    <w:r w:rsidRPr="00D864B4">
      <w:tab/>
    </w:r>
    <w:r w:rsidRPr="00D864B4">
      <w:fldChar w:fldCharType="begin"/>
    </w:r>
    <w:r w:rsidRPr="00D864B4">
      <w:instrText xml:space="preserve"> PAGE  \* MERGEFORMAT </w:instrText>
    </w:r>
    <w:r w:rsidRPr="00D864B4">
      <w:fldChar w:fldCharType="separate"/>
    </w:r>
    <w:r w:rsidR="00D864B4" w:rsidRPr="00D864B4">
      <w:rPr>
        <w:noProof/>
      </w:rPr>
      <w:t>2</w:t>
    </w:r>
    <w:r w:rsidRPr="00D864B4">
      <w:fldChar w:fldCharType="end"/>
    </w:r>
    <w:r w:rsidRPr="00D864B4">
      <w:t>/</w:t>
    </w:r>
    <w:fldSimple w:instr=" NUMPAGES  \* MERGEFORMAT ">
      <w:r w:rsidR="00D864B4" w:rsidRPr="00D864B4">
        <w:rPr>
          <w:noProof/>
        </w:rPr>
        <w:t>4</w:t>
      </w:r>
    </w:fldSimple>
    <w:r w:rsidRPr="00D864B4">
      <w:tab/>
    </w:r>
    <w:r w:rsidRPr="00D864B4">
      <w:rPr>
        <w:rStyle w:val="HideTWBExt"/>
      </w:rPr>
      <w:t>&lt;PathFdR&gt;</w:t>
    </w:r>
    <w:r w:rsidRPr="00D864B4">
      <w:t>RR\1298782EL.docx</w:t>
    </w:r>
    <w:r w:rsidRPr="00D864B4">
      <w:rPr>
        <w:rStyle w:val="HideTWBExt"/>
      </w:rPr>
      <w:t>&lt;/PathFdR&gt;</w:t>
    </w:r>
  </w:p>
  <w:p w:rsidR="00CF38D2" w:rsidRPr="00D864B4" w:rsidRDefault="00CF38D2" w:rsidP="00AE4CAD">
    <w:pPr>
      <w:pStyle w:val="EPFooter2"/>
    </w:pPr>
    <w:r w:rsidRPr="00D864B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8D2" w:rsidRPr="00D864B4" w:rsidRDefault="00CF38D2" w:rsidP="00AE4CAD">
    <w:pPr>
      <w:pStyle w:val="EPFooter"/>
    </w:pPr>
    <w:r w:rsidRPr="00D864B4">
      <w:rPr>
        <w:rStyle w:val="HideTWBExt"/>
      </w:rPr>
      <w:t>&lt;PathFdR&gt;</w:t>
    </w:r>
    <w:r w:rsidRPr="00D864B4">
      <w:t>RR\1298782EL.docx</w:t>
    </w:r>
    <w:r w:rsidRPr="00D864B4">
      <w:rPr>
        <w:rStyle w:val="HideTWBExt"/>
      </w:rPr>
      <w:t>&lt;/PathFdR&gt;</w:t>
    </w:r>
    <w:r w:rsidRPr="00D864B4">
      <w:tab/>
    </w:r>
    <w:r w:rsidRPr="00D864B4">
      <w:tab/>
      <w:t>PE</w:t>
    </w:r>
    <w:r w:rsidRPr="00D864B4">
      <w:rPr>
        <w:rStyle w:val="HideTWBExt"/>
      </w:rPr>
      <w:t>&lt;NoPE&gt;</w:t>
    </w:r>
    <w:r w:rsidRPr="00D864B4">
      <w:t>753.525</w:t>
    </w:r>
    <w:r w:rsidRPr="00D864B4">
      <w:rPr>
        <w:rStyle w:val="HideTWBExt"/>
      </w:rPr>
      <w:t>&lt;/NoPE&gt;&lt;Version&gt;</w:t>
    </w:r>
    <w:r w:rsidRPr="00D864B4">
      <w:t>v02-00</w:t>
    </w:r>
    <w:r w:rsidRPr="00D864B4">
      <w:rPr>
        <w:rStyle w:val="HideTWBExt"/>
      </w:rPr>
      <w:t>&lt;/Version&gt;</w:t>
    </w:r>
  </w:p>
  <w:p w:rsidR="00CF38D2" w:rsidRPr="00D864B4" w:rsidRDefault="00CF38D2" w:rsidP="00AE4CAD">
    <w:pPr>
      <w:pStyle w:val="EPFooter2"/>
    </w:pPr>
    <w:r w:rsidRPr="00D864B4">
      <w:t>EL</w:t>
    </w:r>
    <w:r w:rsidRPr="00D864B4">
      <w:tab/>
    </w:r>
    <w:r w:rsidRPr="00D864B4">
      <w:rPr>
        <w:b w:val="0"/>
        <w:i/>
        <w:color w:val="C0C0C0"/>
        <w:sz w:val="22"/>
      </w:rPr>
      <w:t>Ενωμένη στην πολυμορφία</w:t>
    </w:r>
    <w:r w:rsidRPr="00D864B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4B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4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4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4C2" w:rsidRPr="00D864B4" w:rsidRDefault="007E54C2">
      <w:r w:rsidRPr="00D864B4">
        <w:separator/>
      </w:r>
    </w:p>
  </w:footnote>
  <w:footnote w:type="continuationSeparator" w:id="0">
    <w:p w:rsidR="007E54C2" w:rsidRPr="00D864B4" w:rsidRDefault="007E54C2">
      <w:r w:rsidRPr="00D864B4">
        <w:continuationSeparator/>
      </w:r>
    </w:p>
  </w:footnote>
  <w:footnote w:id="1">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C, C/2023/594, 27.10.2023.</w:t>
      </w:r>
    </w:p>
  </w:footnote>
  <w:footnote w:id="2">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C, C/2023/112, 12.10.2023.</w:t>
      </w:r>
    </w:p>
  </w:footnote>
  <w:footnote w:id="3">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193 της 30.7.2018, σ. 1.</w:t>
      </w:r>
    </w:p>
  </w:footnote>
  <w:footnote w:id="4">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376 της 27.12.2006, σ. 1.</w:t>
      </w:r>
    </w:p>
  </w:footnote>
  <w:footnote w:id="5">
    <w:p w:rsidR="00CF38D2" w:rsidRPr="00D864B4" w:rsidRDefault="00CF38D2" w:rsidP="00BE04B1">
      <w:pPr>
        <w:pStyle w:val="FootnoteText"/>
        <w:spacing w:line="240" w:lineRule="auto"/>
        <w:ind w:left="567" w:hanging="567"/>
        <w:rPr>
          <w:sz w:val="24"/>
          <w:szCs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166 της 30.6.2023, σ. 6.</w:t>
      </w:r>
    </w:p>
  </w:footnote>
  <w:footnote w:id="6">
    <w:p w:rsidR="00CF38D2" w:rsidRPr="00D864B4" w:rsidRDefault="00CF38D2" w:rsidP="00BE04B1">
      <w:pPr>
        <w:pStyle w:val="FootnoteText"/>
        <w:spacing w:line="240" w:lineRule="auto"/>
        <w:ind w:left="567" w:hanging="567"/>
        <w:rPr>
          <w:sz w:val="24"/>
          <w:szCs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122 της 10.5.2019, σ. 1.</w:t>
      </w:r>
    </w:p>
  </w:footnote>
  <w:footnote w:id="7">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C, C/2023/594, 27.10.2023.</w:t>
      </w:r>
    </w:p>
  </w:footnote>
  <w:footnote w:id="8">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C, C/2023/112, 12.10.2023.</w:t>
      </w:r>
    </w:p>
  </w:footnote>
  <w:footnote w:id="9">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193 της 30.7.2018, σ. 1.</w:t>
      </w:r>
    </w:p>
  </w:footnote>
  <w:footnote w:id="10">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376 της 27.12.2006, σ. 1.</w:t>
      </w:r>
    </w:p>
  </w:footnote>
  <w:footnote w:id="11">
    <w:p w:rsidR="00CF38D2" w:rsidRPr="00D864B4" w:rsidRDefault="00CF38D2" w:rsidP="00BE04B1">
      <w:pPr>
        <w:pStyle w:val="FootnoteText"/>
        <w:spacing w:line="240" w:lineRule="auto"/>
        <w:ind w:left="567" w:hanging="567"/>
        <w:rPr>
          <w:sz w:val="24"/>
          <w:szCs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166 της 30.6.2023, σ. 6.</w:t>
      </w:r>
    </w:p>
  </w:footnote>
  <w:footnote w:id="12">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L 122 της 10.5.2019, σ. 1.</w:t>
      </w:r>
    </w:p>
  </w:footnote>
  <w:footnote w:id="13">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ΕΕ C 141/06</w:t>
      </w:r>
      <w:r w:rsidR="00733793">
        <w:rPr>
          <w:sz w:val="24"/>
          <w:lang w:val="el-GR"/>
        </w:rPr>
        <w:t xml:space="preserve"> της</w:t>
      </w:r>
      <w:r w:rsidRPr="00D864B4">
        <w:rPr>
          <w:sz w:val="24"/>
          <w:lang w:val="el-GR"/>
        </w:rPr>
        <w:t xml:space="preserve"> 29.3.2022, σ. 33.</w:t>
      </w:r>
    </w:p>
  </w:footnote>
  <w:footnote w:id="14">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Οδηγία 2008/104/ΕΚ του Ευρωπαϊκού Κοινοβουλίου και του Συμβουλίου, της 19ης</w:t>
      </w:r>
      <w:r w:rsidR="00D41DD4">
        <w:rPr>
          <w:sz w:val="24"/>
          <w:lang w:val="el-GR"/>
        </w:rPr>
        <w:t> </w:t>
      </w:r>
      <w:r w:rsidRPr="00D864B4">
        <w:rPr>
          <w:sz w:val="24"/>
          <w:lang w:val="el-GR"/>
        </w:rPr>
        <w:t>Νοεμβρίου 2008, περί της εργασίας μέσω εταιρείας προσωρινής απασχόλησης (ΕΕ L 327 της 5.12.2008, σ. 9).</w:t>
      </w:r>
    </w:p>
  </w:footnote>
  <w:footnote w:id="15">
    <w:p w:rsidR="00CF38D2" w:rsidRPr="00D864B4" w:rsidRDefault="00CF38D2" w:rsidP="00BE04B1">
      <w:pPr>
        <w:pStyle w:val="FootnoteText"/>
        <w:spacing w:line="240" w:lineRule="auto"/>
        <w:ind w:left="567" w:hanging="567"/>
        <w:rPr>
          <w:sz w:val="24"/>
          <w:lang w:val="el-GR"/>
        </w:rPr>
      </w:pPr>
      <w:r w:rsidRPr="00D864B4">
        <w:rPr>
          <w:rStyle w:val="FootnoteReference"/>
          <w:sz w:val="24"/>
          <w:lang w:val="el-GR"/>
        </w:rPr>
        <w:footnoteRef/>
      </w:r>
      <w:r w:rsidR="00D864B4" w:rsidRPr="00D864B4">
        <w:rPr>
          <w:sz w:val="24"/>
          <w:lang w:val="el-GR"/>
        </w:rPr>
        <w:t xml:space="preserve"> </w:t>
      </w:r>
      <w:r w:rsidR="00D864B4" w:rsidRPr="00D864B4">
        <w:rPr>
          <w:sz w:val="24"/>
          <w:lang w:val="el-GR"/>
        </w:rPr>
        <w:tab/>
      </w:r>
      <w:r w:rsidRPr="00D864B4">
        <w:rPr>
          <w:sz w:val="24"/>
          <w:lang w:val="el-GR"/>
        </w:rPr>
        <w:t>Κείμενα που εγκρίθηκαν, P9_TA(2024)0</w:t>
      </w:r>
      <w:r w:rsidR="00BE04B1">
        <w:rPr>
          <w:sz w:val="24"/>
          <w:lang w:val="el-GR"/>
        </w:rPr>
        <w:t>28</w:t>
      </w:r>
      <w:r w:rsidRPr="00D864B4">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4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4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64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EL"/>
    <w:docVar w:name="dvnumam" w:val="0"/>
    <w:docVar w:name="dvpe" w:val="753.525"/>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Κέντρου Παρακολούθησης Ναρκωτικών και Τοξικομανίας για το οικονομικό έτος 2022(2023/2157(DEC))"/>
  </w:docVars>
  <w:rsids>
    <w:rsidRoot w:val="007E54C2"/>
    <w:rsid w:val="00002272"/>
    <w:rsid w:val="00064002"/>
    <w:rsid w:val="000677B9"/>
    <w:rsid w:val="000831BA"/>
    <w:rsid w:val="000A42CC"/>
    <w:rsid w:val="000B25F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3793"/>
    <w:rsid w:val="00734777"/>
    <w:rsid w:val="00747932"/>
    <w:rsid w:val="00751A4A"/>
    <w:rsid w:val="00756632"/>
    <w:rsid w:val="00762C74"/>
    <w:rsid w:val="00786EC0"/>
    <w:rsid w:val="007D1690"/>
    <w:rsid w:val="007E22AD"/>
    <w:rsid w:val="007E54C2"/>
    <w:rsid w:val="007F1AD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4B1"/>
    <w:rsid w:val="00BE6ADC"/>
    <w:rsid w:val="00C05BFE"/>
    <w:rsid w:val="00C23CD4"/>
    <w:rsid w:val="00C61C0C"/>
    <w:rsid w:val="00C941CB"/>
    <w:rsid w:val="00CC2357"/>
    <w:rsid w:val="00CF071A"/>
    <w:rsid w:val="00CF38D2"/>
    <w:rsid w:val="00D058B8"/>
    <w:rsid w:val="00D41DD4"/>
    <w:rsid w:val="00D56C11"/>
    <w:rsid w:val="00D834A0"/>
    <w:rsid w:val="00D864B4"/>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04C8F"/>
  <w15:chartTrackingRefBased/>
  <w15:docId w15:val="{87236AE1-5AC3-4C39-8E3B-06BAF7F1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F38D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F38D2"/>
    <w:pPr>
      <w:spacing w:before="480" w:after="240"/>
    </w:pPr>
  </w:style>
  <w:style w:type="paragraph" w:customStyle="1" w:styleId="PageHeading">
    <w:name w:val="PageHeading"/>
    <w:basedOn w:val="Normal"/>
    <w:rsid w:val="00CF38D2"/>
    <w:pPr>
      <w:keepNext/>
      <w:spacing w:after="480"/>
      <w:jc w:val="center"/>
    </w:pPr>
    <w:rPr>
      <w:rFonts w:ascii="Arial" w:hAnsi="Arial" w:cs="Arial"/>
      <w:b/>
    </w:rPr>
  </w:style>
  <w:style w:type="paragraph" w:customStyle="1" w:styleId="NormalBold">
    <w:name w:val="NormalBold"/>
    <w:basedOn w:val="Normal"/>
    <w:rsid w:val="00CF38D2"/>
    <w:rPr>
      <w:b/>
    </w:rPr>
  </w:style>
  <w:style w:type="paragraph" w:customStyle="1" w:styleId="NormalHanging12a">
    <w:name w:val="NormalHanging12a"/>
    <w:basedOn w:val="Normal"/>
    <w:link w:val="NormalHanging12aChar"/>
    <w:rsid w:val="00CF38D2"/>
    <w:pPr>
      <w:spacing w:after="240"/>
      <w:ind w:left="567" w:hanging="567"/>
    </w:pPr>
  </w:style>
  <w:style w:type="paragraph" w:customStyle="1" w:styleId="NormalCenter12a">
    <w:name w:val="NormalCenter12a"/>
    <w:basedOn w:val="Normal"/>
    <w:rsid w:val="00CF38D2"/>
    <w:pPr>
      <w:spacing w:after="240"/>
      <w:jc w:val="center"/>
    </w:pPr>
  </w:style>
  <w:style w:type="paragraph" w:styleId="Header">
    <w:name w:val="header"/>
    <w:basedOn w:val="Normal"/>
    <w:link w:val="HeaderChar"/>
    <w:rsid w:val="00CF38D2"/>
    <w:pPr>
      <w:tabs>
        <w:tab w:val="center" w:pos="4513"/>
        <w:tab w:val="right" w:pos="9026"/>
      </w:tabs>
    </w:pPr>
  </w:style>
  <w:style w:type="character" w:customStyle="1" w:styleId="HeaderChar">
    <w:name w:val="Header Char"/>
    <w:basedOn w:val="DefaultParagraphFont"/>
    <w:link w:val="Header"/>
    <w:rsid w:val="00CF38D2"/>
    <w:rPr>
      <w:sz w:val="24"/>
      <w:lang w:val="el-GR"/>
    </w:rPr>
  </w:style>
  <w:style w:type="paragraph" w:customStyle="1" w:styleId="EPFooter">
    <w:name w:val="EPFooter"/>
    <w:basedOn w:val="Normal"/>
    <w:rsid w:val="00CF38D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F38D2"/>
    <w:rPr>
      <w:sz w:val="24"/>
      <w:lang w:val="el-GR"/>
    </w:rPr>
  </w:style>
  <w:style w:type="paragraph" w:customStyle="1" w:styleId="Normal12Hanging">
    <w:name w:val="Normal12Hanging"/>
    <w:basedOn w:val="Normal"/>
    <w:rsid w:val="00CF38D2"/>
    <w:pPr>
      <w:spacing w:after="240"/>
      <w:ind w:left="567" w:hanging="567"/>
    </w:pPr>
  </w:style>
  <w:style w:type="paragraph" w:styleId="Footer">
    <w:name w:val="footer"/>
    <w:basedOn w:val="Normal"/>
    <w:link w:val="FooterChar"/>
    <w:rsid w:val="00D41DD4"/>
    <w:pPr>
      <w:tabs>
        <w:tab w:val="center" w:pos="4513"/>
        <w:tab w:val="right" w:pos="9026"/>
      </w:tabs>
    </w:pPr>
  </w:style>
  <w:style w:type="character" w:customStyle="1" w:styleId="FooterChar">
    <w:name w:val="Footer Char"/>
    <w:basedOn w:val="DefaultParagraphFont"/>
    <w:link w:val="Footer"/>
    <w:rsid w:val="00D41DD4"/>
    <w:rPr>
      <w:sz w:val="24"/>
      <w:lang w:val="el-GR"/>
    </w:rPr>
  </w:style>
  <w:style w:type="paragraph" w:styleId="BalloonText">
    <w:name w:val="Balloon Text"/>
    <w:basedOn w:val="Normal"/>
    <w:link w:val="BalloonTextChar"/>
    <w:rsid w:val="00D41DD4"/>
    <w:rPr>
      <w:rFonts w:ascii="Segoe UI" w:hAnsi="Segoe UI" w:cs="Segoe UI"/>
      <w:sz w:val="18"/>
      <w:szCs w:val="18"/>
    </w:rPr>
  </w:style>
  <w:style w:type="character" w:customStyle="1" w:styleId="BalloonTextChar">
    <w:name w:val="Balloon Text Char"/>
    <w:basedOn w:val="DefaultParagraphFont"/>
    <w:link w:val="BalloonText"/>
    <w:rsid w:val="00D41DD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0DB2E-7570-4F1F-81B1-ECCDB3E8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4072</Words>
  <Characters>24259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2024-05-15T08:59:00Z</dcterms:created>
  <dcterms:modified xsi:type="dcterms:W3CDTF">2024-05-15T08:59:00Z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P9_TA(2024)0241_</vt:lpwstr>
  </property>
  <property fmtid="{D5CDD505-2E9C-101B-9397-08002B2CF9AE}" pid="4" name="&lt;Type&gt;">
    <vt:lpwstr>RR</vt:lpwstr>
  </property>
</Properties>
</file>