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F1E04" w14:paraId="09A98F6C" w14:textId="77777777" w:rsidTr="0010095E">
        <w:trPr>
          <w:trHeight w:hRule="exact" w:val="1418"/>
        </w:trPr>
        <w:tc>
          <w:tcPr>
            <w:tcW w:w="6804" w:type="dxa"/>
            <w:shd w:val="clear" w:color="auto" w:fill="auto"/>
            <w:vAlign w:val="center"/>
          </w:tcPr>
          <w:p w14:paraId="1DE0F208" w14:textId="77777777" w:rsidR="00751A4A" w:rsidRPr="00AF1E04" w:rsidRDefault="002651EE" w:rsidP="0010095E">
            <w:pPr>
              <w:pStyle w:val="EPName"/>
            </w:pPr>
            <w:r w:rsidRPr="00AF1E04">
              <w:t>Euroopan parlamentti</w:t>
            </w:r>
          </w:p>
          <w:p w14:paraId="59B1DB9F" w14:textId="77777777" w:rsidR="00751A4A" w:rsidRPr="00AF1E04" w:rsidRDefault="00817416" w:rsidP="00756632">
            <w:pPr>
              <w:pStyle w:val="EPTerm"/>
              <w:rPr>
                <w:rStyle w:val="HideTWBExt"/>
                <w:noProof w:val="0"/>
                <w:vanish w:val="0"/>
                <w:color w:val="auto"/>
              </w:rPr>
            </w:pPr>
            <w:r w:rsidRPr="00AF1E04">
              <w:t>2019-2024</w:t>
            </w:r>
          </w:p>
        </w:tc>
        <w:tc>
          <w:tcPr>
            <w:tcW w:w="2268" w:type="dxa"/>
            <w:shd w:val="clear" w:color="auto" w:fill="auto"/>
          </w:tcPr>
          <w:p w14:paraId="17433DE1" w14:textId="77777777" w:rsidR="00751A4A" w:rsidRPr="00AF1E04" w:rsidRDefault="00187494" w:rsidP="0010095E">
            <w:pPr>
              <w:pStyle w:val="EPLogo"/>
            </w:pPr>
            <w:r w:rsidRPr="00AF1E04">
              <w:rPr>
                <w:noProof/>
                <w:lang w:val="en-GB"/>
              </w:rPr>
              <w:drawing>
                <wp:inline distT="0" distB="0" distL="0" distR="0" wp14:anchorId="2E42FFDB" wp14:editId="5B5E41F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8EFDBEE" w14:textId="77777777" w:rsidR="00D058B8" w:rsidRPr="00AF1E04" w:rsidRDefault="00D058B8" w:rsidP="004C5D52">
      <w:pPr>
        <w:pStyle w:val="LineTop"/>
      </w:pPr>
    </w:p>
    <w:p w14:paraId="34D50E0E" w14:textId="77777777" w:rsidR="00680577" w:rsidRPr="00AF1E04" w:rsidRDefault="002651EE" w:rsidP="00680577">
      <w:pPr>
        <w:pStyle w:val="EPBodyTA1"/>
      </w:pPr>
      <w:r w:rsidRPr="00AF1E04">
        <w:t>HYVÄKSYTYT TEKSTIT</w:t>
      </w:r>
    </w:p>
    <w:p w14:paraId="6C890BB2" w14:textId="77777777" w:rsidR="00D058B8" w:rsidRPr="00AF1E04" w:rsidRDefault="00D058B8" w:rsidP="00D058B8">
      <w:pPr>
        <w:pStyle w:val="LineBottom"/>
      </w:pPr>
    </w:p>
    <w:p w14:paraId="609298FC" w14:textId="375BBE04" w:rsidR="002651EE" w:rsidRPr="00AF1E04" w:rsidRDefault="002651EE" w:rsidP="002651EE">
      <w:pPr>
        <w:pStyle w:val="ATHeading1"/>
      </w:pPr>
      <w:bookmarkStart w:id="0" w:name="TANumber"/>
      <w:r w:rsidRPr="00AF1E04">
        <w:t>P9_</w:t>
      </w:r>
      <w:proofErr w:type="gramStart"/>
      <w:r w:rsidRPr="00AF1E04">
        <w:t>TA(</w:t>
      </w:r>
      <w:proofErr w:type="gramEnd"/>
      <w:r w:rsidRPr="00AF1E04">
        <w:t>2024)0</w:t>
      </w:r>
      <w:r w:rsidR="00151077" w:rsidRPr="00AF1E04">
        <w:t>241</w:t>
      </w:r>
      <w:bookmarkEnd w:id="0"/>
    </w:p>
    <w:p w14:paraId="7303D5FC" w14:textId="77777777" w:rsidR="002651EE" w:rsidRPr="00AF1E04" w:rsidRDefault="007C45F1" w:rsidP="002651EE">
      <w:pPr>
        <w:pStyle w:val="ATHeading2"/>
      </w:pPr>
      <w:bookmarkStart w:id="1" w:name="title"/>
      <w:r w:rsidRPr="00AF1E04">
        <w:rPr>
          <w:bCs/>
        </w:rPr>
        <w:t>Vastuuvapaus 2022: Euroopan huumausaineiden ja niiden väärinkäytön seurantakeskus</w:t>
      </w:r>
      <w:bookmarkEnd w:id="1"/>
    </w:p>
    <w:p w14:paraId="75350799" w14:textId="77777777" w:rsidR="002651EE" w:rsidRPr="00AF1E04" w:rsidRDefault="002651EE" w:rsidP="002651EE">
      <w:pPr>
        <w:rPr>
          <w:i/>
          <w:vanish/>
        </w:rPr>
      </w:pPr>
      <w:r w:rsidRPr="00AF1E04">
        <w:rPr>
          <w:i/>
        </w:rPr>
        <w:fldChar w:fldCharType="begin"/>
      </w:r>
      <w:r w:rsidRPr="00AF1E04">
        <w:rPr>
          <w:i/>
        </w:rPr>
        <w:instrText xml:space="preserve"> TC"(</w:instrText>
      </w:r>
      <w:bookmarkStart w:id="2" w:name="DocNumber"/>
      <w:r w:rsidRPr="00AF1E04">
        <w:rPr>
          <w:i/>
        </w:rPr>
        <w:instrText>A9-0104/2024</w:instrText>
      </w:r>
      <w:bookmarkEnd w:id="2"/>
      <w:r w:rsidRPr="00AF1E04">
        <w:rPr>
          <w:i/>
        </w:rPr>
        <w:instrText xml:space="preserve"> - Esittelijä: Petri Sarvamaa)"\l3 \n&gt; \* MERGEFORMAT </w:instrText>
      </w:r>
      <w:r w:rsidRPr="00AF1E04">
        <w:rPr>
          <w:i/>
        </w:rPr>
        <w:fldChar w:fldCharType="end"/>
      </w:r>
    </w:p>
    <w:p w14:paraId="0E717DE2" w14:textId="77777777" w:rsidR="002651EE" w:rsidRPr="00AF1E04" w:rsidRDefault="002651EE" w:rsidP="002651EE">
      <w:pPr>
        <w:rPr>
          <w:vanish/>
        </w:rPr>
      </w:pPr>
      <w:bookmarkStart w:id="3" w:name="Commission"/>
      <w:r w:rsidRPr="00AF1E04">
        <w:rPr>
          <w:vanish/>
        </w:rPr>
        <w:t>Talousarvion valvontavaliokunta</w:t>
      </w:r>
      <w:bookmarkEnd w:id="3"/>
    </w:p>
    <w:p w14:paraId="32F6FFF9" w14:textId="77777777" w:rsidR="002651EE" w:rsidRPr="00AF1E04" w:rsidRDefault="002651EE" w:rsidP="002651EE">
      <w:pPr>
        <w:rPr>
          <w:vanish/>
        </w:rPr>
      </w:pPr>
      <w:bookmarkStart w:id="4" w:name="PE"/>
      <w:r w:rsidRPr="00AF1E04">
        <w:rPr>
          <w:vanish/>
        </w:rPr>
        <w:t>PE753.525</w:t>
      </w:r>
      <w:bookmarkEnd w:id="4"/>
    </w:p>
    <w:p w14:paraId="48C6C820" w14:textId="77777777" w:rsidR="002651EE" w:rsidRPr="00AF1E04" w:rsidRDefault="007C45F1" w:rsidP="002651EE">
      <w:pPr>
        <w:pStyle w:val="ATHeading3"/>
      </w:pPr>
      <w:bookmarkStart w:id="5" w:name="Sujet"/>
      <w:r w:rsidRPr="00AF1E04">
        <w:t>1. E</w:t>
      </w:r>
      <w:r w:rsidR="002651EE" w:rsidRPr="00AF1E04">
        <w:t>uroopan parlamentin päätös 11. huhtikuuta 2024 vastuuvapauden myöntämisestä Euroopan huumausaineiden ja niiden väärinkäytön seurantakeskuksen talousarvion toteuttamisesta varainhoitovuonna 2022</w:t>
      </w:r>
      <w:bookmarkEnd w:id="5"/>
      <w:r w:rsidR="002651EE" w:rsidRPr="00AF1E04">
        <w:t xml:space="preserve"> </w:t>
      </w:r>
      <w:bookmarkStart w:id="6" w:name="References"/>
      <w:r w:rsidR="002651EE" w:rsidRPr="00AF1E04">
        <w:t>(2023/2157(DEC))</w:t>
      </w:r>
      <w:bookmarkEnd w:id="6"/>
    </w:p>
    <w:p w14:paraId="0CF85735" w14:textId="77777777" w:rsidR="00456265" w:rsidRPr="00AF1E04" w:rsidRDefault="00456265" w:rsidP="007C45F1">
      <w:pPr>
        <w:pStyle w:val="EPComma"/>
        <w:widowControl/>
      </w:pPr>
      <w:bookmarkStart w:id="7" w:name="TextBodyBegin"/>
      <w:bookmarkEnd w:id="7"/>
      <w:r w:rsidRPr="00AF1E04">
        <w:rPr>
          <w:i/>
          <w:iCs/>
        </w:rPr>
        <w:t>Euroopan parlamentti</w:t>
      </w:r>
      <w:r w:rsidRPr="00AF1E04">
        <w:t>, joka</w:t>
      </w:r>
    </w:p>
    <w:p w14:paraId="2E364F17" w14:textId="77777777" w:rsidR="00456265" w:rsidRPr="00AF1E04" w:rsidRDefault="00456265" w:rsidP="007C45F1">
      <w:pPr>
        <w:pStyle w:val="NormalHanging12a"/>
        <w:widowControl/>
      </w:pPr>
      <w:r w:rsidRPr="00AF1E04">
        <w:t>–</w:t>
      </w:r>
      <w:r w:rsidRPr="00AF1E04">
        <w:tab/>
        <w:t>ottaa huomioon Euroopan huumausaineiden ja niiden väärinkäytön seurantakeskuksen lopullisen tilinpäätöksen varainhoitovuodelta 2022,</w:t>
      </w:r>
    </w:p>
    <w:p w14:paraId="74850017" w14:textId="77777777" w:rsidR="00456265" w:rsidRPr="00AF1E04" w:rsidRDefault="00456265" w:rsidP="007C45F1">
      <w:pPr>
        <w:pStyle w:val="NormalHanging12a"/>
        <w:widowControl/>
      </w:pPr>
      <w:r w:rsidRPr="00AF1E04">
        <w:t>–</w:t>
      </w:r>
      <w:r w:rsidRPr="00AF1E04">
        <w:tab/>
        <w:t>ottaa huomioon tilintarkastustuomioistuimen vuosikertomuksen EU:n virastoista varainhoitovuodelta 2022 sekä virastojen vastaukset</w:t>
      </w:r>
      <w:r w:rsidRPr="00AF1E04">
        <w:rPr>
          <w:rStyle w:val="FootnoteReference"/>
        </w:rPr>
        <w:footnoteReference w:id="1"/>
      </w:r>
      <w:r w:rsidRPr="00AF1E04">
        <w:t>,</w:t>
      </w:r>
    </w:p>
    <w:p w14:paraId="2D617149" w14:textId="77777777" w:rsidR="00456265" w:rsidRPr="00AF1E04" w:rsidRDefault="00456265" w:rsidP="007C45F1">
      <w:pPr>
        <w:pStyle w:val="NormalHanging12a"/>
        <w:widowControl/>
      </w:pPr>
      <w:r w:rsidRPr="00AF1E04">
        <w:t>–</w:t>
      </w:r>
      <w:r w:rsidRPr="00AF1E04">
        <w:tab/>
        <w:t>ottaa huomioon tilintarkastustuomioistuimen Euroopan unionin toiminnasta tehdyn sopimuksen 287 artiklan mukaisesti antaman varainhoitovuotta 2022 koskevan lausuman</w:t>
      </w:r>
      <w:r w:rsidRPr="00AF1E04">
        <w:rPr>
          <w:rStyle w:val="FootnoteReference"/>
        </w:rPr>
        <w:footnoteReference w:id="2"/>
      </w:r>
      <w:r w:rsidRPr="00AF1E04">
        <w:t xml:space="preserve"> tilien luotettavuudesta sekä tilien perustana olevien toimien laillisuudesta ja asianmukaisuudesta (sääntöjenmukaisuudesta),</w:t>
      </w:r>
    </w:p>
    <w:p w14:paraId="0E43CBF9" w14:textId="0A147D54" w:rsidR="00456265" w:rsidRPr="00AF1E04" w:rsidRDefault="00456265" w:rsidP="007C45F1">
      <w:pPr>
        <w:pStyle w:val="NormalHanging12a"/>
        <w:widowControl/>
      </w:pPr>
      <w:r w:rsidRPr="00AF1E04">
        <w:t>–</w:t>
      </w:r>
      <w:r w:rsidRPr="00AF1E04">
        <w:tab/>
        <w:t>ottaa huomioon neuvoston 22. helmikuuta 2024 antaman suosituksen varainhoitovuoden 2022 talousarvion toteuttamista koskevan vastuuvapauden myöntämisestä keskukselle (</w:t>
      </w:r>
      <w:r w:rsidR="00AD337A" w:rsidRPr="00AF1E04">
        <w:t>06180/2024 – C9</w:t>
      </w:r>
      <w:r w:rsidR="00AD337A" w:rsidRPr="00AF1E04">
        <w:noBreakHyphen/>
        <w:t>0095/2024</w:t>
      </w:r>
      <w:r w:rsidRPr="00AF1E04">
        <w:t>),</w:t>
      </w:r>
    </w:p>
    <w:p w14:paraId="59F4C9C0" w14:textId="77777777" w:rsidR="00456265" w:rsidRPr="00AF1E04" w:rsidRDefault="00456265" w:rsidP="007C45F1">
      <w:pPr>
        <w:pStyle w:val="NormalHanging12a"/>
        <w:widowControl/>
      </w:pPr>
      <w:r w:rsidRPr="00AF1E04">
        <w:t>–</w:t>
      </w:r>
      <w:r w:rsidRPr="00AF1E04">
        <w:tab/>
        <w:t>ottaa huomioon Euroopan unionin toiminnasta tehdyn sopimuksen 319 artiklan,</w:t>
      </w:r>
    </w:p>
    <w:p w14:paraId="1EECB0BB" w14:textId="7F55918C" w:rsidR="00456265" w:rsidRPr="00AF1E04" w:rsidRDefault="00456265" w:rsidP="007C45F1">
      <w:pPr>
        <w:pStyle w:val="NormalHanging12a"/>
        <w:widowControl/>
      </w:pPr>
      <w:r w:rsidRPr="00AF1E04">
        <w:t>–</w:t>
      </w:r>
      <w:r w:rsidRPr="00AF1E04">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AF1E04">
        <w:rPr>
          <w:rStyle w:val="FootnoteReference"/>
        </w:rPr>
        <w:footnoteReference w:id="3"/>
      </w:r>
      <w:r w:rsidRPr="00AF1E04">
        <w:t xml:space="preserve"> ja erityisesti sen 70 artiklan,</w:t>
      </w:r>
    </w:p>
    <w:p w14:paraId="7944B193" w14:textId="77777777" w:rsidR="00456265" w:rsidRPr="00AF1E04" w:rsidRDefault="00456265" w:rsidP="007C45F1">
      <w:pPr>
        <w:pStyle w:val="NormalHanging12a"/>
        <w:widowControl/>
      </w:pPr>
      <w:r w:rsidRPr="00AF1E04">
        <w:lastRenderedPageBreak/>
        <w:t>–</w:t>
      </w:r>
      <w:r w:rsidRPr="00AF1E04">
        <w:tab/>
        <w:t>ottaa huomioon Euroopan huumausaineiden ja niiden väärinkäytön seurantakeskuksesta 12. joulukuuta 2006 annetun Euroopan parlamentin ja neuvoston asetuksen (EY) N:o 1920/2006</w:t>
      </w:r>
      <w:r w:rsidRPr="00AF1E04">
        <w:rPr>
          <w:rStyle w:val="FootnoteReference"/>
        </w:rPr>
        <w:footnoteReference w:id="4"/>
      </w:r>
      <w:r w:rsidRPr="00AF1E04">
        <w:t xml:space="preserve"> ja erityisesti sen 15 artiklan,</w:t>
      </w:r>
    </w:p>
    <w:p w14:paraId="5B5D44B8" w14:textId="77777777" w:rsidR="00456265" w:rsidRPr="00AF1E04" w:rsidRDefault="00456265" w:rsidP="007C45F1">
      <w:pPr>
        <w:pStyle w:val="NormalHanging12a"/>
        <w:widowControl/>
      </w:pPr>
      <w:r w:rsidRPr="00AF1E04">
        <w:t>–</w:t>
      </w:r>
      <w:r w:rsidRPr="00AF1E04">
        <w:tab/>
        <w:t>ottaa huomioon Euroopan unionin huumevirastosta (EUDA) ja asetuksen (EY) N:o 1920/2006 kumoamisesta 27. kesäkuuta 2023 annetun Euroopan parlamentin ja neuvoston asetuksen (EU) 2023/1322</w:t>
      </w:r>
      <w:r w:rsidRPr="00AF1E04">
        <w:rPr>
          <w:rStyle w:val="FootnoteReference"/>
        </w:rPr>
        <w:footnoteReference w:id="5"/>
      </w:r>
      <w:r w:rsidRPr="00AF1E04">
        <w:t xml:space="preserve"> ja e</w:t>
      </w:r>
      <w:bookmarkStart w:id="8" w:name="_GoBack"/>
      <w:bookmarkEnd w:id="8"/>
      <w:r w:rsidRPr="00AF1E04">
        <w:t>rityisesti sen 41 artiklan,</w:t>
      </w:r>
    </w:p>
    <w:p w14:paraId="24222B79" w14:textId="77777777" w:rsidR="00456265" w:rsidRPr="00AF1E04" w:rsidRDefault="00456265" w:rsidP="007C45F1">
      <w:pPr>
        <w:pStyle w:val="NormalHanging12a"/>
        <w:widowControl/>
      </w:pPr>
      <w:r w:rsidRPr="00AF1E04">
        <w:t>–</w:t>
      </w:r>
      <w:r w:rsidRPr="00AF1E04">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AF1E04">
        <w:rPr>
          <w:rStyle w:val="FootnoteReference"/>
        </w:rPr>
        <w:footnoteReference w:id="6"/>
      </w:r>
      <w:r w:rsidRPr="00AF1E04">
        <w:t xml:space="preserve"> ja erityisesti sen 105 artiklan,</w:t>
      </w:r>
    </w:p>
    <w:p w14:paraId="4DEA989F" w14:textId="77777777" w:rsidR="00456265" w:rsidRPr="00AF1E04" w:rsidRDefault="00456265" w:rsidP="007C45F1">
      <w:pPr>
        <w:pStyle w:val="NormalHanging12a"/>
        <w:widowControl/>
      </w:pPr>
      <w:r w:rsidRPr="00AF1E04">
        <w:t>–</w:t>
      </w:r>
      <w:r w:rsidRPr="00AF1E04">
        <w:tab/>
        <w:t>ottaa huomioon työjärjestyksen 100 artiklan ja liitteen V,</w:t>
      </w:r>
    </w:p>
    <w:p w14:paraId="3BEDF988" w14:textId="77777777" w:rsidR="00456265" w:rsidRPr="00AF1E04" w:rsidRDefault="00456265" w:rsidP="007C45F1">
      <w:pPr>
        <w:pStyle w:val="NormalHanging12a"/>
        <w:widowControl/>
      </w:pPr>
      <w:r w:rsidRPr="00AF1E04">
        <w:t>–</w:t>
      </w:r>
      <w:r w:rsidRPr="00AF1E04">
        <w:tab/>
        <w:t>ottaa huomioon kansalaisvapauksien sekä oikeus- ja sisäasioiden valiokunnan lausunnon,</w:t>
      </w:r>
    </w:p>
    <w:p w14:paraId="338AB438" w14:textId="77777777" w:rsidR="00456265" w:rsidRPr="00AF1E04" w:rsidRDefault="00456265" w:rsidP="007C45F1">
      <w:pPr>
        <w:pStyle w:val="NormalHanging12a"/>
        <w:widowControl/>
      </w:pPr>
      <w:r w:rsidRPr="00AF1E04">
        <w:t>–</w:t>
      </w:r>
      <w:r w:rsidRPr="00AF1E04">
        <w:tab/>
        <w:t>ottaa huomioon talousarvion valvontavaliokunnan mietinnön (A9-0104/2024),</w:t>
      </w:r>
    </w:p>
    <w:p w14:paraId="6B308BB4" w14:textId="77777777" w:rsidR="00456265" w:rsidRPr="00AF1E04" w:rsidRDefault="00456265" w:rsidP="007C45F1">
      <w:pPr>
        <w:pStyle w:val="NormalHanging12a"/>
        <w:widowControl/>
      </w:pPr>
      <w:r w:rsidRPr="00AF1E04">
        <w:t>1.</w:t>
      </w:r>
      <w:r w:rsidRPr="00AF1E04">
        <w:tab/>
        <w:t>myöntää Euroopan huumausaineiden ja niiden väärinkäytön seurantakeskuksen johtajalle vastuuvapauden keskuksen talousarvion toteuttamisesta varainhoitovuonna 2022;</w:t>
      </w:r>
    </w:p>
    <w:p w14:paraId="406C5D8B" w14:textId="77777777" w:rsidR="00456265" w:rsidRPr="00AF1E04" w:rsidRDefault="00456265" w:rsidP="007C45F1">
      <w:pPr>
        <w:pStyle w:val="NormalHanging12a"/>
        <w:widowControl/>
      </w:pPr>
      <w:r w:rsidRPr="00AF1E04">
        <w:t>2.</w:t>
      </w:r>
      <w:r w:rsidRPr="00AF1E04">
        <w:tab/>
        <w:t>esittää huomautuksensa oheisessa päätöslauselmassa;</w:t>
      </w:r>
    </w:p>
    <w:p w14:paraId="184D7FBB" w14:textId="77777777" w:rsidR="00456265" w:rsidRPr="00AF1E04" w:rsidRDefault="00456265" w:rsidP="007C45F1">
      <w:pPr>
        <w:pStyle w:val="NormalHanging12a"/>
        <w:widowControl/>
      </w:pPr>
      <w:r w:rsidRPr="00AF1E04">
        <w:t>3.</w:t>
      </w:r>
      <w:r w:rsidRPr="00AF1E04">
        <w:tab/>
        <w:t xml:space="preserve">kehottaa puhemiestä välittämään tämän päätöksen ja siihen erottamattomasti kuuluvan päätöslauselman Euroopan huumausaineiden ja niiden väärinkäytön seurantakeskuksen johtajalle, neuvostolle, komissiolle ja tilintarkastustuomioistuimelle sekä huolehtimaan niiden julkaisemisesta </w:t>
      </w:r>
      <w:r w:rsidRPr="00AF1E04">
        <w:rPr>
          <w:i/>
        </w:rPr>
        <w:t>Euroopan unionin virallisessa lehdessä</w:t>
      </w:r>
      <w:r w:rsidRPr="00AF1E04">
        <w:t xml:space="preserve"> (L-sarja).</w:t>
      </w:r>
    </w:p>
    <w:p w14:paraId="7029E16D" w14:textId="77777777" w:rsidR="00456265" w:rsidRPr="00AF1E04" w:rsidRDefault="00456265" w:rsidP="007C45F1">
      <w:pPr>
        <w:widowControl/>
        <w:rPr>
          <w:rFonts w:ascii="Arial" w:hAnsi="Arial" w:cs="Arial"/>
          <w:b/>
        </w:rPr>
        <w:sectPr w:rsidR="00456265" w:rsidRPr="00AF1E04" w:rsidSect="002909AD">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14:paraId="11BA1128" w14:textId="77777777" w:rsidR="00456265" w:rsidRPr="00AF1E04" w:rsidRDefault="007C45F1" w:rsidP="00CC40A8">
      <w:pPr>
        <w:pStyle w:val="ATHeading3"/>
      </w:pPr>
      <w:r w:rsidRPr="00AF1E04">
        <w:lastRenderedPageBreak/>
        <w:t>2. Euroopan parlamentin päätös 11. huhtikuuta 2024 E</w:t>
      </w:r>
      <w:r w:rsidR="00456265" w:rsidRPr="00AF1E04">
        <w:t>uroopan huumausaineiden ja niiden väärinkäytön seurantakeskuksen varainhoitovuoden 2022 tilien päättämisestä</w:t>
      </w:r>
      <w:r w:rsidRPr="00AF1E04">
        <w:t xml:space="preserve"> </w:t>
      </w:r>
      <w:r w:rsidR="00456265" w:rsidRPr="00AF1E04">
        <w:t>(2023/2157(DEC))</w:t>
      </w:r>
    </w:p>
    <w:p w14:paraId="2A30D711" w14:textId="77777777" w:rsidR="00456265" w:rsidRPr="00AF1E04" w:rsidRDefault="00456265" w:rsidP="007C45F1">
      <w:pPr>
        <w:pStyle w:val="EPComma"/>
        <w:widowControl/>
      </w:pPr>
      <w:r w:rsidRPr="00AF1E04">
        <w:rPr>
          <w:i/>
          <w:iCs/>
        </w:rPr>
        <w:t>Euroopan parlamentti</w:t>
      </w:r>
      <w:r w:rsidRPr="00AF1E04">
        <w:t>, joka</w:t>
      </w:r>
    </w:p>
    <w:p w14:paraId="2EB76F1C" w14:textId="77777777" w:rsidR="00456265" w:rsidRPr="00AF1E04" w:rsidRDefault="00456265" w:rsidP="007C45F1">
      <w:pPr>
        <w:pStyle w:val="NormalHanging12a"/>
        <w:widowControl/>
      </w:pPr>
      <w:r w:rsidRPr="00AF1E04">
        <w:t>–</w:t>
      </w:r>
      <w:r w:rsidRPr="00AF1E04">
        <w:tab/>
        <w:t>ottaa huomioon Euroopan huumausaineiden ja niiden väärinkäytön seurantakeskuksen lopullisen tilinpäätöksen varainhoitovuodelta 2022,</w:t>
      </w:r>
    </w:p>
    <w:p w14:paraId="4E2E4709" w14:textId="77777777" w:rsidR="00456265" w:rsidRPr="00AF1E04" w:rsidRDefault="00456265" w:rsidP="007C45F1">
      <w:pPr>
        <w:pStyle w:val="NormalHanging12a"/>
        <w:widowControl/>
      </w:pPr>
      <w:r w:rsidRPr="00AF1E04">
        <w:t>–</w:t>
      </w:r>
      <w:r w:rsidRPr="00AF1E04">
        <w:tab/>
        <w:t>ottaa huomioon tilintarkastustuomioistuimen vuosikertomuksen EU:n virastoista varainhoitovuodelta 2022 sekä virastojen vastaukset</w:t>
      </w:r>
      <w:r w:rsidRPr="00AF1E04">
        <w:rPr>
          <w:rStyle w:val="FootnoteReference"/>
        </w:rPr>
        <w:footnoteReference w:id="7"/>
      </w:r>
      <w:r w:rsidRPr="00AF1E04">
        <w:t>,</w:t>
      </w:r>
    </w:p>
    <w:p w14:paraId="6067F125" w14:textId="77777777" w:rsidR="00456265" w:rsidRPr="00AF1E04" w:rsidRDefault="00456265" w:rsidP="007C45F1">
      <w:pPr>
        <w:pStyle w:val="NormalHanging12a"/>
        <w:widowControl/>
      </w:pPr>
      <w:r w:rsidRPr="00AF1E04">
        <w:t>–</w:t>
      </w:r>
      <w:r w:rsidRPr="00AF1E04">
        <w:tab/>
        <w:t>ottaa huomioon tilintarkastustuomioistuimen Euroopan unionin toiminnasta tehdyn sopimuksen 287 artiklan mukaisesti antaman varainhoitovuotta 2022 koskevan lausuman</w:t>
      </w:r>
      <w:r w:rsidRPr="00AF1E04">
        <w:rPr>
          <w:rStyle w:val="FootnoteReference"/>
        </w:rPr>
        <w:footnoteReference w:id="8"/>
      </w:r>
      <w:r w:rsidRPr="00AF1E04">
        <w:t xml:space="preserve"> tilien luotettavuudesta sekä tilien perustana olevien toimien laillisuudesta ja asianmukaisuudesta (sääntöjenmukaisuudesta),</w:t>
      </w:r>
    </w:p>
    <w:p w14:paraId="0E9B0038" w14:textId="4F18A3C8" w:rsidR="00456265" w:rsidRPr="00AF1E04" w:rsidRDefault="00456265" w:rsidP="007C45F1">
      <w:pPr>
        <w:pStyle w:val="NormalHanging12a"/>
        <w:widowControl/>
      </w:pPr>
      <w:r w:rsidRPr="00AF1E04">
        <w:t>–</w:t>
      </w:r>
      <w:r w:rsidRPr="00AF1E04">
        <w:tab/>
        <w:t>ottaa huomioon neuvoston 22. helmikuuta 2024 antaman suosituksen varainhoitovuoden 2022 talousarvion toteuttamista koskevan vastuuvapauden myöntämisestä keskukselle (</w:t>
      </w:r>
      <w:r w:rsidR="00AD337A" w:rsidRPr="00AF1E04">
        <w:t>06180/2024 – C9</w:t>
      </w:r>
      <w:r w:rsidR="00AD337A" w:rsidRPr="00AF1E04">
        <w:noBreakHyphen/>
        <w:t>0095/2024</w:t>
      </w:r>
      <w:r w:rsidRPr="00AF1E04">
        <w:t>),</w:t>
      </w:r>
    </w:p>
    <w:p w14:paraId="6B642DC5" w14:textId="77777777" w:rsidR="00456265" w:rsidRPr="00AF1E04" w:rsidRDefault="00456265" w:rsidP="007C45F1">
      <w:pPr>
        <w:pStyle w:val="NormalHanging12a"/>
        <w:widowControl/>
      </w:pPr>
      <w:r w:rsidRPr="00AF1E04">
        <w:t>–</w:t>
      </w:r>
      <w:r w:rsidRPr="00AF1E04">
        <w:tab/>
        <w:t>ottaa huomioon Euroopan unionin toiminnasta tehdyn sopimuksen 319 artiklan,</w:t>
      </w:r>
    </w:p>
    <w:p w14:paraId="7D3CDF11" w14:textId="77777777" w:rsidR="00456265" w:rsidRPr="00AF1E04" w:rsidRDefault="00456265" w:rsidP="007C45F1">
      <w:pPr>
        <w:pStyle w:val="NormalHanging12a"/>
        <w:widowControl/>
      </w:pPr>
      <w:r w:rsidRPr="00AF1E04">
        <w:t>–</w:t>
      </w:r>
      <w:r w:rsidRPr="00AF1E04">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AF1E04">
        <w:rPr>
          <w:rStyle w:val="FootnoteReference"/>
        </w:rPr>
        <w:footnoteReference w:id="9"/>
      </w:r>
      <w:r w:rsidRPr="00AF1E04">
        <w:t xml:space="preserve"> ja erityisesti sen 70 artiklan,</w:t>
      </w:r>
    </w:p>
    <w:p w14:paraId="23467CCC" w14:textId="77777777" w:rsidR="00456265" w:rsidRPr="00AF1E04" w:rsidRDefault="00456265" w:rsidP="007C45F1">
      <w:pPr>
        <w:pStyle w:val="NormalHanging12a"/>
        <w:widowControl/>
      </w:pPr>
      <w:r w:rsidRPr="00AF1E04">
        <w:t>–</w:t>
      </w:r>
      <w:r w:rsidRPr="00AF1E04">
        <w:tab/>
        <w:t>ottaa huomioon Euroopan huumausaineiden ja niiden väärinkäytön seurantakeskuksesta 12. joulukuuta 2006 annetun Euroopan parlamentin ja neuvoston asetuksen (EY) N:o 1920/2006</w:t>
      </w:r>
      <w:r w:rsidRPr="00AF1E04">
        <w:rPr>
          <w:rStyle w:val="FootnoteReference"/>
        </w:rPr>
        <w:footnoteReference w:id="10"/>
      </w:r>
      <w:r w:rsidRPr="00AF1E04">
        <w:t xml:space="preserve"> ja erityisesti sen 15 artiklan,</w:t>
      </w:r>
    </w:p>
    <w:p w14:paraId="622E6E0E" w14:textId="77777777" w:rsidR="00456265" w:rsidRPr="00AF1E04" w:rsidRDefault="00456265" w:rsidP="007C45F1">
      <w:pPr>
        <w:pStyle w:val="NormalHanging12a"/>
        <w:widowControl/>
      </w:pPr>
      <w:r w:rsidRPr="00AF1E04">
        <w:t>–</w:t>
      </w:r>
      <w:r w:rsidRPr="00AF1E04">
        <w:tab/>
        <w:t>ottaa huomioon Euroopan unionin huumevirastosta (EUDA) ja asetuksen (EY) N:o 1920/2006 kumoamisesta 27. kesäkuuta 2023 annetun Euroopan parlamentin ja neuvoston asetuksen (EU) 2023/1322</w:t>
      </w:r>
      <w:r w:rsidRPr="00AF1E04">
        <w:rPr>
          <w:rStyle w:val="FootnoteReference"/>
        </w:rPr>
        <w:footnoteReference w:id="11"/>
      </w:r>
      <w:r w:rsidRPr="00AF1E04">
        <w:t xml:space="preserve"> ja erityisesti sen 41 artiklan,</w:t>
      </w:r>
    </w:p>
    <w:p w14:paraId="2A410806" w14:textId="77777777" w:rsidR="00456265" w:rsidRPr="00AF1E04" w:rsidRDefault="00456265" w:rsidP="007C45F1">
      <w:pPr>
        <w:pStyle w:val="NormalHanging12a"/>
        <w:widowControl/>
      </w:pPr>
      <w:r w:rsidRPr="00AF1E04">
        <w:t>–</w:t>
      </w:r>
      <w:r w:rsidRPr="00AF1E04">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AF1E04">
        <w:rPr>
          <w:rStyle w:val="FootnoteReference"/>
        </w:rPr>
        <w:footnoteReference w:id="12"/>
      </w:r>
      <w:r w:rsidRPr="00AF1E04">
        <w:t xml:space="preserve"> ja erityisesti sen 105 artiklan,</w:t>
      </w:r>
    </w:p>
    <w:p w14:paraId="1BDD881A" w14:textId="77777777" w:rsidR="00456265" w:rsidRPr="00AF1E04" w:rsidRDefault="00456265" w:rsidP="007C45F1">
      <w:pPr>
        <w:pStyle w:val="NormalHanging12a"/>
        <w:widowControl/>
      </w:pPr>
      <w:r w:rsidRPr="00AF1E04">
        <w:lastRenderedPageBreak/>
        <w:t>–</w:t>
      </w:r>
      <w:r w:rsidRPr="00AF1E04">
        <w:tab/>
        <w:t>ottaa huomioon työjärjestyksen 100 artiklan ja liitteen V,</w:t>
      </w:r>
    </w:p>
    <w:p w14:paraId="1CBB1095" w14:textId="77777777" w:rsidR="00456265" w:rsidRPr="00AF1E04" w:rsidRDefault="00456265" w:rsidP="007C45F1">
      <w:pPr>
        <w:pStyle w:val="NormalHanging12a"/>
        <w:widowControl/>
      </w:pPr>
      <w:r w:rsidRPr="00AF1E04">
        <w:t>–</w:t>
      </w:r>
      <w:r w:rsidRPr="00AF1E04">
        <w:tab/>
        <w:t>ottaa huomioon kansalaisvapauksien sekä oikeus- ja sisäasioiden valiokunnan lausunnon,</w:t>
      </w:r>
    </w:p>
    <w:p w14:paraId="4F77F460" w14:textId="77777777" w:rsidR="00456265" w:rsidRPr="00AF1E04" w:rsidRDefault="00456265" w:rsidP="007C45F1">
      <w:pPr>
        <w:pStyle w:val="NormalHanging12a"/>
        <w:widowControl/>
      </w:pPr>
      <w:r w:rsidRPr="00AF1E04">
        <w:t>–</w:t>
      </w:r>
      <w:r w:rsidRPr="00AF1E04">
        <w:tab/>
        <w:t>ottaa huomioon talousarvion valvontavaliokunnan mietinnön (A9-0104/2024),</w:t>
      </w:r>
    </w:p>
    <w:p w14:paraId="47E6F552" w14:textId="77777777" w:rsidR="00456265" w:rsidRPr="00AF1E04" w:rsidRDefault="00456265" w:rsidP="007C45F1">
      <w:pPr>
        <w:pStyle w:val="NormalHanging12a"/>
        <w:widowControl/>
      </w:pPr>
      <w:r w:rsidRPr="00AF1E04">
        <w:t>1.</w:t>
      </w:r>
      <w:r w:rsidRPr="00AF1E04">
        <w:tab/>
        <w:t>hyväksyy Euroopan huumausaineiden ja niiden väärinkäytön seurantakeskuksen varainhoitovuoden 2022 tilien päättämisen;</w:t>
      </w:r>
    </w:p>
    <w:p w14:paraId="025E1A97" w14:textId="77777777" w:rsidR="00456265" w:rsidRPr="00AF1E04" w:rsidRDefault="00456265" w:rsidP="007C45F1">
      <w:pPr>
        <w:pStyle w:val="NormalHanging12a"/>
        <w:widowControl/>
      </w:pPr>
      <w:r w:rsidRPr="00AF1E04">
        <w:t>2.</w:t>
      </w:r>
      <w:r w:rsidRPr="00AF1E04">
        <w:tab/>
        <w:t xml:space="preserve">kehottaa puhemiestä välittämään tämän päätöksen Euroopan huumausaineiden ja niiden väärinkäytön seurantakeskuksen johtajalle, neuvostolle, komissiolle ja tilintarkastustuomioistuimelle sekä huolehtimaan sen julkaisemisesta </w:t>
      </w:r>
      <w:r w:rsidRPr="00AF1E04">
        <w:rPr>
          <w:i/>
        </w:rPr>
        <w:t>Euroopan unionin virallisessa lehdessä</w:t>
      </w:r>
      <w:r w:rsidRPr="00AF1E04">
        <w:t xml:space="preserve"> (L-sarja).</w:t>
      </w:r>
    </w:p>
    <w:p w14:paraId="6F2ED77D" w14:textId="77777777" w:rsidR="00456265" w:rsidRPr="00AF1E04" w:rsidRDefault="00456265" w:rsidP="007C45F1">
      <w:pPr>
        <w:widowControl/>
        <w:rPr>
          <w:rFonts w:ascii="Arial" w:hAnsi="Arial" w:cs="Arial"/>
          <w:b/>
        </w:rPr>
        <w:sectPr w:rsidR="00456265" w:rsidRPr="00AF1E04" w:rsidSect="002909AD">
          <w:footnotePr>
            <w:numRestart w:val="eachPage"/>
          </w:footnotePr>
          <w:endnotePr>
            <w:numFmt w:val="decimal"/>
          </w:endnotePr>
          <w:pgSz w:w="11906" w:h="16838"/>
          <w:pgMar w:top="1134" w:right="1418" w:bottom="1418" w:left="1418" w:header="567" w:footer="567" w:gutter="0"/>
          <w:cols w:space="720"/>
          <w:docGrid w:linePitch="326"/>
        </w:sectPr>
      </w:pPr>
    </w:p>
    <w:p w14:paraId="730DBEEF" w14:textId="77777777" w:rsidR="00456265" w:rsidRPr="00AF1E04" w:rsidRDefault="007C45F1" w:rsidP="00CC40A8">
      <w:pPr>
        <w:pStyle w:val="ATHeading3"/>
      </w:pPr>
      <w:r w:rsidRPr="00AF1E04">
        <w:lastRenderedPageBreak/>
        <w:t>3. Euroopan parlamentin päätöslauselma 11. huhtikuuta 2024, j</w:t>
      </w:r>
      <w:r w:rsidR="00456265" w:rsidRPr="00AF1E04">
        <w:t>oka sisältää huomautukset, jotka ovat erottamaton osa päätöstä vastuuvapauden myöntämisestä Euroopan huumausaineiden ja niiden väärinkäytön seurantakeskuksen talousarvion toteuttamisesta varainhoitovuonna 2022</w:t>
      </w:r>
      <w:r w:rsidRPr="00AF1E04">
        <w:t xml:space="preserve"> </w:t>
      </w:r>
      <w:r w:rsidR="00456265" w:rsidRPr="00AF1E04">
        <w:t>(2023/2157(DEC))</w:t>
      </w:r>
    </w:p>
    <w:p w14:paraId="7162D693" w14:textId="77777777" w:rsidR="00456265" w:rsidRPr="00AF1E04" w:rsidRDefault="00456265" w:rsidP="007C45F1">
      <w:pPr>
        <w:pStyle w:val="EPComma"/>
        <w:widowControl/>
      </w:pPr>
      <w:r w:rsidRPr="00AF1E04">
        <w:rPr>
          <w:i/>
        </w:rPr>
        <w:t>Euroopan parlamentti</w:t>
      </w:r>
      <w:r w:rsidRPr="00AF1E04">
        <w:t>, joka</w:t>
      </w:r>
    </w:p>
    <w:p w14:paraId="77CEBA10" w14:textId="77777777" w:rsidR="00456265" w:rsidRPr="00AF1E04" w:rsidRDefault="00456265" w:rsidP="007C45F1">
      <w:pPr>
        <w:pStyle w:val="NormalHanging12a"/>
        <w:widowControl/>
      </w:pPr>
      <w:r w:rsidRPr="00AF1E04">
        <w:t>–</w:t>
      </w:r>
      <w:r w:rsidRPr="00AF1E04">
        <w:tab/>
        <w:t>ottaa huomioon päätöksensä vastuuvapauden myöntämisestä Euroopan huumausaineiden ja niiden väärinkäytön seurantakeskuksen talousarvion toteuttamisesta varainhoitovuonna 2022,</w:t>
      </w:r>
    </w:p>
    <w:p w14:paraId="50C4F0F9" w14:textId="77777777" w:rsidR="00456265" w:rsidRPr="00AF1E04" w:rsidRDefault="00456265" w:rsidP="007C45F1">
      <w:pPr>
        <w:pStyle w:val="NormalHanging12a"/>
        <w:widowControl/>
      </w:pPr>
      <w:r w:rsidRPr="00AF1E04">
        <w:t>–</w:t>
      </w:r>
      <w:r w:rsidRPr="00AF1E04">
        <w:tab/>
        <w:t>ottaa huomioon työjärjestyksen 100 artiklan ja liitteen V,</w:t>
      </w:r>
    </w:p>
    <w:p w14:paraId="2E5D4F5C" w14:textId="77777777" w:rsidR="00456265" w:rsidRPr="00AF1E04" w:rsidRDefault="00456265" w:rsidP="007C45F1">
      <w:pPr>
        <w:pStyle w:val="NormalHanging12a"/>
        <w:widowControl/>
      </w:pPr>
      <w:r w:rsidRPr="00AF1E04">
        <w:t>–</w:t>
      </w:r>
      <w:r w:rsidRPr="00AF1E04">
        <w:tab/>
        <w:t>ottaa huomioon kansalaisvapauksien sekä oikeus- ja sisäasioiden valiokunnan lausunnon,</w:t>
      </w:r>
    </w:p>
    <w:p w14:paraId="4CBA3A2A" w14:textId="77777777" w:rsidR="00456265" w:rsidRPr="00AF1E04" w:rsidRDefault="00456265" w:rsidP="007C45F1">
      <w:pPr>
        <w:pStyle w:val="NormalHanging12a"/>
        <w:widowControl/>
      </w:pPr>
      <w:r w:rsidRPr="00AF1E04">
        <w:t>–</w:t>
      </w:r>
      <w:r w:rsidRPr="00AF1E04">
        <w:tab/>
        <w:t>ottaa huomioon talousarvion valvontavaliokunnan mietinnön (A9-0104/2024),</w:t>
      </w:r>
    </w:p>
    <w:p w14:paraId="1F562A83" w14:textId="77777777" w:rsidR="00456265" w:rsidRPr="00AF1E04" w:rsidRDefault="00456265" w:rsidP="007C45F1">
      <w:pPr>
        <w:pStyle w:val="Normal12Hanging"/>
        <w:widowControl/>
        <w:rPr>
          <w:szCs w:val="24"/>
        </w:rPr>
      </w:pPr>
      <w:r w:rsidRPr="00AF1E04">
        <w:t>A.</w:t>
      </w:r>
      <w:r w:rsidRPr="00AF1E04">
        <w:tab/>
        <w:t>toteaa, että Euroopan huumausaineiden ja niiden väärinkäytön seurantakeskuksen (’keskus’) tulo- ja menotaulukon</w:t>
      </w:r>
      <w:r w:rsidRPr="00AF1E04">
        <w:rPr>
          <w:rStyle w:val="FootnoteReference"/>
          <w:szCs w:val="24"/>
        </w:rPr>
        <w:footnoteReference w:id="13"/>
      </w:r>
      <w:r w:rsidRPr="00AF1E04">
        <w:t xml:space="preserve"> mukaan sen lopullinen talousarvio varainhoitovuodeksi 2022 oli 18 893 136 euroa, mikä merkitsee 0,71 prosentin vähennystä vuoteen 2021 verrattuna; toteaa, että keskuksen talousarvio rahoitetaan pääasiassa (94-prosenttisesti) unionin talousarviosta;</w:t>
      </w:r>
    </w:p>
    <w:p w14:paraId="47A9A17B" w14:textId="77777777" w:rsidR="00456265" w:rsidRPr="00AF1E04" w:rsidRDefault="00456265" w:rsidP="007C45F1">
      <w:pPr>
        <w:pStyle w:val="Normal12Hanging"/>
        <w:widowControl/>
        <w:rPr>
          <w:szCs w:val="24"/>
        </w:rPr>
      </w:pPr>
      <w:r w:rsidRPr="00AF1E04">
        <w:t>B.</w:t>
      </w:r>
      <w:r w:rsidRPr="00AF1E04">
        <w:tab/>
        <w:t>ottaa huomioon, että tilintarkastustuomioistuin toteaa kertomuksessaan keskuksen tilinpäätöksestä varainhoitovuodelta 2022 saaneensa kohtuullisen varmuuden siitä, että keskuksen tilit olivat luotettavat ja tilien perustana olevat toimet olivat lailliset ja asianmukaiset (sääntöjenmukaiset);</w:t>
      </w:r>
    </w:p>
    <w:p w14:paraId="51A4C6DF" w14:textId="77777777" w:rsidR="00456265" w:rsidRPr="00AF1E04" w:rsidRDefault="00456265" w:rsidP="007C45F1">
      <w:pPr>
        <w:pStyle w:val="Normal12Hanging"/>
        <w:keepNext/>
        <w:widowControl/>
        <w:rPr>
          <w:b/>
          <w:i/>
          <w:szCs w:val="24"/>
        </w:rPr>
      </w:pPr>
      <w:r w:rsidRPr="00AF1E04">
        <w:rPr>
          <w:b/>
          <w:i/>
        </w:rPr>
        <w:t>Talousarvio- ja varainhallinto</w:t>
      </w:r>
    </w:p>
    <w:p w14:paraId="396E3506" w14:textId="77777777" w:rsidR="00456265" w:rsidRPr="00AF1E04" w:rsidRDefault="00456265" w:rsidP="007C45F1">
      <w:pPr>
        <w:pStyle w:val="NormalHanging12a"/>
        <w:widowControl/>
        <w:rPr>
          <w:szCs w:val="24"/>
        </w:rPr>
      </w:pPr>
      <w:r w:rsidRPr="00AF1E04">
        <w:t>1.</w:t>
      </w:r>
      <w:r w:rsidRPr="00AF1E04">
        <w:tab/>
        <w:t>panee tyytyväisenä merkille, että varainhoitovuonna 2022 toteutetun talousarvion seurannan tuloksena talousarvion toteutusaste oli 98,78 prosenttia (1,22 prosenttia alhaisempi kuin vuonna 2021); panee merkille, että maksumäärärahojen käyttöaste oli 96,65 prosenttia, mikä merkitsee hienoista 0,30 prosentin lisäystä vuoteen 2021 verrattuna; panee lisäksi merkille, että vuodelta 2021 vuodelle 2022 siirrettyjen maksumäärärahojen käyttöaste oli 88,98 prosenttia;</w:t>
      </w:r>
    </w:p>
    <w:p w14:paraId="53F5031E" w14:textId="77777777" w:rsidR="00456265" w:rsidRPr="00AF1E04" w:rsidRDefault="00456265" w:rsidP="007C45F1">
      <w:pPr>
        <w:pStyle w:val="NormalHanging12a"/>
        <w:widowControl/>
      </w:pPr>
      <w:r w:rsidRPr="00AF1E04">
        <w:t>2.</w:t>
      </w:r>
      <w:r w:rsidRPr="00AF1E04">
        <w:tab/>
        <w:t xml:space="preserve">panee tilintarkastustuomioistuimen kertomuksesta merkille, että keskus maksoi korkoa vain yhdestä myöhästyneestä maksusta, mutta huomattava määrä maksuista (107 maksua 1 595:stä) oli väärin luokiteltu myöhästyneiksi keskuksen varainhoidon ja kirjanpitojärjestelmässä (suoriteperusteinen kirjanpito, ABAC), mikä johtui virheellisestä parametrien määrittelystä tai siitä, että maksujen eräpäivää tai maksuvelvollisuuteen liittyvää asiakirjojen vastaanottohetkeä koskevat tiedot oli syötetty järjestelmään virheellisinä, tai näistä molemmista; panee keskuksen vastauksesta merkille, että maksujen epäjohdonmukainen luokittelu myöhästyneiksi ei vaikuttanut asianomaisten toimien sääntöjenmukaisuuteen; toteaa myös, että keskus on toteuttanut toimenpiteitä minimoidakseen virheellisten positiivisten tulosten riskin ja </w:t>
      </w:r>
      <w:r w:rsidRPr="00AF1E04">
        <w:lastRenderedPageBreak/>
        <w:t>varmistaakseen, että ABAC-järjestelmä antaa selkeän ja tarkan kuvan todellisista maksuviivästyksistä; kehottaa keskusta jatkamaan tämän asian seurantaa ja lieventämään siihen liittyviä mahdollisia tulevia maineriskejä;</w:t>
      </w:r>
    </w:p>
    <w:p w14:paraId="79856ADD" w14:textId="77777777" w:rsidR="00456265" w:rsidRPr="00AF1E04" w:rsidRDefault="00456265" w:rsidP="007C45F1">
      <w:pPr>
        <w:pStyle w:val="Normal12Hanging"/>
        <w:keepNext/>
        <w:widowControl/>
        <w:rPr>
          <w:b/>
          <w:i/>
          <w:szCs w:val="24"/>
        </w:rPr>
      </w:pPr>
      <w:r w:rsidRPr="00AF1E04">
        <w:rPr>
          <w:b/>
          <w:i/>
        </w:rPr>
        <w:t>Toiminnan tuloksellisuus</w:t>
      </w:r>
    </w:p>
    <w:p w14:paraId="0E619FBE" w14:textId="77777777" w:rsidR="00456265" w:rsidRPr="00AF1E04" w:rsidRDefault="00456265" w:rsidP="007C45F1">
      <w:pPr>
        <w:pStyle w:val="NormalHanging12a"/>
        <w:widowControl/>
        <w:rPr>
          <w:szCs w:val="24"/>
        </w:rPr>
      </w:pPr>
      <w:r w:rsidRPr="00AF1E04">
        <w:t>3.</w:t>
      </w:r>
      <w:r w:rsidRPr="00AF1E04">
        <w:tab/>
        <w:t>panee merkille, että keskuksen uudessa tuloksellisuuden mittausmallissa yksilöidään rajallinen määrä (10) yhdistettyjä keskeisiä tulosindikaattoreita, joita käytetään mittaamaan haluttujen tuotosten aikaansaamisen tuloksellisuutta ja kohdennettujen resurssien käytön tehokkuutta ja joita täydennetään korkeamman tason keskeisillä tulosindikaattoreilla, joissa keskitytään tuloksiin ja vaikutuksiin; panee merkille, että keskus oli määritellyt keskeisten tulosindikaattoreiden arviointia varten 65 vuotuista tavoitetta, joista se saavutti 57 (87 prosenttia) vuonna 2022;</w:t>
      </w:r>
    </w:p>
    <w:p w14:paraId="5239EE73" w14:textId="77777777" w:rsidR="00456265" w:rsidRPr="00AF1E04" w:rsidRDefault="00456265" w:rsidP="007C45F1">
      <w:pPr>
        <w:pStyle w:val="NormalHanging12a"/>
        <w:widowControl/>
        <w:rPr>
          <w:szCs w:val="24"/>
        </w:rPr>
      </w:pPr>
      <w:r w:rsidRPr="00AF1E04">
        <w:t>4.</w:t>
      </w:r>
      <w:r w:rsidRPr="00AF1E04">
        <w:tab/>
        <w:t>panee merkille, että vuoden 2022 työohjelman osalta keskus saavutti 152 tuotosta/tulosta kaikkiaan 188:sta (81 prosenttia), että se saavutti niistä osittain 12 prosenttia (eli 23 tuotosta/tulosta, jotka viivästyivät tai olivat kesken vuoden 2022 lopussa) ja että 12 tulosta (6 prosenttia) jäi toteuttamatta ja kahta ei voitu soveltaa; toteaa, että keskuksen näkemyksen mukaan useimmat toiminnan viivästyksistä tai peruuntumisista vuonna 2022 johtuivat resurssien puutteesta; panee lisäksi merkille, että keskus aloitti vuonna 2022 valmistelut uuden toimeksiantonsa (joita on määrä soveltaa vuodesta 2024 alkaen) täytäntöönpanoa varten ja että niihin liittyi keskeisiä resursseja ja ne edellyttivät joitakin mukautuksia eräisiin sen aiemmin suunnitelluista toiminnoista;</w:t>
      </w:r>
    </w:p>
    <w:p w14:paraId="137D94FC" w14:textId="77777777" w:rsidR="00456265" w:rsidRPr="00AF1E04" w:rsidRDefault="00456265" w:rsidP="007C45F1">
      <w:pPr>
        <w:pStyle w:val="NormalHanging12a"/>
        <w:widowControl/>
        <w:rPr>
          <w:szCs w:val="24"/>
        </w:rPr>
      </w:pPr>
      <w:r w:rsidRPr="00AF1E04">
        <w:t>5.</w:t>
      </w:r>
      <w:r w:rsidRPr="00AF1E04">
        <w:tab/>
        <w:t>panee merkille keskuksen toimet ja edistymisen sen työn kolmella osa-alueella (terveys, turvallisuus ja organisaation toimintaa edistävät tekijät); panee eritoten merkille, että vuonna 2022 julkaistiin uusi Euroopan huumeraportti, jossa esitetään viimeisin katsaus Euroopan huumetilanteeseen vuoteen 2022 asti, käynnistettiin sähköisen oppimisen PLATO-alusta, joka pitää sisällään eurooppalaisen ehkäisevän päihdetyön opinto-ohjelman, joka on suunniteltu ennaltaehkäisyä koskevien päätösten, lausuntojen ja toimintapolitiikkojen laatimiseen Euroopassa osallistuvien ammattilaisten kouluttamiseen, annettiin seitsemän miniopasta, jotka kattavat huumeiden viihdekäytön torjunnan, niiden käytön torjunnan paikallisyhteisöissä, kouluissa ja vankiloissa ja perheiden ja asunnottomien tarpeisiin vastaamisen, sekä julkaistiin kolme katsausta, joiden aiheina olivat huumeiden käyttöhuoneet, ainetunnistuspalvelut ja sähköisen terveydenhuollon toimenpiteet;</w:t>
      </w:r>
    </w:p>
    <w:p w14:paraId="53C94DE7" w14:textId="77777777" w:rsidR="00456265" w:rsidRPr="00AF1E04" w:rsidRDefault="00456265" w:rsidP="007C45F1">
      <w:pPr>
        <w:pStyle w:val="NormalHanging12a"/>
        <w:widowControl/>
      </w:pPr>
      <w:r w:rsidRPr="00AF1E04">
        <w:t>6.</w:t>
      </w:r>
      <w:r w:rsidRPr="00AF1E04">
        <w:tab/>
        <w:t xml:space="preserve">panee tyytyväisenä merkille, että keskus julkaisi vuonna 2022 uuden nopean trenditutkimuksen, jossa yhdisteltiin eri menetelmiä ja arvioitiin ensivaiheen toimia vastauksena siirtymään joutuneiden ukrainalaisten tarpeisiin Ukrainaan rajoittuvissa unionin jäsenvaltioissa; antaa keskukselle tunnustutusta siitä, että se teki yhteistyötä Europolin kanssa laadittaessa neljättä painosta niiden yhteisestä julkaisusta ”EU </w:t>
      </w:r>
      <w:proofErr w:type="spellStart"/>
      <w:r w:rsidRPr="00AF1E04">
        <w:t>Drug</w:t>
      </w:r>
      <w:proofErr w:type="spellEnd"/>
      <w:r w:rsidRPr="00AF1E04">
        <w:t xml:space="preserve"> Markets: In-</w:t>
      </w:r>
      <w:proofErr w:type="spellStart"/>
      <w:r w:rsidRPr="00AF1E04">
        <w:t>depth</w:t>
      </w:r>
      <w:proofErr w:type="spellEnd"/>
      <w:r w:rsidRPr="00AF1E04">
        <w:t xml:space="preserve"> </w:t>
      </w:r>
      <w:proofErr w:type="spellStart"/>
      <w:r w:rsidRPr="00AF1E04">
        <w:t>analysis</w:t>
      </w:r>
      <w:proofErr w:type="spellEnd"/>
      <w:r w:rsidRPr="00AF1E04">
        <w:t xml:space="preserve">”, jonka tulokset esitetään moduuleina, joista kussakin keskitytään tietyn huumausaineen markkinoihin ja tarkastellaan toimitusketjun trendejä tuotannosta ja kaupasta aina jakeluun ja käyttöön; antaa tässä yhteydessä tunnustusta siitä, että vuonna 2022 käynnistettiin kokaiinia ja </w:t>
      </w:r>
      <w:proofErr w:type="spellStart"/>
      <w:r w:rsidRPr="00AF1E04">
        <w:t>metamfetamiinia</w:t>
      </w:r>
      <w:proofErr w:type="spellEnd"/>
      <w:r w:rsidRPr="00AF1E04">
        <w:t xml:space="preserve"> koskevat kaksi ensimmäistä moduulia;</w:t>
      </w:r>
    </w:p>
    <w:p w14:paraId="6CBE8642" w14:textId="77777777" w:rsidR="00456265" w:rsidRPr="00AF1E04" w:rsidRDefault="00456265" w:rsidP="007C45F1">
      <w:pPr>
        <w:pStyle w:val="NormalHanging12a"/>
        <w:widowControl/>
        <w:rPr>
          <w:szCs w:val="24"/>
        </w:rPr>
      </w:pPr>
      <w:r w:rsidRPr="00AF1E04">
        <w:t>7.</w:t>
      </w:r>
      <w:r w:rsidRPr="00AF1E04">
        <w:tab/>
        <w:t xml:space="preserve">panee merkille, että keskus jatkoi vuonna 2022 Euroopan unionin varhaisvaroitusjärjestelmän täytäntöönpanoa yhteistyössä kumppaniensa kanssa; toteaa samassa yhteydessä, että vuonna 2022 varhaisvaroitusjärjestelmään ilmoitettiin </w:t>
      </w:r>
      <w:r w:rsidRPr="00AF1E04">
        <w:lastRenderedPageBreak/>
        <w:t>ensimmäistä kertaa virallisesti 41 uudesta psykoaktiivisesta aineesta; panee lisäksi merkille, että vuonna 2022 kaksi uutta psykoaktiivista ainetta, joista keskus oli tehnyt riskinarvioinnin vuonna 2021 (3-kloorimetkatinoni (3-CMC) ja 3-metyylimetkatinoni (3-MMC)), sisällytettiin huumausaineen määritelmään komission delegoidulla direktiivillä;</w:t>
      </w:r>
    </w:p>
    <w:p w14:paraId="64318F08" w14:textId="77777777" w:rsidR="00456265" w:rsidRPr="00AF1E04" w:rsidRDefault="00456265" w:rsidP="007C45F1">
      <w:pPr>
        <w:pStyle w:val="NormalHanging12a"/>
        <w:widowControl/>
        <w:rPr>
          <w:szCs w:val="24"/>
        </w:rPr>
      </w:pPr>
      <w:r w:rsidRPr="00AF1E04">
        <w:t>8.</w:t>
      </w:r>
      <w:r w:rsidRPr="00AF1E04">
        <w:tab/>
        <w:t xml:space="preserve">pitää myönteisenä keskuksen osallistumista huumausaineita käsitteleviin koulutustapahtumiin ja valmiuksien kehittämistoimiin, joissa se onnistui välittämään tietämystään lähes 950:lle huumausaineiden parissa toimivalle ammattilaiselle, joiden joukossa oli myös lainvalvontaviranomaisia ja poliittisia päättäjiä; panee lisäksi merkille, että keskuksen vuonna 2022 järjestämiin seitsemään verkkoseminaariin osallistui noin 1 200 ammattilaista, jotka toimivat huumausaineiden parissa eri puolilla maailmaa; antaa keskukselle tunnustusta siitä, että se järjesti kumppaniensa kanssa neljännen eurooppalaisen riippuvuusaiheisen konferenssin (European Conference on </w:t>
      </w:r>
      <w:proofErr w:type="spellStart"/>
      <w:r w:rsidRPr="00AF1E04">
        <w:t>Addictive</w:t>
      </w:r>
      <w:proofErr w:type="spellEnd"/>
      <w:r w:rsidRPr="00AF1E04">
        <w:t xml:space="preserve"> </w:t>
      </w:r>
      <w:proofErr w:type="spellStart"/>
      <w:r w:rsidRPr="00AF1E04">
        <w:t>Behaviours</w:t>
      </w:r>
      <w:proofErr w:type="spellEnd"/>
      <w:r w:rsidRPr="00AF1E04">
        <w:t xml:space="preserve"> and </w:t>
      </w:r>
      <w:proofErr w:type="spellStart"/>
      <w:r w:rsidRPr="00AF1E04">
        <w:t>Dependencies</w:t>
      </w:r>
      <w:proofErr w:type="spellEnd"/>
      <w:r w:rsidRPr="00AF1E04">
        <w:t xml:space="preserve">: </w:t>
      </w:r>
      <w:proofErr w:type="spellStart"/>
      <w:r w:rsidRPr="00AF1E04">
        <w:t>Lisbon</w:t>
      </w:r>
      <w:proofErr w:type="spellEnd"/>
      <w:r w:rsidRPr="00AF1E04">
        <w:t xml:space="preserve"> </w:t>
      </w:r>
      <w:proofErr w:type="spellStart"/>
      <w:r w:rsidRPr="00AF1E04">
        <w:t>Addictions</w:t>
      </w:r>
      <w:proofErr w:type="spellEnd"/>
      <w:r w:rsidRPr="00AF1E04">
        <w:t xml:space="preserve"> 2022), jonka yleisenä teemana oli ”Global </w:t>
      </w:r>
      <w:proofErr w:type="spellStart"/>
      <w:r w:rsidRPr="00AF1E04">
        <w:t>Addictions</w:t>
      </w:r>
      <w:proofErr w:type="spellEnd"/>
      <w:r w:rsidRPr="00AF1E04">
        <w:t>” ja johon kokoontui ennätykselliset 1 757 osallistujaa 84 maasta;</w:t>
      </w:r>
    </w:p>
    <w:p w14:paraId="5C4905E3" w14:textId="77777777" w:rsidR="00456265" w:rsidRPr="00AF1E04" w:rsidRDefault="00456265" w:rsidP="007C45F1">
      <w:pPr>
        <w:pStyle w:val="NormalHanging12a"/>
        <w:widowControl/>
        <w:rPr>
          <w:szCs w:val="24"/>
        </w:rPr>
      </w:pPr>
      <w:r w:rsidRPr="00AF1E04">
        <w:t>9.</w:t>
      </w:r>
      <w:r w:rsidRPr="00AF1E04">
        <w:tab/>
        <w:t>panee tyytyväisenä merkille keskuksen jatkuvat ponnistelut, joilla se nostaa esiin huumausaineisiin liittyviä sosiaalisia näkökulmia ja yhteiskunnallisia vaikutuksia, edistää politiikkatoimia huumausaineiden käyttäjien sopeuttamiseksi uudelleen yhteiskuntaan ja lähestyy huumausaineiden aihepiiriä monialaisella tavalla; pitää olennaisen tärkeänä lisätä edelleen tietoisuutta ennaltaehkäisyn ja innovatiivisen, mielenterveyteen perustuvan lähestymistavan merkityksestä huumepolitiikoille;</w:t>
      </w:r>
    </w:p>
    <w:p w14:paraId="7873C973" w14:textId="77777777" w:rsidR="00456265" w:rsidRPr="00AF1E04" w:rsidRDefault="00456265" w:rsidP="007C45F1">
      <w:pPr>
        <w:pStyle w:val="NormalHanging12a"/>
        <w:widowControl/>
      </w:pPr>
      <w:r w:rsidRPr="00AF1E04">
        <w:t>10.</w:t>
      </w:r>
      <w:r w:rsidRPr="00AF1E04">
        <w:tab/>
        <w:t xml:space="preserve">on tyytyväinen edistymiseen, jota keskus on saavuttanut yhteistyössä Europolin kanssa toteutettavan, EU:n huumausainemarkkinoita koskevan selvityksen (”EU </w:t>
      </w:r>
      <w:proofErr w:type="spellStart"/>
      <w:r w:rsidRPr="00AF1E04">
        <w:t>Drug</w:t>
      </w:r>
      <w:proofErr w:type="spellEnd"/>
      <w:r w:rsidRPr="00AF1E04">
        <w:t xml:space="preserve"> Markets: In-Depth </w:t>
      </w:r>
      <w:proofErr w:type="spellStart"/>
      <w:r w:rsidRPr="00AF1E04">
        <w:t>analysis</w:t>
      </w:r>
      <w:proofErr w:type="spellEnd"/>
      <w:r w:rsidRPr="00AF1E04">
        <w:t xml:space="preserve">”) parissa, ja siihen, että tiettyjä huumeita käsitteleviä moduuleja julkaistiin vuoden 2022 aikana ja lisää suunnitellaan julkaistaviksi vuonna 2023; panee tyytyväisenä merkille vuonna 2022 tehdyn työn perustietojen laadun ja saatavuuden parantamiseksi yhteistyössä </w:t>
      </w:r>
      <w:proofErr w:type="spellStart"/>
      <w:r w:rsidRPr="00AF1E04">
        <w:t>Reitoxin</w:t>
      </w:r>
      <w:proofErr w:type="spellEnd"/>
      <w:r w:rsidRPr="00AF1E04">
        <w:t xml:space="preserve"> kansallisten huumeseurantakeskusten ja Europolin kanssa; panee tyytyväisenä merkille kaikki toimet, joita keskus on toteuttanut monialaisen rikosuhkien torjuntafoorumin kannabista, kokaiinia ja heroiinia koskevien operatiivisten toimintasuunnitelmien puitteissa;</w:t>
      </w:r>
      <w:r w:rsidRPr="00AF1E04">
        <w:rPr>
          <w:rStyle w:val="FootnoteReference"/>
        </w:rPr>
        <w:t xml:space="preserve"> </w:t>
      </w:r>
      <w:r w:rsidRPr="00AF1E04">
        <w:t>muistuttaa, että huumausaineiden kauppa on tunnistettu järjestäytyneen rikollisuuden ja terrorismin tärkeimmäksi tulonlähteeksi ja värväyskanavaksi, ja korostaa keskuksen panosta parannettaessa Euroopan turvallisuutta;</w:t>
      </w:r>
    </w:p>
    <w:p w14:paraId="0D0447E0" w14:textId="77777777" w:rsidR="00456265" w:rsidRPr="00AF1E04" w:rsidRDefault="00456265" w:rsidP="007C45F1">
      <w:pPr>
        <w:pStyle w:val="NormalHanging12a"/>
        <w:widowControl/>
      </w:pPr>
      <w:r w:rsidRPr="00AF1E04">
        <w:t>11.</w:t>
      </w:r>
      <w:r w:rsidRPr="00AF1E04">
        <w:tab/>
        <w:t>pitää myönteisenä keskuksen ja Euroopan naapuruuspolitiikan kumppanuusmaiden välistä jatkuvaa alueellista yhteistyötä Euroopan naapuruusvälineestä rahoitettavien teknisen tuen EU4MD-hankkeiden välityksellä sekä kahdenvälisen EMCDDA4GE-hankkeen nykyistä täytäntöönpanoa Georgian kanssa; panee tyytyväisenä merkille virallisen kumppanuuden perustamisen Latinalaisen Amerikan, Karibian alueen ja Euroopan unionin välisen huumausainepoliittisen yhteistyöohjelman puitteissa;</w:t>
      </w:r>
    </w:p>
    <w:p w14:paraId="78462307" w14:textId="77777777" w:rsidR="00456265" w:rsidRPr="00AF1E04" w:rsidRDefault="00456265" w:rsidP="007C45F1">
      <w:pPr>
        <w:pStyle w:val="Normal12Hanging"/>
        <w:keepNext/>
        <w:widowControl/>
        <w:rPr>
          <w:b/>
          <w:i/>
          <w:szCs w:val="24"/>
        </w:rPr>
      </w:pPr>
      <w:r w:rsidRPr="00AF1E04">
        <w:rPr>
          <w:b/>
          <w:i/>
        </w:rPr>
        <w:t>Tehokkuus ja hyödyt</w:t>
      </w:r>
    </w:p>
    <w:p w14:paraId="35BACEC3" w14:textId="77777777" w:rsidR="00456265" w:rsidRPr="00AF1E04" w:rsidRDefault="00456265" w:rsidP="007C45F1">
      <w:pPr>
        <w:pStyle w:val="Normal12Hanging"/>
        <w:widowControl/>
        <w:rPr>
          <w:szCs w:val="24"/>
        </w:rPr>
      </w:pPr>
      <w:r w:rsidRPr="00AF1E04">
        <w:t>12.</w:t>
      </w:r>
      <w:r w:rsidRPr="00AF1E04">
        <w:tab/>
        <w:t xml:space="preserve">kiittää keskusta siitä, että se on sitoutunut jatkuvasti parantamaan toimintansa vaikuttavuutta ja tehokkuutta ja maksimoimaan resurssiensa, asiantuntemuksensa ja taitotietonsa käytön voidakseen viime kädessä osaltaan edistää turvallisempaa ja terveellisempää Eurooppaa, erityisesti oikeus- ja sisäasioiden sekä terveydenhuollon </w:t>
      </w:r>
      <w:r w:rsidRPr="00AF1E04">
        <w:lastRenderedPageBreak/>
        <w:t>alan virastojen kanssa tehtävien yhteistyöjärjestelyjen avulla; panee merkille toimet, jotka keskus on toteuttanut vähentääkseen tilojensa käyttökustannuksia, kuten aurinkosuojauksen käyttö lasipinnoilla ja ilmastoinnin säätimet ikkunoissa; panee lisäksi merkille Euroopan meriturvallisuusviraston kanssa tehdyn sopimuksen yhteisten alueiden (ruokalat, maanalaiset pysäköintialueet ja konferenssitilat) jaetusta käytöstä rakennuskokonaisuudessa, jossa niiden päätoimipaikat sijaitsevat, sekä näiden kahden viraston välisen yhteistyön, joka koskee yhteisten palvelujen (esim. turvallisuus, siivous, ateriapalvelut) yhteishankintoja ja molempien virastojen henkilöstön yhteistä etua koskevien koulutustoimien järjestämistä yhdessä;</w:t>
      </w:r>
    </w:p>
    <w:p w14:paraId="5A9AD532" w14:textId="77777777" w:rsidR="00456265" w:rsidRPr="00AF1E04" w:rsidRDefault="00456265" w:rsidP="007C45F1">
      <w:pPr>
        <w:pStyle w:val="Normal12Hanging"/>
        <w:widowControl/>
      </w:pPr>
      <w:r w:rsidRPr="00AF1E04">
        <w:t>13.</w:t>
      </w:r>
      <w:r w:rsidRPr="00AF1E04">
        <w:tab/>
        <w:t>panee tyytyväisenä merkille, että keskuksella on strateginen suunnitelma (ympäristöstrategia 2021–2025), jotta siitä tulisi hiilineutraali, ja että se on sisällyttänyt vuotuiseen toimintakertomukseensa mittareita, jotka koskevat sen ympäristönsuojelun tasoa ja hiilidioksidijalanjälkeä, ja toteaa, että tulokset ovat jatkuvasti parantuneet vuodesta 2014 lähtien; suhtautuu myönteisesti keskuksen johtajan vuonna 2022 tekemään päätökseen hankkia EMAS-sertifikaatti, jonka käsittelyprosessi oli tarkoitus saada päätökseen vuonna 2023;</w:t>
      </w:r>
    </w:p>
    <w:p w14:paraId="00F1CE83" w14:textId="77777777" w:rsidR="00456265" w:rsidRPr="00AF1E04" w:rsidRDefault="00456265" w:rsidP="007C45F1">
      <w:pPr>
        <w:pStyle w:val="Normal12Hanging"/>
        <w:widowControl/>
      </w:pPr>
      <w:r w:rsidRPr="00AF1E04">
        <w:t>14.</w:t>
      </w:r>
      <w:r w:rsidRPr="00AF1E04">
        <w:tab/>
        <w:t>toteaa, että keskus toteutti vuonna 2022 useita hankkeita, joiden tarkoituksena oli parantaa ympäristönsuojelun tasoa parantamalla sähkönkulutusta, asentamalla aurinkokennoja rakennuksen katolle sekä asentamalla sähköautojen yhteiskäyttöasemia keskuksen ajoneuvokannan korvaamiseksi sähkö- tai hybridiajoneuvoilla;</w:t>
      </w:r>
    </w:p>
    <w:p w14:paraId="578C27EB" w14:textId="77777777" w:rsidR="00456265" w:rsidRPr="00AF1E04" w:rsidRDefault="00456265" w:rsidP="007C45F1">
      <w:pPr>
        <w:pStyle w:val="Normal12Hanging"/>
        <w:keepNext/>
        <w:widowControl/>
        <w:rPr>
          <w:b/>
          <w:i/>
          <w:szCs w:val="24"/>
        </w:rPr>
      </w:pPr>
      <w:r w:rsidRPr="00AF1E04">
        <w:rPr>
          <w:b/>
          <w:i/>
        </w:rPr>
        <w:t>Henkilöstöpolitiikka</w:t>
      </w:r>
    </w:p>
    <w:p w14:paraId="36E44248" w14:textId="77777777" w:rsidR="00456265" w:rsidRPr="00AF1E04" w:rsidRDefault="00456265" w:rsidP="007C45F1">
      <w:pPr>
        <w:pStyle w:val="Normal12Hanging"/>
        <w:widowControl/>
        <w:rPr>
          <w:szCs w:val="24"/>
        </w:rPr>
      </w:pPr>
      <w:r w:rsidRPr="00AF1E04">
        <w:t>15.</w:t>
      </w:r>
      <w:r w:rsidRPr="00AF1E04">
        <w:tab/>
        <w:t>panee merkille, että 31. joulukuuta 2022 henkilöstötaulukosta oli täytettynä 97 prosenttia, sillä unionin talousarviossa hyväksyttyihin seitsemän virkamiehen ja 69 väliaikaisen toimihenkilön tehtäviin (76 hyväksyttyä virkaa/tointa vuonna 2022, sama määrä kuin vuonna 2021) oli nimitetty kuusi virkamiestä ja 68 väliaikaista toimihenkilöä; panee merkille, että vuonna 2022 keskuksessa työskenteli lisäksi 27 sopimussuhteista toimihenkilöä; pitää myönteisenä keskuksen vuonna 2022 tekemää henkilöstökartoitusta ja sen resurssien toimivaa ja tehokasta kohdentamista, kun 72,44 prosenttia keskuksen henkilöstöstä oli kohdennettu operatiivisiin tehtäviin, 18,20 prosenttia hallinnolliseen tukeen ja 9,35 prosenttia muihin tehtäviin; antaa keskukselle tunnustusta sen henkilöstön alhaisesta vaihtuvuudesta (2,9 prosenttia) vuonna 2022;</w:t>
      </w:r>
    </w:p>
    <w:p w14:paraId="6DCF9646" w14:textId="77777777" w:rsidR="00456265" w:rsidRPr="00AF1E04" w:rsidRDefault="00456265" w:rsidP="007C45F1">
      <w:pPr>
        <w:pStyle w:val="NormalHanging12a"/>
        <w:widowControl/>
      </w:pPr>
      <w:r w:rsidRPr="00AF1E04">
        <w:t>16.</w:t>
      </w:r>
      <w:r w:rsidRPr="00AF1E04">
        <w:tab/>
        <w:t>panee merkille, että keskuksen antamien tietojen mukaan sen ylemmässä johdossa oli kaksi naista (22 prosenttia) ja seitsemän miestä (78 prosenttia) ja sen hallintoneuvostossa 20 naista (37 prosenttia) ja 34 miestä (63 prosenttia); toteaa, että sen koko henkilöstöön kuului 36 miestä (38 prosenttia) ja 58 naista (62 prosenttia); palauttaa mieliin, että on tärkeää varmistaa sukupuolten tasapuolinen edustus henkilöstössä, ja kehottaa keskusta ottamaan tämän näkökohdan huomioon tulevissa henkilöstön rekrytoinneissa ja ylemmän johdon nimityksissä; pyytää komissiota ja jäsenvaltioita ottamaan huomioon, että on tärkeää huolehtia sukupuolten tasapuolisesta edustuksesta nimitettäessä jäseniä keskuksen hallintoneuvostoon;</w:t>
      </w:r>
    </w:p>
    <w:p w14:paraId="4FC4FEA1" w14:textId="77777777" w:rsidR="00456265" w:rsidRPr="00AF1E04" w:rsidRDefault="00456265" w:rsidP="007C45F1">
      <w:pPr>
        <w:pStyle w:val="Normal12Hanging"/>
        <w:widowControl/>
        <w:rPr>
          <w:szCs w:val="24"/>
        </w:rPr>
      </w:pPr>
      <w:r w:rsidRPr="00AF1E04">
        <w:t>17.</w:t>
      </w:r>
      <w:r w:rsidRPr="00AF1E04">
        <w:tab/>
        <w:t xml:space="preserve">panee merkille keskuksen kertomuksen niiden seurantatoimenpiteiden osalta, joita on toteutettu keskuksen talousarvion toteuttamisesta varainhoitovuonna 2021 myönnetyn vastuuvapauden yhteydessä (’keskuksen kertomus’) sukupuolten tasapuolisen edustuksen parantamiseksi keskuksessa; panee merkille, että tällaisia toimenpiteitä </w:t>
      </w:r>
      <w:r w:rsidRPr="00AF1E04">
        <w:lastRenderedPageBreak/>
        <w:t xml:space="preserve">toteutettiin keskuksen rekrytointimenettelyjen yhteydessä ja levitettäessä jäsenvaltioissa tietoa keskuksen valintaprosessista; kiittää keskuksen hallintoneuvoston puheenjohtajaa siitä, että tämä on ollut yhteydessä jäsenvaltioiden, Norjan ja Turkin asiaankuuluviin viranomaisiin, jotta nimitettäessä niiden jäseniä keskuksen hallintoneuvostoon voidaan varmistaa sukupuolten tasapuolinen edustus; panee keskuksen kertomuksesta lisäksi merkille </w:t>
      </w:r>
      <w:proofErr w:type="spellStart"/>
      <w:r w:rsidRPr="00AF1E04">
        <w:t>Sysper</w:t>
      </w:r>
      <w:proofErr w:type="spellEnd"/>
      <w:r w:rsidRPr="00AF1E04">
        <w:t>-järjestelmän käyttämättä jättämistä koskevan huomautuksen osalta, että keskus on kehittänyt ja ottanut käyttöön omia tieto- ja viestintäteknisiä välineitään digitalisoitua henkilöstöhallintoa varten;</w:t>
      </w:r>
    </w:p>
    <w:p w14:paraId="5369426D" w14:textId="77777777" w:rsidR="00456265" w:rsidRPr="00AF1E04" w:rsidRDefault="00456265" w:rsidP="007C45F1">
      <w:pPr>
        <w:pStyle w:val="Normal12Hanging"/>
        <w:widowControl/>
        <w:rPr>
          <w:szCs w:val="24"/>
        </w:rPr>
      </w:pPr>
      <w:r w:rsidRPr="00AF1E04">
        <w:t>18.</w:t>
      </w:r>
      <w:r w:rsidRPr="00AF1E04">
        <w:tab/>
        <w:t>palauttaa mieliin unionin virastoja koskevasta tilintarkastustuomioistuimen vuosikertomuksesta vuodelta 2018 huomautuksen, joka koski tilapäistyöntekijöiden palkkaamista puitesopimuksen avulla noudattamatta direktiivin 2008/104/EY</w:t>
      </w:r>
      <w:r w:rsidRPr="00AF1E04">
        <w:rPr>
          <w:rStyle w:val="FootnoteReference"/>
          <w:szCs w:val="24"/>
        </w:rPr>
        <w:footnoteReference w:id="14"/>
      </w:r>
      <w:r w:rsidRPr="00AF1E04">
        <w:t xml:space="preserve"> ja Portugalin työlainsäädännön vaatimuksia; panee tilintarkastustuomioistuimen kertomuksesta merkille, että kyseisen huomautuksen käsittely on päättynyt, että kyseisen puitesopimuksen voimassaolo päättyi maaliskuussa 2022 ja että viimeinen tilapäisiin työntekijöihin liittynyt maksu suoritettiin tammikuussa 2022;</w:t>
      </w:r>
    </w:p>
    <w:p w14:paraId="08262492" w14:textId="77777777" w:rsidR="00456265" w:rsidRPr="00AF1E04" w:rsidRDefault="00456265" w:rsidP="007C45F1">
      <w:pPr>
        <w:pStyle w:val="Normal12Hanging"/>
        <w:keepNext/>
        <w:widowControl/>
        <w:rPr>
          <w:b/>
          <w:i/>
          <w:szCs w:val="24"/>
        </w:rPr>
      </w:pPr>
      <w:r w:rsidRPr="00AF1E04">
        <w:rPr>
          <w:b/>
          <w:i/>
        </w:rPr>
        <w:t>Hankinnat</w:t>
      </w:r>
    </w:p>
    <w:p w14:paraId="3A55A7C4" w14:textId="77777777" w:rsidR="00456265" w:rsidRPr="00AF1E04" w:rsidRDefault="00456265" w:rsidP="007C45F1">
      <w:pPr>
        <w:pStyle w:val="NormalHanging12a"/>
        <w:widowControl/>
        <w:rPr>
          <w:szCs w:val="24"/>
        </w:rPr>
      </w:pPr>
      <w:r w:rsidRPr="00AF1E04">
        <w:t>19.</w:t>
      </w:r>
      <w:r w:rsidRPr="00AF1E04">
        <w:tab/>
        <w:t xml:space="preserve">panee tilintarkastustuomioistuimen kertomuksesta merkille, että vuonna 2022 tehtyä sopimusta vastaava määrä (75 000 euroa) oli osittain vailla vastaavaa talousarviositoumusta, mikä johti 8 000 euron vajeeseen; toteaa, että samanlainen tilanne oli syntynyt vuonna 2021 </w:t>
      </w:r>
      <w:proofErr w:type="spellStart"/>
      <w:r w:rsidRPr="00AF1E04">
        <w:t>samantyyppisen</w:t>
      </w:r>
      <w:proofErr w:type="spellEnd"/>
      <w:r w:rsidRPr="00AF1E04">
        <w:t xml:space="preserve"> sopimuksen osalta ja että kummassakaan tapauksessa keskuksen toiminta ei tilintarkastustuomioistuimen kertomuksen mukaan ollut keskuksen varainhoitosääntöjen 10.3 artiklan ja 73.2 artiklan vaatimusten mukaista; panee kuitenkin keskuksen vastauksesta merkille, että sopimuksen kustannukset jaettiin kahden muun, keskuksen Lissabonissa sijaitsevia tiloja käyttävän yhteisön kanssa tehtyjen sopimusten mukaisesti; toteaa tässä yhteydessä, että keskuksen oli vastattava vain osasta sopimuksen kokonaiskustannuksista/-menoista, jotka perustuivat vastaaviin talousarviositoumuksiin, ja että loput kustannukset perustuivat kuittaus-/selvityskirjanpitotoimiin ja niistä vastasivat kaksi muuta yhteisöä;</w:t>
      </w:r>
    </w:p>
    <w:p w14:paraId="0311E2EC" w14:textId="77777777" w:rsidR="00456265" w:rsidRPr="00AF1E04" w:rsidRDefault="00456265" w:rsidP="007C45F1">
      <w:pPr>
        <w:pStyle w:val="Normal12Hanging"/>
        <w:keepNext/>
        <w:widowControl/>
        <w:rPr>
          <w:b/>
          <w:i/>
          <w:szCs w:val="24"/>
        </w:rPr>
      </w:pPr>
      <w:r w:rsidRPr="00AF1E04">
        <w:rPr>
          <w:b/>
          <w:i/>
        </w:rPr>
        <w:t>Eturistiriitojen ennaltaehkäisy ja hallinta sekä avoimuus</w:t>
      </w:r>
    </w:p>
    <w:p w14:paraId="603B2D9B" w14:textId="77777777" w:rsidR="00456265" w:rsidRPr="00AF1E04" w:rsidRDefault="00456265" w:rsidP="007C45F1">
      <w:pPr>
        <w:pStyle w:val="Normal12Hanging"/>
        <w:widowControl/>
        <w:rPr>
          <w:szCs w:val="24"/>
        </w:rPr>
      </w:pPr>
      <w:r w:rsidRPr="00AF1E04">
        <w:t>20.</w:t>
      </w:r>
      <w:r w:rsidRPr="00AF1E04">
        <w:tab/>
        <w:t>panee merkille keskuksen nykyiset toimenpiteet ja jatkuvat pyrkimykset, joilla pyritään turvaamaan avoimuus, ennaltaehkäisemään ja hallitsemaan eturistiriitoja sekä huolehtimaan väärinkäytösten paljastajien suojelusta; toteaa, että vuonna 2022 ei raportoitu, tutkittu tai saatettu päätökseen yhtään eturistiriitatapausta eikä väärinkäytösten paljastamista koskevaa tapausta; panee tyytyväisenä merkille, että keskus julkisti verkkosivustollaan ylemmän johtonsa, hallintoneuvostonsa jäsenten ja tiedekomitean jäseninä olevien ulkopuolisten asiantuntijoiden ilmoitukset sidonnaisuuksista ja ansioluettelot; palauttaa mieliin, että hallintoneuvoston jäsenten osalta keskuksen verkkosivustolla on saatavilla yhteenveto vain heidän nykyisistä tehtävistään; panee merkille keskuksen sitoumuksen käsitellä vuoden 2023 loppuun mennessä mahdollisuutta sisällyttää julkaistuihin ansioluetteloihin myös kyseisten jäsenten aiempi ammatillinen toiminta;</w:t>
      </w:r>
    </w:p>
    <w:p w14:paraId="59518427" w14:textId="77777777" w:rsidR="00456265" w:rsidRPr="00AF1E04" w:rsidRDefault="00456265" w:rsidP="007C45F1">
      <w:pPr>
        <w:pStyle w:val="Normal12Hanging"/>
        <w:widowControl/>
        <w:rPr>
          <w:szCs w:val="24"/>
        </w:rPr>
      </w:pPr>
      <w:r w:rsidRPr="00AF1E04">
        <w:lastRenderedPageBreak/>
        <w:t>21.</w:t>
      </w:r>
      <w:r w:rsidRPr="00AF1E04">
        <w:tab/>
        <w:t>toteaa, että keskus ei tavannut edunvalvojia vuonna 2022; panee lisäksi merkille, että keskuksella on käytössä komission ja Euroopan oikeusasiamiehen asiasta laatimien suuntaviivojen ja suositusten perusteella käytännesäännöt ja käytännön suositukset/ohjeet, jotka koskevat keskuksen henkilöstön mahdollista vuorovaikutusta edunvalvojien kanssa; toteaa myös, että jos tällaisia kokouksia pidetään, suuntaviivoissa suositellaan kokouksen kirjaamista ja julkistamista; kehottaa keskusta noudattamaan näitä suuntaviivoja ja julkistamaan kokoukset viipymättä;</w:t>
      </w:r>
    </w:p>
    <w:p w14:paraId="2747ABC7" w14:textId="77777777" w:rsidR="00456265" w:rsidRPr="00AF1E04" w:rsidRDefault="00456265" w:rsidP="007C45F1">
      <w:pPr>
        <w:pStyle w:val="Normal12Hanging"/>
        <w:keepNext/>
        <w:widowControl/>
        <w:rPr>
          <w:b/>
          <w:i/>
          <w:szCs w:val="24"/>
        </w:rPr>
      </w:pPr>
      <w:r w:rsidRPr="00AF1E04">
        <w:rPr>
          <w:b/>
          <w:i/>
        </w:rPr>
        <w:t>Sisäinen valvonta</w:t>
      </w:r>
    </w:p>
    <w:p w14:paraId="0395C272" w14:textId="77777777" w:rsidR="00456265" w:rsidRPr="00AF1E04" w:rsidRDefault="00456265" w:rsidP="007C45F1">
      <w:pPr>
        <w:pStyle w:val="Normal12Hanging"/>
        <w:widowControl/>
        <w:rPr>
          <w:szCs w:val="24"/>
        </w:rPr>
      </w:pPr>
      <w:r w:rsidRPr="00AF1E04">
        <w:t>22.</w:t>
      </w:r>
      <w:r w:rsidRPr="00AF1E04">
        <w:tab/>
        <w:t>panee merkille, että komission sisäinen tarkastus (IAS) toimitti vuonna 2022 keskukselle kaksi tarkastusta, jotka koskivat kansainvälistä yhteistyötä ja kumppanipääosastojen ja muiden sidosryhmien koordinoinnin ja työjärjestelyjen riittävyyttä sekä unionin erillisvirastojen hallintokehystä; toteaa, että kummankaan tarkastushankkeen tarkastustulokset eivät olleet vielä saatavilla vuoden 2022 lopussa ja että tuolloin sisäisellä tarkastuksella ei ollut keskeneräisiä kriittisiä riskejä tai suosituksia lukuun ottamatta yhtä jäljellä ollutta suositusta, joka koski sisäistä viestintää ja oli peräisin vuonna 2021 toimitetusta henkilöstöhallintoa ja etiikkaa koskevasta tarkastuksesta;</w:t>
      </w:r>
    </w:p>
    <w:p w14:paraId="23513807" w14:textId="77777777" w:rsidR="00456265" w:rsidRPr="00AF1E04" w:rsidRDefault="00456265" w:rsidP="007C45F1">
      <w:pPr>
        <w:pStyle w:val="Normal12Hanging"/>
        <w:widowControl/>
        <w:rPr>
          <w:szCs w:val="24"/>
        </w:rPr>
      </w:pPr>
      <w:r w:rsidRPr="00AF1E04">
        <w:t>23.</w:t>
      </w:r>
      <w:r w:rsidRPr="00AF1E04">
        <w:tab/>
        <w:t>suhtautuu myönteisesti vuonna 2022 tehdyn keskuksen sisäisen valvonnan järjestelmien arvioinnin tuloksiin, joiden mukaan kaikki osatekijät olivat käytössä ja toimivat; panee merkille, että arvioinnissa yksilöitiin viisi sisäisen valvonnan kehyksen periaatetta, joiden osalta saatetaan tarvita joitakin parannuksia, jotka koskevat valvontaympäristöä, valvontatoimia sekä tiedotusta ja viestintää; panee lisäksi merkille, että vuonna 2022 tehtiin kattava riskinmääritys ja arviointi keskuksen riskinhallinnan parantamiseksi ja siinä yksilöitiin keskuksen uuteen toimeksiantoon ja sen uuteen toimintamalliin liittyviä riskejä; kehottaa keskusta puuttumaan kaikkiin vuonna 2022 tehtyjen arviointien yhteydessä havaittuihin puutteisiin;</w:t>
      </w:r>
    </w:p>
    <w:p w14:paraId="7DDF2940" w14:textId="77777777" w:rsidR="00456265" w:rsidRPr="00AF1E04" w:rsidRDefault="00456265" w:rsidP="007C45F1">
      <w:pPr>
        <w:pStyle w:val="Normal12Hanging"/>
        <w:widowControl/>
      </w:pPr>
      <w:r w:rsidRPr="00AF1E04">
        <w:t>24.</w:t>
      </w:r>
      <w:r w:rsidRPr="00AF1E04">
        <w:tab/>
        <w:t>panee merkille, että keskus hyväksyi vuonna 2021 tarkistetun petostentorjuntastrategian, joka sisälsi kolme strategista tavoitetta, sekä toimintasuunnitelman, joka oli määrä panna täytäntöön vuonna 2022, ja että vuoden loppuun mennessä se oli pantu pitkälti täytäntöön ja vain yksi 12 toimesta oli edelleen kesken;</w:t>
      </w:r>
    </w:p>
    <w:p w14:paraId="753E6BBE" w14:textId="77777777" w:rsidR="00456265" w:rsidRPr="00AF1E04" w:rsidRDefault="00456265" w:rsidP="007C45F1">
      <w:pPr>
        <w:pStyle w:val="Normal12Hanging"/>
        <w:keepNext/>
        <w:widowControl/>
        <w:rPr>
          <w:b/>
          <w:i/>
          <w:szCs w:val="24"/>
        </w:rPr>
      </w:pPr>
      <w:r w:rsidRPr="00AF1E04">
        <w:rPr>
          <w:b/>
          <w:i/>
        </w:rPr>
        <w:t>Muita huomautuksia</w:t>
      </w:r>
    </w:p>
    <w:p w14:paraId="76B83CA6" w14:textId="77777777" w:rsidR="00456265" w:rsidRPr="00AF1E04" w:rsidRDefault="00456265" w:rsidP="007C45F1">
      <w:pPr>
        <w:pStyle w:val="Normal12Hanging"/>
        <w:widowControl/>
        <w:rPr>
          <w:szCs w:val="24"/>
        </w:rPr>
      </w:pPr>
      <w:r w:rsidRPr="00AF1E04">
        <w:t>25.</w:t>
      </w:r>
      <w:r w:rsidRPr="00AF1E04">
        <w:tab/>
        <w:t>antaa keskukselle tunnustusta viestintätoimista, joissa keskityttiin laadukkaiden julkaisujen tuottamisen varmistamiseen, ja toteaa, että vuonna 2022 tuotettiin 66 tieteellistä ja institutionaalista julkaisua sekä 16 tieteellistä artikkelia ja kirjojen lukua, jotka keskus oli laatinut yksin tai muiden kanssa ja jotka julkaistiin arvostetuissa lehdissä;</w:t>
      </w:r>
    </w:p>
    <w:p w14:paraId="14FBAA69" w14:textId="77777777" w:rsidR="00456265" w:rsidRPr="00AF1E04" w:rsidRDefault="00456265" w:rsidP="007C45F1">
      <w:pPr>
        <w:pStyle w:val="Normal12Hanging"/>
        <w:widowControl/>
        <w:rPr>
          <w:szCs w:val="24"/>
        </w:rPr>
      </w:pPr>
      <w:r w:rsidRPr="00AF1E04">
        <w:t>26.</w:t>
      </w:r>
      <w:r w:rsidRPr="00AF1E04">
        <w:tab/>
        <w:t xml:space="preserve">panee tyytyväisenä merkille, että keskuksen yleisömäärä kasvoi merkittävästi vuonna 2022 kaikilla kanavilla; panee tältä osin merkille, että keskuksen verkkosivustolla oli noin 2,6 miljoonaa yksittäistä kävijää, mikä on ennätysmäärä (lähes 50 prosenttia enemmän kuin vuonna 2021), sen videoilla oli 1,6 miljoonaa katselukertaa (15 prosenttia enemmän kuin vuonna 2021) ja seuraajien määrä kasvoi sen kahdella keskeisellä sosiaalisen median kanavalla, </w:t>
      </w:r>
      <w:proofErr w:type="spellStart"/>
      <w:r w:rsidRPr="00AF1E04">
        <w:t>Linkedin</w:t>
      </w:r>
      <w:proofErr w:type="spellEnd"/>
      <w:r w:rsidRPr="00AF1E04">
        <w:t xml:space="preserve"> (+57 prosenttia) ja Instagram (+37 prosenttia);</w:t>
      </w:r>
    </w:p>
    <w:p w14:paraId="15C54C99" w14:textId="77777777" w:rsidR="00456265" w:rsidRPr="00AF1E04" w:rsidRDefault="00456265" w:rsidP="007C45F1">
      <w:pPr>
        <w:pStyle w:val="Normal12Hanging"/>
        <w:widowControl/>
        <w:rPr>
          <w:szCs w:val="24"/>
        </w:rPr>
      </w:pPr>
      <w:r w:rsidRPr="00AF1E04">
        <w:lastRenderedPageBreak/>
        <w:t>27.</w:t>
      </w:r>
      <w:r w:rsidRPr="00AF1E04">
        <w:tab/>
        <w:t>kehottaa keskusta asettamaan tavoitteeksi tutkimustulostensa levittämisen yleisölle ja yleisön tavoittamisen sosiaalisen median ja muiden tiedotusvälineiden kautta; pitää tältä osin myönteisenä keskuksen laatimien raporttien saatavuutta;</w:t>
      </w:r>
    </w:p>
    <w:p w14:paraId="4D1843E0" w14:textId="77777777" w:rsidR="00456265" w:rsidRPr="00AF1E04" w:rsidRDefault="00456265" w:rsidP="007C45F1">
      <w:pPr>
        <w:pStyle w:val="NormalHanging12a"/>
        <w:widowControl/>
        <w:rPr>
          <w:szCs w:val="24"/>
        </w:rPr>
      </w:pPr>
      <w:r w:rsidRPr="00AF1E04">
        <w:t>28.</w:t>
      </w:r>
      <w:r w:rsidRPr="00AF1E04">
        <w:tab/>
        <w:t xml:space="preserve">pitää myönteisenä EMCDDA 4 </w:t>
      </w:r>
      <w:proofErr w:type="spellStart"/>
      <w:r w:rsidRPr="00AF1E04">
        <w:t>Ukraine</w:t>
      </w:r>
      <w:proofErr w:type="spellEnd"/>
      <w:r w:rsidRPr="00AF1E04">
        <w:t xml:space="preserve"> -verkkosivustoa, joka on luotu huumausaineiden parissa Euroopassa työskenteleville ammattilaisille Ukrainasta siirtymään joutuneiden ihmisten tukemiseksi;</w:t>
      </w:r>
    </w:p>
    <w:p w14:paraId="36F0CE5A" w14:textId="77777777" w:rsidR="00456265" w:rsidRPr="00AF1E04" w:rsidRDefault="00456265" w:rsidP="007C45F1">
      <w:pPr>
        <w:pStyle w:val="NormalCenter12a"/>
        <w:widowControl/>
      </w:pPr>
      <w:r w:rsidRPr="00AF1E04">
        <w:t>°</w:t>
      </w:r>
    </w:p>
    <w:p w14:paraId="4F2934B3" w14:textId="77777777" w:rsidR="00456265" w:rsidRPr="00AF1E04" w:rsidRDefault="00456265" w:rsidP="007C45F1">
      <w:pPr>
        <w:pStyle w:val="NormalCenter12a"/>
        <w:widowControl/>
      </w:pPr>
      <w:r w:rsidRPr="00AF1E04">
        <w:t>°</w:t>
      </w:r>
      <w:r w:rsidRPr="00AF1E04">
        <w:tab/>
        <w:t>°</w:t>
      </w:r>
    </w:p>
    <w:p w14:paraId="7AD7A757" w14:textId="7F95B145" w:rsidR="00456265" w:rsidRPr="002909AD" w:rsidRDefault="00456265" w:rsidP="007C45F1">
      <w:pPr>
        <w:pStyle w:val="NormalHanging12a"/>
        <w:widowControl/>
      </w:pPr>
      <w:r w:rsidRPr="00AF1E04">
        <w:t>29.</w:t>
      </w:r>
      <w:r w:rsidRPr="00AF1E04">
        <w:tab/>
        <w:t xml:space="preserve">viittaa vastuuvapauden myöntämistä koskevaan päätökseen liittyvien muiden, luonteeltaan yleisten huomautusten osalta erillisvirastojen toiminnan tuloksellisuudesta, varainhoidosta ja sen valvonnasta </w:t>
      </w:r>
      <w:r w:rsidR="00151077" w:rsidRPr="00AF1E04">
        <w:t>11. huhtikuuta</w:t>
      </w:r>
      <w:r w:rsidRPr="00AF1E04">
        <w:t xml:space="preserve"> 2024 antamaansa päätöslauselmaan</w:t>
      </w:r>
      <w:r w:rsidRPr="00AF1E04">
        <w:rPr>
          <w:rStyle w:val="FootnoteReference"/>
        </w:rPr>
        <w:footnoteReference w:id="15"/>
      </w:r>
      <w:r w:rsidRPr="00AF1E04">
        <w:t>.</w:t>
      </w:r>
    </w:p>
    <w:sectPr w:rsidR="00456265" w:rsidRPr="002909AD" w:rsidSect="002909AD">
      <w:headerReference w:type="even" r:id="rId11"/>
      <w:headerReference w:type="default" r:id="rId12"/>
      <w:footerReference w:type="even" r:id="rId13"/>
      <w:headerReference w:type="first" r:id="rId14"/>
      <w:footerReference w:type="first" r:id="rId1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857F87" w14:textId="77777777" w:rsidR="002651EE" w:rsidRPr="002909AD" w:rsidRDefault="002651EE">
      <w:r w:rsidRPr="002909AD">
        <w:separator/>
      </w:r>
    </w:p>
  </w:endnote>
  <w:endnote w:type="continuationSeparator" w:id="0">
    <w:p w14:paraId="6696C39A" w14:textId="77777777" w:rsidR="002651EE" w:rsidRPr="002909AD" w:rsidRDefault="002651EE">
      <w:r w:rsidRPr="002909A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42BC16" w14:textId="77777777" w:rsidR="00456265" w:rsidRPr="002909AD" w:rsidRDefault="00456265" w:rsidP="00EA620F">
    <w:pPr>
      <w:pStyle w:val="EPFooter"/>
    </w:pPr>
    <w:r w:rsidRPr="002909AD">
      <w:t>PE</w:t>
    </w:r>
    <w:r w:rsidRPr="002909AD">
      <w:rPr>
        <w:rStyle w:val="HideTWBExt"/>
      </w:rPr>
      <w:t>&lt;NoPE&gt;</w:t>
    </w:r>
    <w:r w:rsidRPr="002909AD">
      <w:t>753.525</w:t>
    </w:r>
    <w:r w:rsidRPr="002909AD">
      <w:rPr>
        <w:rStyle w:val="HideTWBExt"/>
      </w:rPr>
      <w:t>&lt;/NoPE&gt;&lt;Version&gt;</w:t>
    </w:r>
    <w:r w:rsidRPr="002909AD">
      <w:t>v02-00</w:t>
    </w:r>
    <w:r w:rsidRPr="002909AD">
      <w:rPr>
        <w:rStyle w:val="HideTWBExt"/>
      </w:rPr>
      <w:t>&lt;/Version&gt;</w:t>
    </w:r>
    <w:r w:rsidRPr="002909AD">
      <w:tab/>
    </w:r>
    <w:r w:rsidRPr="002909AD">
      <w:fldChar w:fldCharType="begin"/>
    </w:r>
    <w:r w:rsidRPr="002909AD">
      <w:instrText xml:space="preserve"> PAGE  \* MERGEFORMAT </w:instrText>
    </w:r>
    <w:r w:rsidRPr="002909AD">
      <w:fldChar w:fldCharType="separate"/>
    </w:r>
    <w:r w:rsidR="002909AD" w:rsidRPr="002909AD">
      <w:rPr>
        <w:noProof/>
      </w:rPr>
      <w:t>2</w:t>
    </w:r>
    <w:r w:rsidRPr="002909AD">
      <w:fldChar w:fldCharType="end"/>
    </w:r>
    <w:r w:rsidRPr="002909AD">
      <w:t>/</w:t>
    </w:r>
    <w:fldSimple w:instr=" NUMPAGES  \* MERGEFORMAT ">
      <w:r w:rsidR="002909AD" w:rsidRPr="002909AD">
        <w:rPr>
          <w:noProof/>
        </w:rPr>
        <w:t>3</w:t>
      </w:r>
    </w:fldSimple>
    <w:r w:rsidRPr="002909AD">
      <w:tab/>
    </w:r>
    <w:r w:rsidRPr="002909AD">
      <w:rPr>
        <w:rStyle w:val="HideTWBExt"/>
      </w:rPr>
      <w:t>&lt;PathFdR&gt;</w:t>
    </w:r>
    <w:r w:rsidRPr="002909AD">
      <w:t>RR\1298782FI.docx</w:t>
    </w:r>
    <w:r w:rsidRPr="002909AD">
      <w:rPr>
        <w:rStyle w:val="HideTWBExt"/>
      </w:rPr>
      <w:t>&lt;/PathFdR&gt;</w:t>
    </w:r>
  </w:p>
  <w:p w14:paraId="4636555C" w14:textId="77777777" w:rsidR="00456265" w:rsidRPr="002909AD" w:rsidRDefault="00456265" w:rsidP="00EA620F">
    <w:pPr>
      <w:pStyle w:val="EPFooter2"/>
    </w:pPr>
    <w:r w:rsidRPr="002909AD">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03FFAA" w14:textId="77777777" w:rsidR="00456265" w:rsidRPr="002909AD" w:rsidRDefault="00456265" w:rsidP="00EA620F">
    <w:pPr>
      <w:pStyle w:val="EPFooter"/>
    </w:pPr>
    <w:r w:rsidRPr="002909AD">
      <w:rPr>
        <w:rStyle w:val="HideTWBExt"/>
      </w:rPr>
      <w:t>&lt;PathFdR&gt;</w:t>
    </w:r>
    <w:r w:rsidRPr="002909AD">
      <w:t>RR\1298782FI.docx</w:t>
    </w:r>
    <w:r w:rsidRPr="002909AD">
      <w:rPr>
        <w:rStyle w:val="HideTWBExt"/>
      </w:rPr>
      <w:t>&lt;/PathFdR&gt;</w:t>
    </w:r>
    <w:r w:rsidRPr="002909AD">
      <w:tab/>
    </w:r>
    <w:r w:rsidRPr="002909AD">
      <w:tab/>
      <w:t>PE</w:t>
    </w:r>
    <w:r w:rsidRPr="002909AD">
      <w:rPr>
        <w:rStyle w:val="HideTWBExt"/>
      </w:rPr>
      <w:t>&lt;NoPE&gt;</w:t>
    </w:r>
    <w:r w:rsidRPr="002909AD">
      <w:t>753.525</w:t>
    </w:r>
    <w:r w:rsidRPr="002909AD">
      <w:rPr>
        <w:rStyle w:val="HideTWBExt"/>
      </w:rPr>
      <w:t>&lt;/NoPE&gt;&lt;Version&gt;</w:t>
    </w:r>
    <w:r w:rsidRPr="002909AD">
      <w:t>v02-00</w:t>
    </w:r>
    <w:r w:rsidRPr="002909AD">
      <w:rPr>
        <w:rStyle w:val="HideTWBExt"/>
      </w:rPr>
      <w:t>&lt;/Version&gt;</w:t>
    </w:r>
  </w:p>
  <w:p w14:paraId="2773CFB6" w14:textId="77777777" w:rsidR="00456265" w:rsidRPr="002909AD" w:rsidRDefault="00456265" w:rsidP="00EA620F">
    <w:pPr>
      <w:pStyle w:val="EPFooter2"/>
    </w:pPr>
    <w:r w:rsidRPr="002909AD">
      <w:t>FI</w:t>
    </w:r>
    <w:r w:rsidRPr="002909AD">
      <w:tab/>
    </w:r>
    <w:r w:rsidRPr="002909AD">
      <w:rPr>
        <w:b w:val="0"/>
        <w:i/>
        <w:color w:val="C0C0C0"/>
        <w:sz w:val="22"/>
      </w:rPr>
      <w:t>Moninaisuudessaan yhtenäinen</w:t>
    </w:r>
    <w:r w:rsidRPr="002909AD">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EDDD06" w14:textId="77777777" w:rsidR="00064002" w:rsidRPr="002909AD"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0546DD" w14:textId="77777777" w:rsidR="00064002" w:rsidRPr="002909A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D5E0F7" w14:textId="77777777" w:rsidR="002651EE" w:rsidRPr="002909AD" w:rsidRDefault="002651EE">
      <w:r w:rsidRPr="002909AD">
        <w:separator/>
      </w:r>
    </w:p>
  </w:footnote>
  <w:footnote w:type="continuationSeparator" w:id="0">
    <w:p w14:paraId="3DE732D8" w14:textId="77777777" w:rsidR="002651EE" w:rsidRPr="002909AD" w:rsidRDefault="002651EE">
      <w:r w:rsidRPr="002909AD">
        <w:continuationSeparator/>
      </w:r>
    </w:p>
  </w:footnote>
  <w:footnote w:id="1">
    <w:p w14:paraId="3720B67B" w14:textId="77777777" w:rsidR="00456265" w:rsidRPr="00001760" w:rsidRDefault="00456265" w:rsidP="002909AD">
      <w:pPr>
        <w:pStyle w:val="FootnoteText"/>
        <w:ind w:left="567" w:hanging="567"/>
        <w:rPr>
          <w:sz w:val="24"/>
          <w:lang w:val="fi-FI"/>
        </w:rPr>
      </w:pPr>
      <w:r w:rsidRPr="00001760">
        <w:rPr>
          <w:rStyle w:val="FootnoteReference"/>
          <w:sz w:val="24"/>
          <w:lang w:val="fi-FI"/>
        </w:rPr>
        <w:footnoteRef/>
      </w:r>
      <w:r w:rsidR="002909AD" w:rsidRPr="00001760">
        <w:rPr>
          <w:sz w:val="24"/>
          <w:lang w:val="fi-FI"/>
        </w:rPr>
        <w:t xml:space="preserve"> </w:t>
      </w:r>
      <w:r w:rsidR="002909AD" w:rsidRPr="00001760">
        <w:rPr>
          <w:sz w:val="24"/>
          <w:lang w:val="fi-FI"/>
        </w:rPr>
        <w:tab/>
      </w:r>
      <w:r w:rsidRPr="00001760">
        <w:rPr>
          <w:sz w:val="24"/>
          <w:lang w:val="fi-FI"/>
        </w:rPr>
        <w:t>EUVL C, C/2023/594, 27.10.2023.</w:t>
      </w:r>
    </w:p>
  </w:footnote>
  <w:footnote w:id="2">
    <w:p w14:paraId="7D0552E3" w14:textId="77777777" w:rsidR="00456265" w:rsidRPr="00001760" w:rsidRDefault="00456265" w:rsidP="002909AD">
      <w:pPr>
        <w:pStyle w:val="FootnoteText"/>
        <w:ind w:left="567" w:hanging="567"/>
        <w:rPr>
          <w:sz w:val="24"/>
          <w:lang w:val="fi-FI"/>
        </w:rPr>
      </w:pPr>
      <w:r w:rsidRPr="00001760">
        <w:rPr>
          <w:rStyle w:val="FootnoteReference"/>
          <w:sz w:val="24"/>
          <w:lang w:val="fi-FI"/>
        </w:rPr>
        <w:footnoteRef/>
      </w:r>
      <w:r w:rsidR="002909AD" w:rsidRPr="00001760">
        <w:rPr>
          <w:sz w:val="24"/>
          <w:lang w:val="fi-FI"/>
        </w:rPr>
        <w:t xml:space="preserve"> </w:t>
      </w:r>
      <w:r w:rsidR="002909AD" w:rsidRPr="00001760">
        <w:rPr>
          <w:sz w:val="24"/>
          <w:lang w:val="fi-FI"/>
        </w:rPr>
        <w:tab/>
      </w:r>
      <w:r w:rsidRPr="00001760">
        <w:rPr>
          <w:sz w:val="24"/>
          <w:lang w:val="fi-FI"/>
        </w:rPr>
        <w:t>EUVL C, C/2023/112, 12.10.2023.</w:t>
      </w:r>
    </w:p>
  </w:footnote>
  <w:footnote w:id="3">
    <w:p w14:paraId="5049D63C" w14:textId="77777777" w:rsidR="00456265" w:rsidRPr="00001760" w:rsidRDefault="00456265" w:rsidP="002909AD">
      <w:pPr>
        <w:pStyle w:val="FootnoteText"/>
        <w:ind w:left="567" w:hanging="567"/>
        <w:rPr>
          <w:sz w:val="24"/>
          <w:lang w:val="fi-FI"/>
        </w:rPr>
      </w:pPr>
      <w:r w:rsidRPr="00001760">
        <w:rPr>
          <w:rStyle w:val="FootnoteReference"/>
          <w:sz w:val="24"/>
          <w:lang w:val="fi-FI"/>
        </w:rPr>
        <w:footnoteRef/>
      </w:r>
      <w:r w:rsidR="002909AD" w:rsidRPr="00001760">
        <w:rPr>
          <w:sz w:val="24"/>
          <w:lang w:val="fi-FI"/>
        </w:rPr>
        <w:t xml:space="preserve"> </w:t>
      </w:r>
      <w:r w:rsidR="002909AD" w:rsidRPr="00001760">
        <w:rPr>
          <w:sz w:val="24"/>
          <w:lang w:val="fi-FI"/>
        </w:rPr>
        <w:tab/>
      </w:r>
      <w:r w:rsidRPr="00001760">
        <w:rPr>
          <w:sz w:val="24"/>
          <w:lang w:val="fi-FI"/>
        </w:rPr>
        <w:t>EUVL L 193, 30.7.2018, s. 1.</w:t>
      </w:r>
    </w:p>
  </w:footnote>
  <w:footnote w:id="4">
    <w:p w14:paraId="3BAC9ABB" w14:textId="77777777" w:rsidR="00456265" w:rsidRPr="00001760" w:rsidRDefault="00456265" w:rsidP="002909AD">
      <w:pPr>
        <w:pStyle w:val="FootnoteText"/>
        <w:ind w:left="567" w:hanging="567"/>
        <w:rPr>
          <w:sz w:val="24"/>
          <w:lang w:val="fi-FI"/>
        </w:rPr>
      </w:pPr>
      <w:r w:rsidRPr="00001760">
        <w:rPr>
          <w:rStyle w:val="FootnoteReference"/>
          <w:sz w:val="24"/>
          <w:lang w:val="fi-FI"/>
        </w:rPr>
        <w:footnoteRef/>
      </w:r>
      <w:r w:rsidR="002909AD" w:rsidRPr="00001760">
        <w:rPr>
          <w:sz w:val="24"/>
          <w:lang w:val="fi-FI"/>
        </w:rPr>
        <w:t xml:space="preserve"> </w:t>
      </w:r>
      <w:r w:rsidR="002909AD" w:rsidRPr="00001760">
        <w:rPr>
          <w:sz w:val="24"/>
          <w:lang w:val="fi-FI"/>
        </w:rPr>
        <w:tab/>
      </w:r>
      <w:r w:rsidRPr="00001760">
        <w:rPr>
          <w:sz w:val="24"/>
          <w:lang w:val="fi-FI"/>
        </w:rPr>
        <w:t>EUVL L 376, 27.12.2006, s. 1.</w:t>
      </w:r>
    </w:p>
  </w:footnote>
  <w:footnote w:id="5">
    <w:p w14:paraId="67B8D717" w14:textId="77777777" w:rsidR="00456265" w:rsidRPr="00001760" w:rsidRDefault="00456265" w:rsidP="002909AD">
      <w:pPr>
        <w:pStyle w:val="FootnoteText"/>
        <w:ind w:left="567" w:hanging="567"/>
        <w:rPr>
          <w:sz w:val="24"/>
          <w:szCs w:val="24"/>
          <w:lang w:val="fi-FI"/>
        </w:rPr>
      </w:pPr>
      <w:r w:rsidRPr="00001760">
        <w:rPr>
          <w:rStyle w:val="FootnoteReference"/>
          <w:sz w:val="24"/>
          <w:lang w:val="fi-FI"/>
        </w:rPr>
        <w:footnoteRef/>
      </w:r>
      <w:r w:rsidR="002909AD" w:rsidRPr="00001760">
        <w:rPr>
          <w:sz w:val="24"/>
          <w:lang w:val="fi-FI"/>
        </w:rPr>
        <w:t xml:space="preserve"> </w:t>
      </w:r>
      <w:r w:rsidR="002909AD" w:rsidRPr="00001760">
        <w:rPr>
          <w:sz w:val="24"/>
          <w:lang w:val="fi-FI"/>
        </w:rPr>
        <w:tab/>
      </w:r>
      <w:r w:rsidRPr="00001760">
        <w:rPr>
          <w:sz w:val="24"/>
          <w:lang w:val="fi-FI"/>
        </w:rPr>
        <w:t>EUVL L 166, 30.6.2023, s. 6.</w:t>
      </w:r>
    </w:p>
  </w:footnote>
  <w:footnote w:id="6">
    <w:p w14:paraId="3920816C" w14:textId="77777777" w:rsidR="00456265" w:rsidRPr="00001760" w:rsidRDefault="00456265" w:rsidP="002909AD">
      <w:pPr>
        <w:pStyle w:val="FootnoteText"/>
        <w:ind w:left="567" w:hanging="567"/>
        <w:rPr>
          <w:sz w:val="24"/>
          <w:szCs w:val="24"/>
          <w:lang w:val="fi-FI"/>
        </w:rPr>
      </w:pPr>
      <w:r w:rsidRPr="00001760">
        <w:rPr>
          <w:rStyle w:val="FootnoteReference"/>
          <w:sz w:val="24"/>
          <w:szCs w:val="24"/>
          <w:lang w:val="fi-FI"/>
        </w:rPr>
        <w:footnoteRef/>
      </w:r>
      <w:r w:rsidR="002909AD" w:rsidRPr="00001760">
        <w:rPr>
          <w:sz w:val="24"/>
          <w:lang w:val="fi-FI"/>
        </w:rPr>
        <w:t xml:space="preserve"> </w:t>
      </w:r>
      <w:r w:rsidR="002909AD" w:rsidRPr="00001760">
        <w:rPr>
          <w:sz w:val="24"/>
          <w:lang w:val="fi-FI"/>
        </w:rPr>
        <w:tab/>
      </w:r>
      <w:r w:rsidRPr="00001760">
        <w:rPr>
          <w:sz w:val="24"/>
          <w:lang w:val="fi-FI"/>
        </w:rPr>
        <w:t>EUVL L 122, 10.5.2019, s. 1.</w:t>
      </w:r>
    </w:p>
  </w:footnote>
  <w:footnote w:id="7">
    <w:p w14:paraId="2F11CD93" w14:textId="77777777" w:rsidR="00456265" w:rsidRPr="00001760" w:rsidRDefault="00456265" w:rsidP="002909AD">
      <w:pPr>
        <w:pStyle w:val="FootnoteText"/>
        <w:ind w:left="567" w:hanging="567"/>
        <w:rPr>
          <w:sz w:val="24"/>
          <w:lang w:val="fi-FI"/>
        </w:rPr>
      </w:pPr>
      <w:r w:rsidRPr="00001760">
        <w:rPr>
          <w:rStyle w:val="FootnoteReference"/>
          <w:sz w:val="24"/>
          <w:lang w:val="fi-FI"/>
        </w:rPr>
        <w:footnoteRef/>
      </w:r>
      <w:r w:rsidR="002909AD" w:rsidRPr="00001760">
        <w:rPr>
          <w:sz w:val="24"/>
          <w:lang w:val="fi-FI"/>
        </w:rPr>
        <w:t xml:space="preserve"> </w:t>
      </w:r>
      <w:r w:rsidR="002909AD" w:rsidRPr="00001760">
        <w:rPr>
          <w:sz w:val="24"/>
          <w:lang w:val="fi-FI"/>
        </w:rPr>
        <w:tab/>
      </w:r>
      <w:r w:rsidRPr="00001760">
        <w:rPr>
          <w:sz w:val="24"/>
          <w:lang w:val="fi-FI"/>
        </w:rPr>
        <w:t>EUVL C, C/2023/594, 27.10.2023.</w:t>
      </w:r>
    </w:p>
  </w:footnote>
  <w:footnote w:id="8">
    <w:p w14:paraId="590842DD" w14:textId="77777777" w:rsidR="00456265" w:rsidRPr="00001760" w:rsidRDefault="00456265" w:rsidP="002909AD">
      <w:pPr>
        <w:pStyle w:val="FootnoteText"/>
        <w:ind w:left="567" w:hanging="567"/>
        <w:rPr>
          <w:sz w:val="24"/>
          <w:lang w:val="fi-FI"/>
        </w:rPr>
      </w:pPr>
      <w:r w:rsidRPr="00001760">
        <w:rPr>
          <w:rStyle w:val="FootnoteReference"/>
          <w:sz w:val="24"/>
          <w:lang w:val="fi-FI"/>
        </w:rPr>
        <w:footnoteRef/>
      </w:r>
      <w:r w:rsidR="002909AD" w:rsidRPr="00001760">
        <w:rPr>
          <w:sz w:val="24"/>
          <w:lang w:val="fi-FI"/>
        </w:rPr>
        <w:t xml:space="preserve"> </w:t>
      </w:r>
      <w:r w:rsidR="002909AD" w:rsidRPr="00001760">
        <w:rPr>
          <w:sz w:val="24"/>
          <w:lang w:val="fi-FI"/>
        </w:rPr>
        <w:tab/>
      </w:r>
      <w:r w:rsidRPr="00001760">
        <w:rPr>
          <w:sz w:val="24"/>
          <w:lang w:val="fi-FI"/>
        </w:rPr>
        <w:t>EUVL C, C/2023/112, 12.10.2023.</w:t>
      </w:r>
    </w:p>
  </w:footnote>
  <w:footnote w:id="9">
    <w:p w14:paraId="2CF9F68C" w14:textId="77777777" w:rsidR="00456265" w:rsidRPr="00001760" w:rsidRDefault="00456265" w:rsidP="002909AD">
      <w:pPr>
        <w:pStyle w:val="FootnoteText"/>
        <w:ind w:left="567" w:hanging="567"/>
        <w:rPr>
          <w:sz w:val="24"/>
          <w:lang w:val="fi-FI"/>
        </w:rPr>
      </w:pPr>
      <w:r w:rsidRPr="00001760">
        <w:rPr>
          <w:rStyle w:val="FootnoteReference"/>
          <w:sz w:val="24"/>
          <w:lang w:val="fi-FI"/>
        </w:rPr>
        <w:footnoteRef/>
      </w:r>
      <w:r w:rsidR="002909AD" w:rsidRPr="00001760">
        <w:rPr>
          <w:sz w:val="24"/>
          <w:lang w:val="fi-FI"/>
        </w:rPr>
        <w:t xml:space="preserve"> </w:t>
      </w:r>
      <w:r w:rsidR="002909AD" w:rsidRPr="00001760">
        <w:rPr>
          <w:sz w:val="24"/>
          <w:lang w:val="fi-FI"/>
        </w:rPr>
        <w:tab/>
      </w:r>
      <w:r w:rsidRPr="00001760">
        <w:rPr>
          <w:sz w:val="24"/>
          <w:lang w:val="fi-FI"/>
        </w:rPr>
        <w:t>EUVL L 193, 30.7.2018, s. 1.</w:t>
      </w:r>
    </w:p>
  </w:footnote>
  <w:footnote w:id="10">
    <w:p w14:paraId="0C741FAC" w14:textId="77777777" w:rsidR="00456265" w:rsidRPr="00001760" w:rsidRDefault="00456265" w:rsidP="002909AD">
      <w:pPr>
        <w:pStyle w:val="FootnoteText"/>
        <w:ind w:left="567" w:hanging="567"/>
        <w:rPr>
          <w:sz w:val="24"/>
          <w:lang w:val="fi-FI"/>
        </w:rPr>
      </w:pPr>
      <w:r w:rsidRPr="00001760">
        <w:rPr>
          <w:rStyle w:val="FootnoteReference"/>
          <w:sz w:val="24"/>
          <w:lang w:val="fi-FI"/>
        </w:rPr>
        <w:footnoteRef/>
      </w:r>
      <w:r w:rsidR="002909AD" w:rsidRPr="00001760">
        <w:rPr>
          <w:sz w:val="24"/>
          <w:lang w:val="fi-FI"/>
        </w:rPr>
        <w:t xml:space="preserve"> </w:t>
      </w:r>
      <w:r w:rsidR="002909AD" w:rsidRPr="00001760">
        <w:rPr>
          <w:sz w:val="24"/>
          <w:lang w:val="fi-FI"/>
        </w:rPr>
        <w:tab/>
      </w:r>
      <w:r w:rsidRPr="00001760">
        <w:rPr>
          <w:sz w:val="24"/>
          <w:lang w:val="fi-FI"/>
        </w:rPr>
        <w:t>EUVL L 376, 27.12.2006, s. 1.</w:t>
      </w:r>
    </w:p>
  </w:footnote>
  <w:footnote w:id="11">
    <w:p w14:paraId="5DEFAF8C" w14:textId="77777777" w:rsidR="00456265" w:rsidRPr="00001760" w:rsidRDefault="00456265" w:rsidP="002909AD">
      <w:pPr>
        <w:pStyle w:val="FootnoteText"/>
        <w:ind w:left="567" w:hanging="567"/>
        <w:rPr>
          <w:sz w:val="24"/>
          <w:szCs w:val="24"/>
          <w:lang w:val="fi-FI"/>
        </w:rPr>
      </w:pPr>
      <w:r w:rsidRPr="00001760">
        <w:rPr>
          <w:rStyle w:val="FootnoteReference"/>
          <w:sz w:val="24"/>
          <w:lang w:val="fi-FI"/>
        </w:rPr>
        <w:footnoteRef/>
      </w:r>
      <w:r w:rsidR="002909AD" w:rsidRPr="00001760">
        <w:rPr>
          <w:sz w:val="24"/>
          <w:lang w:val="fi-FI"/>
        </w:rPr>
        <w:t xml:space="preserve"> </w:t>
      </w:r>
      <w:r w:rsidR="002909AD" w:rsidRPr="00001760">
        <w:rPr>
          <w:sz w:val="24"/>
          <w:lang w:val="fi-FI"/>
        </w:rPr>
        <w:tab/>
      </w:r>
      <w:r w:rsidRPr="00001760">
        <w:rPr>
          <w:sz w:val="24"/>
          <w:lang w:val="fi-FI"/>
        </w:rPr>
        <w:t>EUVL L 166, 30.6.2023, s. 6.</w:t>
      </w:r>
    </w:p>
  </w:footnote>
  <w:footnote w:id="12">
    <w:p w14:paraId="4F2E7230" w14:textId="77777777" w:rsidR="00456265" w:rsidRPr="00001760" w:rsidRDefault="00456265" w:rsidP="002909AD">
      <w:pPr>
        <w:pStyle w:val="FootnoteText"/>
        <w:ind w:left="567" w:hanging="567"/>
        <w:rPr>
          <w:sz w:val="24"/>
          <w:lang w:val="fi-FI"/>
        </w:rPr>
      </w:pPr>
      <w:r w:rsidRPr="00001760">
        <w:rPr>
          <w:rStyle w:val="FootnoteReference"/>
          <w:sz w:val="24"/>
          <w:lang w:val="fi-FI"/>
        </w:rPr>
        <w:footnoteRef/>
      </w:r>
      <w:r w:rsidR="002909AD" w:rsidRPr="00001760">
        <w:rPr>
          <w:sz w:val="24"/>
          <w:lang w:val="fi-FI"/>
        </w:rPr>
        <w:t xml:space="preserve"> </w:t>
      </w:r>
      <w:r w:rsidR="002909AD" w:rsidRPr="00001760">
        <w:rPr>
          <w:sz w:val="24"/>
          <w:lang w:val="fi-FI"/>
        </w:rPr>
        <w:tab/>
      </w:r>
      <w:r w:rsidRPr="00001760">
        <w:rPr>
          <w:sz w:val="24"/>
          <w:lang w:val="fi-FI"/>
        </w:rPr>
        <w:t>EUVL L 122, 10.5.2019, s. 1.</w:t>
      </w:r>
    </w:p>
  </w:footnote>
  <w:footnote w:id="13">
    <w:p w14:paraId="43DF7D98" w14:textId="77777777" w:rsidR="00456265" w:rsidRPr="00001760" w:rsidRDefault="00456265" w:rsidP="002909AD">
      <w:pPr>
        <w:pStyle w:val="FootnoteText"/>
        <w:ind w:left="567" w:hanging="567"/>
        <w:rPr>
          <w:sz w:val="24"/>
          <w:lang w:val="fi-FI"/>
        </w:rPr>
      </w:pPr>
      <w:r w:rsidRPr="00001760">
        <w:rPr>
          <w:rStyle w:val="FootnoteReference"/>
          <w:sz w:val="24"/>
          <w:lang w:val="fi-FI"/>
        </w:rPr>
        <w:footnoteRef/>
      </w:r>
      <w:r w:rsidR="002909AD" w:rsidRPr="00001760">
        <w:rPr>
          <w:sz w:val="24"/>
          <w:lang w:val="fi-FI"/>
        </w:rPr>
        <w:t xml:space="preserve"> </w:t>
      </w:r>
      <w:r w:rsidR="002909AD" w:rsidRPr="00001760">
        <w:rPr>
          <w:sz w:val="24"/>
          <w:lang w:val="fi-FI"/>
        </w:rPr>
        <w:tab/>
      </w:r>
      <w:r w:rsidRPr="00001760">
        <w:rPr>
          <w:sz w:val="24"/>
          <w:lang w:val="fi-FI"/>
        </w:rPr>
        <w:t>EUVL C 141/06, 29.3.2022, s. 33.</w:t>
      </w:r>
    </w:p>
  </w:footnote>
  <w:footnote w:id="14">
    <w:p w14:paraId="6FE2081B" w14:textId="77777777" w:rsidR="00456265" w:rsidRPr="00001760" w:rsidRDefault="00456265" w:rsidP="002909AD">
      <w:pPr>
        <w:pStyle w:val="FootnoteText"/>
        <w:ind w:left="567" w:hanging="567"/>
        <w:rPr>
          <w:sz w:val="24"/>
          <w:lang w:val="fi-FI"/>
        </w:rPr>
      </w:pPr>
      <w:r w:rsidRPr="00001760">
        <w:rPr>
          <w:rStyle w:val="FootnoteReference"/>
          <w:sz w:val="24"/>
          <w:lang w:val="fi-FI"/>
        </w:rPr>
        <w:footnoteRef/>
      </w:r>
      <w:r w:rsidR="002909AD" w:rsidRPr="00001760">
        <w:rPr>
          <w:sz w:val="24"/>
          <w:lang w:val="fi-FI"/>
        </w:rPr>
        <w:t xml:space="preserve"> </w:t>
      </w:r>
      <w:r w:rsidR="002909AD" w:rsidRPr="00001760">
        <w:rPr>
          <w:sz w:val="24"/>
          <w:lang w:val="fi-FI"/>
        </w:rPr>
        <w:tab/>
      </w:r>
      <w:r w:rsidRPr="00001760">
        <w:rPr>
          <w:sz w:val="24"/>
          <w:lang w:val="fi-FI"/>
        </w:rPr>
        <w:t>Euroopan parlamentin ja neuvoston direktiivi 2008/104/EY, annettu 19. marraskuuta 2008, vuokratyöstä (EUVL L 327, 5.12.2008, s. 9).</w:t>
      </w:r>
    </w:p>
  </w:footnote>
  <w:footnote w:id="15">
    <w:p w14:paraId="4D5DF67C" w14:textId="7F500632" w:rsidR="00456265" w:rsidRPr="002909AD" w:rsidRDefault="00456265" w:rsidP="002909AD">
      <w:pPr>
        <w:pStyle w:val="FootnoteText"/>
        <w:ind w:left="567" w:hanging="567"/>
        <w:rPr>
          <w:sz w:val="24"/>
          <w:lang w:val="fi-FI"/>
        </w:rPr>
      </w:pPr>
      <w:r w:rsidRPr="00001760">
        <w:rPr>
          <w:rStyle w:val="FootnoteReference"/>
          <w:sz w:val="24"/>
          <w:lang w:val="fi-FI"/>
        </w:rPr>
        <w:footnoteRef/>
      </w:r>
      <w:r w:rsidR="002909AD" w:rsidRPr="00001760">
        <w:rPr>
          <w:sz w:val="24"/>
          <w:lang w:val="fi-FI"/>
        </w:rPr>
        <w:t xml:space="preserve"> </w:t>
      </w:r>
      <w:r w:rsidR="002909AD" w:rsidRPr="00001760">
        <w:rPr>
          <w:sz w:val="24"/>
          <w:lang w:val="fi-FI"/>
        </w:rPr>
        <w:tab/>
      </w:r>
      <w:r w:rsidRPr="00001760">
        <w:rPr>
          <w:sz w:val="24"/>
          <w:lang w:val="fi-FI"/>
        </w:rPr>
        <w:t>Hyväksytyt tekstit, P9_</w:t>
      </w:r>
      <w:proofErr w:type="gramStart"/>
      <w:r w:rsidRPr="00001760">
        <w:rPr>
          <w:sz w:val="24"/>
          <w:lang w:val="fi-FI"/>
        </w:rPr>
        <w:t>TA(</w:t>
      </w:r>
      <w:proofErr w:type="gramEnd"/>
      <w:r w:rsidRPr="00001760">
        <w:rPr>
          <w:sz w:val="24"/>
          <w:lang w:val="fi-FI"/>
        </w:rPr>
        <w:t>2024)0</w:t>
      </w:r>
      <w:r w:rsidR="00151077" w:rsidRPr="00001760">
        <w:rPr>
          <w:sz w:val="24"/>
          <w:lang w:val="fi-FI"/>
        </w:rPr>
        <w:t>28</w:t>
      </w:r>
      <w:r w:rsidRPr="00001760">
        <w:rPr>
          <w:sz w:val="24"/>
          <w:lang w:val="fi-FI"/>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5672BF" w14:textId="77777777" w:rsidR="00064002" w:rsidRPr="002909A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C3901A" w14:textId="77777777" w:rsidR="00064002" w:rsidRPr="002909A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E51192" w14:textId="77777777" w:rsidR="00064002" w:rsidRPr="002909A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4/2024"/>
    <w:docVar w:name="dvlangue" w:val="FI"/>
    <w:docVar w:name="dvnumam" w:val="0"/>
    <w:docVar w:name="dvpe" w:val="753.525"/>
    <w:docVar w:name="dvrapporteur" w:val="Esittelijä: "/>
    <w:docVar w:name="dvtitre" w:val="Euroopan parlamentin päätös 11. huhtikuuta 2024 vastuuvapauden myöntämisestä Euroopan huumausaineiden ja niiden väärinkäytön seurantakeskuksen talousarvion toteuttamisesta varainhoitovuonna 2022(2023/2157(DEC))"/>
  </w:docVars>
  <w:rsids>
    <w:rsidRoot w:val="002651EE"/>
    <w:rsid w:val="00001760"/>
    <w:rsid w:val="00002272"/>
    <w:rsid w:val="00064002"/>
    <w:rsid w:val="000677B9"/>
    <w:rsid w:val="000831BA"/>
    <w:rsid w:val="000A42CC"/>
    <w:rsid w:val="000E7DD9"/>
    <w:rsid w:val="0010095E"/>
    <w:rsid w:val="00125B37"/>
    <w:rsid w:val="00151077"/>
    <w:rsid w:val="00187494"/>
    <w:rsid w:val="001F32AE"/>
    <w:rsid w:val="002651EE"/>
    <w:rsid w:val="002767FF"/>
    <w:rsid w:val="002909AD"/>
    <w:rsid w:val="002B18FE"/>
    <w:rsid w:val="002B5493"/>
    <w:rsid w:val="00343214"/>
    <w:rsid w:val="00361C00"/>
    <w:rsid w:val="00395FA1"/>
    <w:rsid w:val="003E15D4"/>
    <w:rsid w:val="00411CCE"/>
    <w:rsid w:val="0041666E"/>
    <w:rsid w:val="00421060"/>
    <w:rsid w:val="00456265"/>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C45F1"/>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337A"/>
    <w:rsid w:val="00AE0928"/>
    <w:rsid w:val="00AF1E04"/>
    <w:rsid w:val="00AF3B82"/>
    <w:rsid w:val="00B12E95"/>
    <w:rsid w:val="00B22876"/>
    <w:rsid w:val="00B558F0"/>
    <w:rsid w:val="00BD48FE"/>
    <w:rsid w:val="00BD7BD8"/>
    <w:rsid w:val="00BE6ADC"/>
    <w:rsid w:val="00C05BFE"/>
    <w:rsid w:val="00C23CD4"/>
    <w:rsid w:val="00C61C0C"/>
    <w:rsid w:val="00C941CB"/>
    <w:rsid w:val="00CC2357"/>
    <w:rsid w:val="00CC40A8"/>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616CF0"/>
  <w15:chartTrackingRefBased/>
  <w15:docId w15:val="{205A95F7-9D6D-4766-8337-C7AA14470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5626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56265"/>
    <w:pPr>
      <w:spacing w:before="480" w:after="240"/>
    </w:pPr>
  </w:style>
  <w:style w:type="paragraph" w:customStyle="1" w:styleId="PageHeading">
    <w:name w:val="PageHeading"/>
    <w:basedOn w:val="Normal"/>
    <w:rsid w:val="00456265"/>
    <w:pPr>
      <w:keepNext/>
      <w:spacing w:after="480"/>
      <w:jc w:val="center"/>
    </w:pPr>
    <w:rPr>
      <w:rFonts w:ascii="Arial" w:hAnsi="Arial" w:cs="Arial"/>
      <w:b/>
    </w:rPr>
  </w:style>
  <w:style w:type="paragraph" w:customStyle="1" w:styleId="NormalBold">
    <w:name w:val="NormalBold"/>
    <w:basedOn w:val="Normal"/>
    <w:rsid w:val="00456265"/>
    <w:rPr>
      <w:b/>
    </w:rPr>
  </w:style>
  <w:style w:type="paragraph" w:customStyle="1" w:styleId="NormalHanging12a">
    <w:name w:val="NormalHanging12a"/>
    <w:basedOn w:val="Normal"/>
    <w:link w:val="NormalHanging12aChar"/>
    <w:rsid w:val="00456265"/>
    <w:pPr>
      <w:spacing w:after="240"/>
      <w:ind w:left="567" w:hanging="567"/>
    </w:pPr>
  </w:style>
  <w:style w:type="paragraph" w:customStyle="1" w:styleId="NormalCenter12a">
    <w:name w:val="NormalCenter12a"/>
    <w:basedOn w:val="Normal"/>
    <w:rsid w:val="00456265"/>
    <w:pPr>
      <w:spacing w:after="240"/>
      <w:jc w:val="center"/>
    </w:pPr>
  </w:style>
  <w:style w:type="paragraph" w:styleId="Header">
    <w:name w:val="header"/>
    <w:basedOn w:val="Normal"/>
    <w:link w:val="HeaderChar"/>
    <w:rsid w:val="00456265"/>
    <w:pPr>
      <w:tabs>
        <w:tab w:val="center" w:pos="4513"/>
        <w:tab w:val="right" w:pos="9026"/>
      </w:tabs>
    </w:pPr>
  </w:style>
  <w:style w:type="character" w:customStyle="1" w:styleId="HeaderChar">
    <w:name w:val="Header Char"/>
    <w:basedOn w:val="DefaultParagraphFont"/>
    <w:link w:val="Header"/>
    <w:rsid w:val="00456265"/>
    <w:rPr>
      <w:sz w:val="24"/>
      <w:lang w:val="fi-FI"/>
    </w:rPr>
  </w:style>
  <w:style w:type="paragraph" w:customStyle="1" w:styleId="EPFooter">
    <w:name w:val="EPFooter"/>
    <w:basedOn w:val="Normal"/>
    <w:rsid w:val="00456265"/>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456265"/>
    <w:rPr>
      <w:sz w:val="24"/>
      <w:lang w:val="fi-FI"/>
    </w:rPr>
  </w:style>
  <w:style w:type="paragraph" w:customStyle="1" w:styleId="Normal12Hanging">
    <w:name w:val="Normal12Hanging"/>
    <w:basedOn w:val="Normal"/>
    <w:rsid w:val="00456265"/>
    <w:pPr>
      <w:spacing w:after="240"/>
      <w:ind w:left="567" w:hanging="567"/>
    </w:pPr>
  </w:style>
  <w:style w:type="paragraph" w:customStyle="1" w:styleId="Normal24a">
    <w:name w:val="Normal24a"/>
    <w:basedOn w:val="Normal"/>
    <w:rsid w:val="00456265"/>
    <w:pPr>
      <w:spacing w:after="480"/>
    </w:pPr>
  </w:style>
  <w:style w:type="paragraph" w:customStyle="1" w:styleId="Normal12a">
    <w:name w:val="Normal12a"/>
    <w:basedOn w:val="Normal"/>
    <w:rsid w:val="00456265"/>
    <w:pPr>
      <w:spacing w:after="240"/>
    </w:pPr>
  </w:style>
  <w:style w:type="paragraph" w:customStyle="1" w:styleId="PageHeadingNotTOC">
    <w:name w:val="PageHeadingNotTOC"/>
    <w:basedOn w:val="Normal"/>
    <w:rsid w:val="00456265"/>
    <w:pPr>
      <w:keepNext/>
      <w:spacing w:after="480"/>
      <w:jc w:val="center"/>
    </w:pPr>
    <w:rPr>
      <w:rFonts w:ascii="Arial" w:hAnsi="Arial" w:cs="Arial"/>
      <w:b/>
    </w:rPr>
  </w:style>
  <w:style w:type="paragraph" w:customStyle="1" w:styleId="RollCallSymbols14pt">
    <w:name w:val="RollCallSymbols14pt"/>
    <w:basedOn w:val="Normal"/>
    <w:rsid w:val="00456265"/>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456265"/>
    <w:pPr>
      <w:tabs>
        <w:tab w:val="center" w:pos="284"/>
        <w:tab w:val="left" w:pos="426"/>
      </w:tabs>
    </w:pPr>
    <w:rPr>
      <w:snapToGrid w:val="0"/>
      <w:lang w:eastAsia="en-US"/>
    </w:rPr>
  </w:style>
  <w:style w:type="paragraph" w:customStyle="1" w:styleId="RollCallVotes">
    <w:name w:val="RollCallVotes"/>
    <w:basedOn w:val="Normal"/>
    <w:rsid w:val="00456265"/>
    <w:pPr>
      <w:spacing w:before="120" w:after="120"/>
      <w:jc w:val="center"/>
    </w:pPr>
    <w:rPr>
      <w:b/>
      <w:bCs/>
      <w:snapToGrid w:val="0"/>
      <w:sz w:val="16"/>
      <w:lang w:eastAsia="en-US"/>
    </w:rPr>
  </w:style>
  <w:style w:type="paragraph" w:customStyle="1" w:styleId="RollCallTable">
    <w:name w:val="RollCallTable"/>
    <w:basedOn w:val="Normal"/>
    <w:rsid w:val="00456265"/>
    <w:pPr>
      <w:spacing w:before="120" w:after="120"/>
    </w:pPr>
    <w:rPr>
      <w:snapToGrid w:val="0"/>
      <w:sz w:val="16"/>
      <w:lang w:eastAsia="en-US"/>
    </w:rPr>
  </w:style>
  <w:style w:type="paragraph" w:styleId="Footer">
    <w:name w:val="footer"/>
    <w:basedOn w:val="Normal"/>
    <w:link w:val="FooterChar"/>
    <w:rsid w:val="00456265"/>
    <w:pPr>
      <w:tabs>
        <w:tab w:val="center" w:pos="4513"/>
        <w:tab w:val="right" w:pos="9026"/>
      </w:tabs>
    </w:pPr>
  </w:style>
  <w:style w:type="character" w:customStyle="1" w:styleId="FooterChar">
    <w:name w:val="Footer Char"/>
    <w:basedOn w:val="DefaultParagraphFont"/>
    <w:link w:val="Footer"/>
    <w:rsid w:val="00456265"/>
    <w:rPr>
      <w:sz w:val="24"/>
      <w:lang w:val="fi-FI"/>
    </w:rPr>
  </w:style>
  <w:style w:type="character" w:styleId="CommentReference">
    <w:name w:val="annotation reference"/>
    <w:basedOn w:val="DefaultParagraphFont"/>
    <w:rsid w:val="00AD337A"/>
    <w:rPr>
      <w:sz w:val="16"/>
      <w:szCs w:val="16"/>
    </w:rPr>
  </w:style>
  <w:style w:type="paragraph" w:styleId="CommentText">
    <w:name w:val="annotation text"/>
    <w:basedOn w:val="Normal"/>
    <w:link w:val="CommentTextChar"/>
    <w:rsid w:val="00AD337A"/>
    <w:rPr>
      <w:sz w:val="20"/>
      <w:lang w:val="en-GB"/>
    </w:rPr>
  </w:style>
  <w:style w:type="character" w:customStyle="1" w:styleId="CommentTextChar">
    <w:name w:val="Comment Text Char"/>
    <w:basedOn w:val="DefaultParagraphFont"/>
    <w:link w:val="CommentText"/>
    <w:rsid w:val="00AD337A"/>
  </w:style>
  <w:style w:type="paragraph" w:styleId="BalloonText">
    <w:name w:val="Balloon Text"/>
    <w:basedOn w:val="Normal"/>
    <w:link w:val="BalloonTextChar"/>
    <w:rsid w:val="00AD337A"/>
    <w:rPr>
      <w:rFonts w:ascii="Segoe UI" w:hAnsi="Segoe UI" w:cs="Segoe UI"/>
      <w:sz w:val="18"/>
      <w:szCs w:val="18"/>
    </w:rPr>
  </w:style>
  <w:style w:type="character" w:customStyle="1" w:styleId="BalloonTextChar">
    <w:name w:val="Balloon Text Char"/>
    <w:basedOn w:val="DefaultParagraphFont"/>
    <w:link w:val="BalloonText"/>
    <w:rsid w:val="00AD337A"/>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1EEF79-D9BC-4A53-8615-A1DB260ADC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2824</Words>
  <Characters>23766</Characters>
  <Application>Microsoft Office Word</Application>
  <DocSecurity>0</DocSecurity>
  <Lines>198</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6</cp:revision>
  <cp:lastPrinted>2004-11-19T15:42:00Z</cp:lastPrinted>
  <dcterms:created xsi:type="dcterms:W3CDTF">2024-04-08T18:32:00Z</dcterms:created>
  <dcterms:modified xsi:type="dcterms:W3CDTF">2024-04-11T16:14:00Z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A9-0104/2024</vt:lpwstr>
  </property>
  <property fmtid="{D5CDD505-2E9C-101B-9397-08002B2CF9AE}" pid="4" name="&lt;Type&gt;">
    <vt:lpwstr>RR</vt:lpwstr>
  </property>
</Properties>
</file>