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0F61" w14:paraId="5852BFC0" w14:textId="77777777" w:rsidTr="0010095E">
        <w:trPr>
          <w:trHeight w:hRule="exact" w:val="1418"/>
        </w:trPr>
        <w:tc>
          <w:tcPr>
            <w:tcW w:w="6804" w:type="dxa"/>
            <w:shd w:val="clear" w:color="auto" w:fill="auto"/>
            <w:vAlign w:val="center"/>
          </w:tcPr>
          <w:p w14:paraId="5D1C44B5" w14:textId="77777777" w:rsidR="00751A4A" w:rsidRPr="00030F61" w:rsidRDefault="00691716" w:rsidP="0010095E">
            <w:pPr>
              <w:pStyle w:val="EPName"/>
            </w:pPr>
            <w:r w:rsidRPr="00030F61">
              <w:t>Europees Parlement</w:t>
            </w:r>
          </w:p>
          <w:p w14:paraId="2084B157" w14:textId="77777777" w:rsidR="00751A4A" w:rsidRPr="00030F61" w:rsidRDefault="00817416" w:rsidP="00756632">
            <w:pPr>
              <w:pStyle w:val="EPTerm"/>
              <w:rPr>
                <w:rStyle w:val="HideTWBExt"/>
                <w:noProof w:val="0"/>
                <w:vanish w:val="0"/>
                <w:color w:val="auto"/>
              </w:rPr>
            </w:pPr>
            <w:r w:rsidRPr="00030F61">
              <w:t>2019-2024</w:t>
            </w:r>
          </w:p>
        </w:tc>
        <w:tc>
          <w:tcPr>
            <w:tcW w:w="2268" w:type="dxa"/>
            <w:shd w:val="clear" w:color="auto" w:fill="auto"/>
          </w:tcPr>
          <w:p w14:paraId="1D942B6D" w14:textId="77777777" w:rsidR="00751A4A" w:rsidRPr="00030F61" w:rsidRDefault="00187494" w:rsidP="0010095E">
            <w:pPr>
              <w:pStyle w:val="EPLogo"/>
            </w:pPr>
            <w:r w:rsidRPr="00030F61">
              <w:rPr>
                <w:noProof/>
                <w:lang w:val="en-GB"/>
              </w:rPr>
              <w:drawing>
                <wp:inline distT="0" distB="0" distL="0" distR="0" wp14:anchorId="496D4B37" wp14:editId="00EB6A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9309B4" w14:textId="77777777" w:rsidR="00D058B8" w:rsidRPr="00030F61" w:rsidRDefault="00D058B8" w:rsidP="004C5D52">
      <w:pPr>
        <w:pStyle w:val="LineTop"/>
      </w:pPr>
    </w:p>
    <w:p w14:paraId="18E8403E" w14:textId="77777777" w:rsidR="00680577" w:rsidRPr="00030F61" w:rsidRDefault="00691716" w:rsidP="00680577">
      <w:pPr>
        <w:pStyle w:val="EPBodyTA1"/>
      </w:pPr>
      <w:r w:rsidRPr="00030F61">
        <w:t>AANGENOMEN TEKSTEN</w:t>
      </w:r>
    </w:p>
    <w:p w14:paraId="20F55C1F" w14:textId="77777777" w:rsidR="00D058B8" w:rsidRPr="00030F61" w:rsidRDefault="00D058B8" w:rsidP="00D058B8">
      <w:pPr>
        <w:pStyle w:val="LineBottom"/>
      </w:pPr>
    </w:p>
    <w:p w14:paraId="7FDBE3AE" w14:textId="0B28C9F8" w:rsidR="00691716" w:rsidRPr="00030F61" w:rsidRDefault="00691716" w:rsidP="00691716">
      <w:pPr>
        <w:pStyle w:val="ATHeading1"/>
      </w:pPr>
      <w:bookmarkStart w:id="0" w:name="TANumber"/>
      <w:r w:rsidRPr="00030F61">
        <w:t>P9_</w:t>
      </w:r>
      <w:proofErr w:type="gramStart"/>
      <w:r w:rsidRPr="00030F61">
        <w:t>TA(</w:t>
      </w:r>
      <w:proofErr w:type="gramEnd"/>
      <w:r w:rsidRPr="00030F61">
        <w:t>2024)</w:t>
      </w:r>
      <w:bookmarkEnd w:id="0"/>
      <w:r w:rsidR="00030F61" w:rsidRPr="00030F61">
        <w:t>0241</w:t>
      </w:r>
    </w:p>
    <w:p w14:paraId="31BA82EC" w14:textId="77777777" w:rsidR="00691716" w:rsidRPr="00030F61" w:rsidRDefault="00691716" w:rsidP="00691716">
      <w:pPr>
        <w:pStyle w:val="ATHeading2"/>
      </w:pPr>
      <w:bookmarkStart w:id="1" w:name="title"/>
      <w:r w:rsidRPr="00030F61">
        <w:t>Kwijting 2022: Europees Waarnemingscentrum voor drugs en drugsverslaving</w:t>
      </w:r>
      <w:bookmarkEnd w:id="1"/>
    </w:p>
    <w:p w14:paraId="5B3D6330" w14:textId="77777777" w:rsidR="00691716" w:rsidRPr="00030F61" w:rsidRDefault="00691716" w:rsidP="00691716">
      <w:pPr>
        <w:rPr>
          <w:i/>
          <w:vanish/>
        </w:rPr>
      </w:pPr>
      <w:r w:rsidRPr="00030F61">
        <w:rPr>
          <w:i/>
        </w:rPr>
        <w:fldChar w:fldCharType="begin"/>
      </w:r>
      <w:r w:rsidRPr="00030F61">
        <w:rPr>
          <w:i/>
        </w:rPr>
        <w:instrText xml:space="preserve"> TC"(</w:instrText>
      </w:r>
      <w:bookmarkStart w:id="2" w:name="DocNumber"/>
      <w:r w:rsidRPr="00030F61">
        <w:rPr>
          <w:i/>
        </w:rPr>
        <w:instrText>A9-0104/2024</w:instrText>
      </w:r>
      <w:bookmarkEnd w:id="2"/>
      <w:r w:rsidRPr="00030F61">
        <w:rPr>
          <w:i/>
        </w:rPr>
        <w:instrText xml:space="preserve"> - Rapporteur: Petri </w:instrText>
      </w:r>
      <w:proofErr w:type="spellStart"/>
      <w:r w:rsidRPr="00030F61">
        <w:rPr>
          <w:i/>
        </w:rPr>
        <w:instrText>Sarvamaa</w:instrText>
      </w:r>
      <w:proofErr w:type="spellEnd"/>
      <w:r w:rsidRPr="00030F61">
        <w:rPr>
          <w:i/>
        </w:rPr>
        <w:instrText xml:space="preserve">)"\l3 \n&gt; \* MERGEFORMAT </w:instrText>
      </w:r>
      <w:r w:rsidRPr="00030F61">
        <w:rPr>
          <w:i/>
        </w:rPr>
        <w:fldChar w:fldCharType="end"/>
      </w:r>
    </w:p>
    <w:p w14:paraId="5D12FEE7" w14:textId="77777777" w:rsidR="00691716" w:rsidRPr="00030F61" w:rsidRDefault="00691716" w:rsidP="00691716">
      <w:pPr>
        <w:rPr>
          <w:vanish/>
        </w:rPr>
      </w:pPr>
      <w:bookmarkStart w:id="3" w:name="Commission"/>
      <w:r w:rsidRPr="00030F61">
        <w:rPr>
          <w:vanish/>
        </w:rPr>
        <w:t>Commissie begrotingscontrole</w:t>
      </w:r>
      <w:bookmarkEnd w:id="3"/>
    </w:p>
    <w:p w14:paraId="3CC9D549" w14:textId="77777777" w:rsidR="00691716" w:rsidRPr="00030F61" w:rsidRDefault="00691716" w:rsidP="00691716">
      <w:pPr>
        <w:rPr>
          <w:vanish/>
        </w:rPr>
      </w:pPr>
      <w:bookmarkStart w:id="4" w:name="PE"/>
      <w:r w:rsidRPr="00030F61">
        <w:rPr>
          <w:vanish/>
        </w:rPr>
        <w:t>PE753.525</w:t>
      </w:r>
      <w:bookmarkEnd w:id="4"/>
    </w:p>
    <w:p w14:paraId="2608248B" w14:textId="77777777" w:rsidR="00691716" w:rsidRPr="00030F61" w:rsidRDefault="00691716" w:rsidP="00691716">
      <w:pPr>
        <w:pStyle w:val="ATHeading3"/>
      </w:pPr>
      <w:bookmarkStart w:id="5" w:name="Sujet"/>
      <w:r w:rsidRPr="00030F61">
        <w:t>1. Besluit van het Europees Parlement van 11 april 2024 over het verlenen van kwijting voor de uitvoering van de begroting van het Europees Waarnemingscentrum voor drugs en drugsverslaving voor het begrotingsjaar 2022</w:t>
      </w:r>
      <w:bookmarkEnd w:id="5"/>
      <w:r w:rsidRPr="00030F61">
        <w:t xml:space="preserve"> </w:t>
      </w:r>
      <w:bookmarkStart w:id="6" w:name="References"/>
      <w:r w:rsidRPr="00030F61">
        <w:t>(2023/2157(DEC))</w:t>
      </w:r>
      <w:bookmarkEnd w:id="6"/>
    </w:p>
    <w:p w14:paraId="216EA5DD" w14:textId="77777777" w:rsidR="0016599A" w:rsidRPr="00030F61" w:rsidRDefault="0016599A" w:rsidP="0016599A">
      <w:pPr>
        <w:pStyle w:val="EPComma"/>
      </w:pPr>
      <w:bookmarkStart w:id="7" w:name="TextBodyBegin"/>
      <w:bookmarkEnd w:id="7"/>
      <w:r w:rsidRPr="00030F61">
        <w:rPr>
          <w:i/>
        </w:rPr>
        <w:t>Het Europees Parlement</w:t>
      </w:r>
      <w:r w:rsidRPr="00030F61">
        <w:t>,</w:t>
      </w:r>
    </w:p>
    <w:p w14:paraId="2CDDE00F" w14:textId="77777777" w:rsidR="0016599A" w:rsidRPr="00030F61" w:rsidRDefault="0016599A" w:rsidP="0016599A">
      <w:pPr>
        <w:pStyle w:val="NormalHanging12a"/>
      </w:pPr>
      <w:r w:rsidRPr="00030F61">
        <w:t>–</w:t>
      </w:r>
      <w:r w:rsidRPr="00030F61">
        <w:tab/>
        <w:t>gezien de definitieve jaarrekening van het Europees Waarnemingscentrum voor drugs en drugsverslaving voor het begrotingsjaar 2022,</w:t>
      </w:r>
    </w:p>
    <w:p w14:paraId="56E971F2" w14:textId="77777777" w:rsidR="0016599A" w:rsidRPr="00030F61" w:rsidRDefault="0016599A" w:rsidP="0016599A">
      <w:pPr>
        <w:pStyle w:val="NormalHanging12a"/>
      </w:pPr>
      <w:r w:rsidRPr="00030F61">
        <w:t>–</w:t>
      </w:r>
      <w:r w:rsidRPr="00030F61">
        <w:tab/>
        <w:t>gezien het jaarverslag van de Rekenkamer over de EU-agentschappen betreffende het begrotingsjaar 2022, vergezeld van de antwoorden van de agentschappen</w:t>
      </w:r>
      <w:r w:rsidRPr="00030F61">
        <w:rPr>
          <w:rStyle w:val="FootnoteReference"/>
        </w:rPr>
        <w:footnoteReference w:id="1"/>
      </w:r>
      <w:r w:rsidRPr="00030F61">
        <w:t>,</w:t>
      </w:r>
    </w:p>
    <w:p w14:paraId="54C52A3A" w14:textId="77777777" w:rsidR="0016599A" w:rsidRPr="00030F61" w:rsidRDefault="0016599A" w:rsidP="0016599A">
      <w:pPr>
        <w:pStyle w:val="NormalHanging12a"/>
      </w:pPr>
      <w:r w:rsidRPr="00030F61">
        <w:t>–</w:t>
      </w:r>
      <w:r w:rsidRPr="00030F61">
        <w:tab/>
        <w:t>gezien de verklaring van de Rekenkamer</w:t>
      </w:r>
      <w:r w:rsidRPr="00030F61">
        <w:rPr>
          <w:rStyle w:val="FootnoteReference"/>
        </w:rPr>
        <w:footnoteReference w:id="2"/>
      </w:r>
      <w:r w:rsidRPr="00030F61">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2AF1E0B1" w14:textId="398B489A" w:rsidR="0016599A" w:rsidRPr="00030F61" w:rsidRDefault="0016599A" w:rsidP="0016599A">
      <w:pPr>
        <w:pStyle w:val="NormalHanging12a"/>
      </w:pPr>
      <w:r w:rsidRPr="00030F61">
        <w:t>–</w:t>
      </w:r>
      <w:r w:rsidRPr="00030F61">
        <w:tab/>
        <w:t>gezien de aanbeveling van de Raad van 22 februari 2024 betreffende de aan het Centrum te verlenen kwijting voor de uitvoering van de begroting voor het begrotingsjaar 2022 (</w:t>
      </w:r>
      <w:r w:rsidR="00756EDB" w:rsidRPr="00030F61">
        <w:t>06180</w:t>
      </w:r>
      <w:r w:rsidRPr="00030F61">
        <w:t>/2024 – C9</w:t>
      </w:r>
      <w:r w:rsidRPr="00030F61">
        <w:noBreakHyphen/>
      </w:r>
      <w:r w:rsidR="00756EDB" w:rsidRPr="00030F61">
        <w:t>0095</w:t>
      </w:r>
      <w:r w:rsidRPr="00030F61">
        <w:t>/2024),</w:t>
      </w:r>
    </w:p>
    <w:p w14:paraId="1C45B62D" w14:textId="77777777" w:rsidR="0016599A" w:rsidRPr="00030F61" w:rsidRDefault="0016599A" w:rsidP="0016599A">
      <w:pPr>
        <w:pStyle w:val="NormalHanging12a"/>
      </w:pPr>
      <w:r w:rsidRPr="00030F61">
        <w:t>–</w:t>
      </w:r>
      <w:r w:rsidRPr="00030F61">
        <w:tab/>
        <w:t>gezien artikel 319 van het Verdrag betreffende de werking van de Europese Unie,</w:t>
      </w:r>
    </w:p>
    <w:p w14:paraId="396AA7F3" w14:textId="77777777" w:rsidR="0016599A" w:rsidRPr="00030F61" w:rsidRDefault="0016599A" w:rsidP="0016599A">
      <w:pPr>
        <w:pStyle w:val="NormalHanging12a"/>
      </w:pPr>
      <w:r w:rsidRPr="00030F61">
        <w:t>–</w:t>
      </w:r>
      <w:r w:rsidRPr="00030F61">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30F61">
        <w:rPr>
          <w:rStyle w:val="FootnoteReference"/>
        </w:rPr>
        <w:footnoteReference w:id="3"/>
      </w:r>
      <w:r w:rsidRPr="00030F61">
        <w:t>, en met name artikel 70,</w:t>
      </w:r>
    </w:p>
    <w:p w14:paraId="4BB9F9AE" w14:textId="77777777" w:rsidR="0016599A" w:rsidRPr="00030F61" w:rsidRDefault="0016599A" w:rsidP="0016599A">
      <w:pPr>
        <w:pStyle w:val="NormalHanging12a"/>
      </w:pPr>
      <w:r w:rsidRPr="00030F61">
        <w:lastRenderedPageBreak/>
        <w:t>–</w:t>
      </w:r>
      <w:r w:rsidRPr="00030F61">
        <w:tab/>
        <w:t>gezien Verordening (EG) nr. 1920/2006 van het Europees Parlement en de Raad van 12 december 2006 betreffende het Europees Waarnemingscentrum voor drugs en drugsverslaving</w:t>
      </w:r>
      <w:r w:rsidRPr="00030F61">
        <w:rPr>
          <w:rStyle w:val="FootnoteReference"/>
        </w:rPr>
        <w:footnoteReference w:id="4"/>
      </w:r>
      <w:r w:rsidRPr="00030F61">
        <w:t>, en met name artikel 15,</w:t>
      </w:r>
    </w:p>
    <w:p w14:paraId="38AC7156" w14:textId="77777777" w:rsidR="0016599A" w:rsidRPr="00030F61" w:rsidRDefault="0016599A" w:rsidP="0016599A">
      <w:pPr>
        <w:pStyle w:val="NormalHanging12a"/>
      </w:pPr>
      <w:r w:rsidRPr="00030F61">
        <w:t>–</w:t>
      </w:r>
      <w:r w:rsidRPr="00030F61">
        <w:tab/>
        <w:t>gezien Verordening (EU) 2023/1322 van het Europees Parlement en de Raad van 27 juni 2023 betreffende het Drugsagentschap van de Europese Unie (EUDA) en tot intrekking van Verordening (EG) nr. 1920/2006</w:t>
      </w:r>
      <w:r w:rsidRPr="00030F61">
        <w:rPr>
          <w:rStyle w:val="FootnoteReference"/>
        </w:rPr>
        <w:footnoteReference w:id="5"/>
      </w:r>
      <w:r w:rsidRPr="00030F61">
        <w:t>, en met name artikel 41,</w:t>
      </w:r>
    </w:p>
    <w:p w14:paraId="4A84C403" w14:textId="77777777" w:rsidR="0016599A" w:rsidRPr="00030F61" w:rsidRDefault="0016599A" w:rsidP="0016599A">
      <w:pPr>
        <w:pStyle w:val="NormalHanging12a"/>
      </w:pPr>
      <w:r w:rsidRPr="00030F61">
        <w:t>–</w:t>
      </w:r>
      <w:r w:rsidRPr="00030F61">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30F61">
        <w:rPr>
          <w:rStyle w:val="FootnoteReference"/>
        </w:rPr>
        <w:footnoteReference w:id="6"/>
      </w:r>
      <w:r w:rsidRPr="00030F61">
        <w:t>, en met name artikel 105,</w:t>
      </w:r>
    </w:p>
    <w:p w14:paraId="626083C6" w14:textId="77777777" w:rsidR="0016599A" w:rsidRPr="00030F61" w:rsidRDefault="0016599A" w:rsidP="0016599A">
      <w:pPr>
        <w:pStyle w:val="NormalHanging12a"/>
      </w:pPr>
      <w:r w:rsidRPr="00030F61">
        <w:t>–</w:t>
      </w:r>
      <w:r w:rsidRPr="00030F61">
        <w:tab/>
        <w:t>gezien artikel 100 en bijlage V bij zijn Reglement,</w:t>
      </w:r>
    </w:p>
    <w:p w14:paraId="2BAC3738" w14:textId="77777777" w:rsidR="0016599A" w:rsidRPr="00030F61" w:rsidRDefault="0016599A" w:rsidP="0016599A">
      <w:pPr>
        <w:pStyle w:val="NormalHanging12a"/>
      </w:pPr>
      <w:r w:rsidRPr="00030F61">
        <w:t>–</w:t>
      </w:r>
      <w:r w:rsidRPr="00030F61">
        <w:tab/>
        <w:t>gezien het advies van de Commissie burgerlijke vrijheden, justitie en binnenlandse zaken,</w:t>
      </w:r>
    </w:p>
    <w:p w14:paraId="08CF3597" w14:textId="77777777" w:rsidR="0016599A" w:rsidRPr="00030F61" w:rsidRDefault="0016599A" w:rsidP="0016599A">
      <w:pPr>
        <w:pStyle w:val="NormalHanging12a"/>
      </w:pPr>
      <w:r w:rsidRPr="00030F61">
        <w:t>–</w:t>
      </w:r>
      <w:r w:rsidRPr="00030F61">
        <w:tab/>
        <w:t>gezien het verslag van de Commissie begrotingscontrole (A9-0104/2024),</w:t>
      </w:r>
    </w:p>
    <w:p w14:paraId="104797F5" w14:textId="77777777" w:rsidR="0016599A" w:rsidRPr="00030F61" w:rsidRDefault="0016599A" w:rsidP="0016599A">
      <w:pPr>
        <w:pStyle w:val="NormalHanging12a"/>
      </w:pPr>
      <w:r w:rsidRPr="00030F61">
        <w:t>1.</w:t>
      </w:r>
      <w:r w:rsidRPr="00030F61">
        <w:tab/>
        <w:t>verleent de directeur van het Europees Waarnemingscentrum voor drugs en drugsverslaving kwijting voor de uitvoering van de begroting van het Centrum voor het begrotingsjaar 2022;</w:t>
      </w:r>
    </w:p>
    <w:p w14:paraId="259D4B07" w14:textId="77777777" w:rsidR="0016599A" w:rsidRPr="00030F61" w:rsidRDefault="0016599A" w:rsidP="0016599A">
      <w:pPr>
        <w:pStyle w:val="NormalHanging12a"/>
      </w:pPr>
      <w:r w:rsidRPr="00030F61">
        <w:t>2.</w:t>
      </w:r>
      <w:r w:rsidRPr="00030F61">
        <w:tab/>
        <w:t>formuleert zijn opmerkingen in onderstaande resolutie;</w:t>
      </w:r>
    </w:p>
    <w:p w14:paraId="1E5407CA" w14:textId="2E48BBCB" w:rsidR="0016599A" w:rsidRPr="00030F61" w:rsidRDefault="0016599A" w:rsidP="00030F61">
      <w:pPr>
        <w:widowControl/>
        <w:ind w:left="567" w:hanging="567"/>
        <w:rPr>
          <w:szCs w:val="24"/>
        </w:rPr>
      </w:pPr>
      <w:r w:rsidRPr="00030F61">
        <w:t>3.</w:t>
      </w:r>
      <w:r w:rsidRPr="00030F61">
        <w:tab/>
        <w:t xml:space="preserve">verzoekt zijn Voorzitter dit besluit en de resolutie die daarvan een integrerend deel uitmaakt, te doen toekomen aan de directeur van het Europees Waarnemingscentrum voor drugs en drugsverslaving, de Raad, de Commissie en de Rekenkamer, en te zorgen voor publicatie ervan in het </w:t>
      </w:r>
      <w:r w:rsidRPr="00030F61">
        <w:rPr>
          <w:i/>
        </w:rPr>
        <w:t>Publicatieblad van de Europese Unie</w:t>
      </w:r>
      <w:r w:rsidR="00722C57">
        <w:t xml:space="preserve"> (L-serie).</w:t>
      </w:r>
    </w:p>
    <w:p w14:paraId="18BB855C" w14:textId="77777777" w:rsidR="0016599A" w:rsidRPr="00030F61" w:rsidRDefault="0016599A" w:rsidP="0016599A">
      <w:pPr>
        <w:pStyle w:val="PageHeading"/>
        <w:jc w:val="left"/>
        <w:rPr>
          <w:rFonts w:ascii="Times New Roman" w:hAnsi="Times New Roman" w:cs="Times New Roman"/>
          <w:b w:val="0"/>
        </w:rPr>
      </w:pPr>
    </w:p>
    <w:p w14:paraId="6CF7DE01" w14:textId="77777777" w:rsidR="0016599A" w:rsidRPr="00030F61" w:rsidRDefault="0016599A" w:rsidP="0016599A">
      <w:pPr>
        <w:pStyle w:val="PageHeading"/>
        <w:jc w:val="left"/>
        <w:sectPr w:rsidR="0016599A" w:rsidRPr="00030F61" w:rsidSect="00D61141">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18C2CA2" w14:textId="39366088" w:rsidR="0016599A" w:rsidRPr="00030F61" w:rsidRDefault="0016599A" w:rsidP="00F55FEE">
      <w:pPr>
        <w:pStyle w:val="ATHeading3"/>
      </w:pPr>
      <w:bookmarkStart w:id="8" w:name="_Toc161909625"/>
      <w:r w:rsidRPr="00030F61">
        <w:lastRenderedPageBreak/>
        <w:t xml:space="preserve">2. </w:t>
      </w:r>
      <w:bookmarkEnd w:id="8"/>
      <w:r w:rsidR="00F55FEE" w:rsidRPr="00030F61">
        <w:t xml:space="preserve">Besluit van het Europees Parlement van 11 april 2024 </w:t>
      </w:r>
      <w:r w:rsidRPr="00030F61">
        <w:t>over de afsluiting van de rekeningen van het Europees Waarnemingscentrum voor drugs en drugsverslaving voor het begrotingsjaar 2022</w:t>
      </w:r>
      <w:r w:rsidR="00F55FEE" w:rsidRPr="00030F61">
        <w:t xml:space="preserve"> </w:t>
      </w:r>
      <w:r w:rsidRPr="00030F61">
        <w:t>(2023/2157(DEC))</w:t>
      </w:r>
    </w:p>
    <w:p w14:paraId="09991B92" w14:textId="77777777" w:rsidR="0016599A" w:rsidRPr="00030F61" w:rsidRDefault="0016599A" w:rsidP="0016599A">
      <w:pPr>
        <w:pStyle w:val="EPComma"/>
      </w:pPr>
      <w:r w:rsidRPr="00030F61">
        <w:rPr>
          <w:i/>
        </w:rPr>
        <w:t>Het Europees Parlement</w:t>
      </w:r>
      <w:r w:rsidRPr="00030F61">
        <w:t>,</w:t>
      </w:r>
    </w:p>
    <w:p w14:paraId="51C365E9" w14:textId="77777777" w:rsidR="0016599A" w:rsidRPr="00030F61" w:rsidRDefault="0016599A" w:rsidP="0016599A">
      <w:pPr>
        <w:pStyle w:val="NormalHanging12a"/>
      </w:pPr>
      <w:r w:rsidRPr="00030F61">
        <w:t>–</w:t>
      </w:r>
      <w:r w:rsidRPr="00030F61">
        <w:tab/>
        <w:t>gezien de definitieve jaarrekening van het Europees Waarnemingscentrum voor drugs en drugsverslaving voor het begrotingsjaar 2022,</w:t>
      </w:r>
    </w:p>
    <w:p w14:paraId="50298C7C" w14:textId="77777777" w:rsidR="0016599A" w:rsidRPr="00030F61" w:rsidRDefault="0016599A" w:rsidP="0016599A">
      <w:pPr>
        <w:pStyle w:val="NormalHanging12a"/>
      </w:pPr>
      <w:r w:rsidRPr="00030F61">
        <w:t>–</w:t>
      </w:r>
      <w:r w:rsidRPr="00030F61">
        <w:tab/>
        <w:t>gezien het jaarverslag van de Rekenkamer over de EU-agentschappen betreffende het begrotingsjaar 2022, vergezeld van de antwoorden van de agentschappen</w:t>
      </w:r>
      <w:r w:rsidRPr="00030F61">
        <w:rPr>
          <w:rStyle w:val="FootnoteReference"/>
        </w:rPr>
        <w:footnoteReference w:id="7"/>
      </w:r>
      <w:r w:rsidRPr="00030F61">
        <w:t>,</w:t>
      </w:r>
    </w:p>
    <w:p w14:paraId="64FF6004" w14:textId="77777777" w:rsidR="0016599A" w:rsidRPr="00030F61" w:rsidRDefault="0016599A" w:rsidP="0016599A">
      <w:pPr>
        <w:pStyle w:val="NormalHanging12a"/>
      </w:pPr>
      <w:r w:rsidRPr="00030F61">
        <w:t>–</w:t>
      </w:r>
      <w:r w:rsidRPr="00030F61">
        <w:tab/>
        <w:t>gezien de verklaring van de Rekenkamer</w:t>
      </w:r>
      <w:r w:rsidRPr="00030F61">
        <w:rPr>
          <w:rStyle w:val="FootnoteReference"/>
        </w:rPr>
        <w:footnoteReference w:id="8"/>
      </w:r>
      <w:r w:rsidRPr="00030F61">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14:paraId="341353AB" w14:textId="07DDE6B4" w:rsidR="0016599A" w:rsidRPr="00030F61" w:rsidRDefault="0016599A" w:rsidP="0016599A">
      <w:pPr>
        <w:pStyle w:val="NormalHanging12a"/>
      </w:pPr>
      <w:r w:rsidRPr="00030F61">
        <w:t>–</w:t>
      </w:r>
      <w:r w:rsidRPr="00030F61">
        <w:tab/>
        <w:t>gezien de aanbeveling van de Raad van 22 februari 2024 betreffende de aan het Centrum te verlenen kwijting voor de uitvoering van de begroting voor het begrotingsjaar 2022 (</w:t>
      </w:r>
      <w:r w:rsidR="00756EDB" w:rsidRPr="00030F61">
        <w:t>06180</w:t>
      </w:r>
      <w:r w:rsidRPr="00030F61">
        <w:t>/2024 – C9</w:t>
      </w:r>
      <w:r w:rsidRPr="00030F61">
        <w:noBreakHyphen/>
      </w:r>
      <w:r w:rsidR="00756EDB" w:rsidRPr="00030F61">
        <w:t>0095</w:t>
      </w:r>
      <w:r w:rsidRPr="00030F61">
        <w:t>/2024),</w:t>
      </w:r>
    </w:p>
    <w:p w14:paraId="647D9545" w14:textId="77777777" w:rsidR="0016599A" w:rsidRPr="00030F61" w:rsidRDefault="0016599A" w:rsidP="0016599A">
      <w:pPr>
        <w:pStyle w:val="NormalHanging12a"/>
      </w:pPr>
      <w:r w:rsidRPr="00030F61">
        <w:t>–</w:t>
      </w:r>
      <w:r w:rsidRPr="00030F61">
        <w:tab/>
        <w:t>gezien artikel 319 van het Verdrag betreffende de werking van de Europese Unie,</w:t>
      </w:r>
    </w:p>
    <w:p w14:paraId="40D46337" w14:textId="77777777" w:rsidR="0016599A" w:rsidRPr="00030F61" w:rsidRDefault="0016599A" w:rsidP="0016599A">
      <w:pPr>
        <w:pStyle w:val="NormalHanging12a"/>
      </w:pPr>
      <w:r w:rsidRPr="00030F61">
        <w:t>–</w:t>
      </w:r>
      <w:r w:rsidRPr="00030F61">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30F61">
        <w:rPr>
          <w:rStyle w:val="FootnoteReference"/>
        </w:rPr>
        <w:footnoteReference w:id="9"/>
      </w:r>
      <w:r w:rsidRPr="00030F61">
        <w:t>, en met name artikel 70,</w:t>
      </w:r>
    </w:p>
    <w:p w14:paraId="2EEF0515" w14:textId="77777777" w:rsidR="0016599A" w:rsidRPr="00030F61" w:rsidRDefault="0016599A" w:rsidP="0016599A">
      <w:pPr>
        <w:pStyle w:val="NormalHanging12a"/>
      </w:pPr>
      <w:r w:rsidRPr="00030F61">
        <w:t>–</w:t>
      </w:r>
      <w:r w:rsidRPr="00030F61">
        <w:tab/>
        <w:t>gezien Verordening (EG) nr. 1920/2006 van het Europees Parlement en de Raad van 12 december 2006 betreffende het Europees Waarnemingscentrum voor drugs en drugsverslaving</w:t>
      </w:r>
      <w:r w:rsidRPr="00030F61">
        <w:rPr>
          <w:rStyle w:val="FootnoteReference"/>
        </w:rPr>
        <w:footnoteReference w:id="10"/>
      </w:r>
      <w:r w:rsidRPr="00030F61">
        <w:t>, en met name artikel 15,</w:t>
      </w:r>
    </w:p>
    <w:p w14:paraId="22A2B0C6" w14:textId="77777777" w:rsidR="0016599A" w:rsidRPr="00030F61" w:rsidRDefault="0016599A" w:rsidP="0016599A">
      <w:pPr>
        <w:pStyle w:val="NormalHanging12a"/>
      </w:pPr>
      <w:r w:rsidRPr="00030F61">
        <w:t>–</w:t>
      </w:r>
      <w:r w:rsidRPr="00030F61">
        <w:tab/>
        <w:t>gezien Verordening (EU) 2023/1322 van het Europees Parlement en de Raad van 27 juni 2023 betreffende het Drugsagentschap van de Europese Unie (EUDA) en tot intrekking van Verordening (EG) nr. 1920/2006</w:t>
      </w:r>
      <w:r w:rsidRPr="00030F61">
        <w:rPr>
          <w:rStyle w:val="FootnoteReference"/>
        </w:rPr>
        <w:footnoteReference w:id="11"/>
      </w:r>
      <w:r w:rsidRPr="00030F61">
        <w:t>, en met name artikel 41,</w:t>
      </w:r>
    </w:p>
    <w:p w14:paraId="566473F8" w14:textId="77777777" w:rsidR="0016599A" w:rsidRPr="00030F61" w:rsidRDefault="0016599A" w:rsidP="0016599A">
      <w:pPr>
        <w:pStyle w:val="NormalHanging12a"/>
      </w:pPr>
      <w:r w:rsidRPr="00030F61">
        <w:t>–</w:t>
      </w:r>
      <w:r w:rsidRPr="00030F61">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30F61">
        <w:rPr>
          <w:rStyle w:val="FootnoteReference"/>
        </w:rPr>
        <w:footnoteReference w:id="12"/>
      </w:r>
      <w:r w:rsidRPr="00030F61">
        <w:t>, en met name artikel 105,</w:t>
      </w:r>
    </w:p>
    <w:p w14:paraId="66C1DB57" w14:textId="77777777" w:rsidR="0016599A" w:rsidRPr="00030F61" w:rsidRDefault="0016599A" w:rsidP="0016599A">
      <w:pPr>
        <w:pStyle w:val="NormalHanging12a"/>
      </w:pPr>
      <w:r w:rsidRPr="00030F61">
        <w:t>–</w:t>
      </w:r>
      <w:r w:rsidRPr="00030F61">
        <w:tab/>
        <w:t>gezien artikel 100 en bijlage V bij zijn Reglement,</w:t>
      </w:r>
    </w:p>
    <w:p w14:paraId="3608882D" w14:textId="77777777" w:rsidR="0016599A" w:rsidRPr="00030F61" w:rsidRDefault="0016599A" w:rsidP="0016599A">
      <w:pPr>
        <w:pStyle w:val="NormalHanging12a"/>
      </w:pPr>
      <w:r w:rsidRPr="00030F61">
        <w:lastRenderedPageBreak/>
        <w:t>–</w:t>
      </w:r>
      <w:r w:rsidRPr="00030F61">
        <w:tab/>
        <w:t>gezien het advies van de Commissie burgerlijke vrijheden, justitie en binnenlandse zaken,</w:t>
      </w:r>
    </w:p>
    <w:p w14:paraId="005CEB96" w14:textId="77777777" w:rsidR="0016599A" w:rsidRPr="00030F61" w:rsidRDefault="0016599A" w:rsidP="0016599A">
      <w:pPr>
        <w:pStyle w:val="NormalHanging12a"/>
      </w:pPr>
      <w:r w:rsidRPr="00030F61">
        <w:t>–</w:t>
      </w:r>
      <w:r w:rsidRPr="00030F61">
        <w:tab/>
        <w:t>gezien het verslag van de Commissie begrotingscontrole (A9-0104/2024),</w:t>
      </w:r>
    </w:p>
    <w:p w14:paraId="07C686AD" w14:textId="77777777" w:rsidR="0016599A" w:rsidRPr="00030F61" w:rsidRDefault="0016599A" w:rsidP="0016599A">
      <w:pPr>
        <w:pStyle w:val="NormalHanging12a"/>
      </w:pPr>
      <w:r w:rsidRPr="00030F61">
        <w:t>1.</w:t>
      </w:r>
      <w:r w:rsidRPr="00030F61">
        <w:tab/>
        <w:t>hecht zijn goedkeuring aan de afsluiting van de rekeningen van het Europees Waarnemingscentrum voor drugs en drugsverslaving voor het begrotingsjaar 2022;</w:t>
      </w:r>
    </w:p>
    <w:p w14:paraId="662962A1" w14:textId="70D0B7DD" w:rsidR="0016599A" w:rsidRPr="00030F61" w:rsidRDefault="0016599A" w:rsidP="00030F61">
      <w:pPr>
        <w:widowControl/>
        <w:ind w:left="567" w:hanging="567"/>
        <w:rPr>
          <w:szCs w:val="24"/>
        </w:rPr>
      </w:pPr>
      <w:r w:rsidRPr="00030F61">
        <w:t>2.</w:t>
      </w:r>
      <w:r w:rsidRPr="00030F61">
        <w:tab/>
        <w:t xml:space="preserve">verzoekt zijn Voorzitter dit besluit te doen toekomen aan de directeur van het Europees Waarnemingscentrum voor drugs en drugsverslaving, de Raad, de Commissie en de Rekenkamer, en te zorgen voor publicatie ervan in het </w:t>
      </w:r>
      <w:r w:rsidRPr="00030F61">
        <w:rPr>
          <w:i/>
        </w:rPr>
        <w:t>Publicatieblad van de Europese Unie</w:t>
      </w:r>
      <w:r w:rsidR="00722C57">
        <w:t xml:space="preserve"> (L-serie).</w:t>
      </w:r>
    </w:p>
    <w:p w14:paraId="58B4F691" w14:textId="77777777" w:rsidR="0016599A" w:rsidRPr="00030F61" w:rsidRDefault="0016599A" w:rsidP="0016599A"/>
    <w:p w14:paraId="31640BFE" w14:textId="77777777" w:rsidR="0016599A" w:rsidRPr="00030F61" w:rsidRDefault="0016599A" w:rsidP="0016599A">
      <w:pPr>
        <w:pStyle w:val="PageHeading"/>
        <w:sectPr w:rsidR="0016599A" w:rsidRPr="00030F61" w:rsidSect="00D61141">
          <w:footnotePr>
            <w:numRestart w:val="eachPage"/>
          </w:footnotePr>
          <w:endnotePr>
            <w:numFmt w:val="decimal"/>
          </w:endnotePr>
          <w:pgSz w:w="11906" w:h="16838" w:code="9"/>
          <w:pgMar w:top="1134" w:right="1418" w:bottom="1418" w:left="1418" w:header="567" w:footer="567" w:gutter="0"/>
          <w:cols w:space="720"/>
          <w:noEndnote/>
          <w:docGrid w:linePitch="326"/>
        </w:sectPr>
      </w:pPr>
    </w:p>
    <w:p w14:paraId="56BE9D1E" w14:textId="30229060" w:rsidR="0016599A" w:rsidRPr="00030F61" w:rsidRDefault="0016599A" w:rsidP="00F55FEE">
      <w:pPr>
        <w:pStyle w:val="ATHeading3"/>
      </w:pPr>
      <w:bookmarkStart w:id="9" w:name="_Toc161909626"/>
      <w:r w:rsidRPr="00030F61">
        <w:lastRenderedPageBreak/>
        <w:t xml:space="preserve">3. </w:t>
      </w:r>
      <w:bookmarkEnd w:id="9"/>
      <w:r w:rsidR="00F55FEE" w:rsidRPr="00030F61">
        <w:t xml:space="preserve">Resolutie van het Europees Parlement van 11 april 2024 </w:t>
      </w:r>
      <w:r w:rsidRPr="00030F61">
        <w:t>met de opmerkingen die een integrerend deel uitmaken van het besluit over het verlenen van kwijting voor de uitvoering van de begroting van het Europees Waarnemingscentrum voor drugs en drugsverslaving voor het begrotingsjaar 2022</w:t>
      </w:r>
      <w:r w:rsidR="00F55FEE" w:rsidRPr="00030F61">
        <w:t xml:space="preserve"> </w:t>
      </w:r>
      <w:r w:rsidRPr="00030F61">
        <w:t>(2023/2157(DEC))</w:t>
      </w:r>
    </w:p>
    <w:p w14:paraId="699E71EB" w14:textId="77777777" w:rsidR="0016599A" w:rsidRPr="00030F61" w:rsidRDefault="0016599A" w:rsidP="0016599A">
      <w:pPr>
        <w:pStyle w:val="EPComma"/>
      </w:pPr>
      <w:r w:rsidRPr="00030F61">
        <w:rPr>
          <w:i/>
        </w:rPr>
        <w:t>Het Europees Parlement</w:t>
      </w:r>
      <w:r w:rsidRPr="00030F61">
        <w:t>,</w:t>
      </w:r>
    </w:p>
    <w:p w14:paraId="7E854565" w14:textId="77777777" w:rsidR="0016599A" w:rsidRPr="00030F61" w:rsidRDefault="0016599A" w:rsidP="0016599A">
      <w:pPr>
        <w:pStyle w:val="NormalHanging12a"/>
      </w:pPr>
      <w:r w:rsidRPr="00030F61">
        <w:t>–</w:t>
      </w:r>
      <w:r w:rsidRPr="00030F61">
        <w:tab/>
        <w:t>gezien zijn besluit over het verlenen van kwijting voor de uitvoering van de begroting van het Europees Waarnemingscentrum voor drugs en drugsverslaving voor het begrotingsjaar 2022,</w:t>
      </w:r>
    </w:p>
    <w:p w14:paraId="59C42BA6" w14:textId="77777777" w:rsidR="0016599A" w:rsidRPr="00030F61" w:rsidRDefault="0016599A" w:rsidP="0016599A">
      <w:pPr>
        <w:pStyle w:val="NormalHanging12a"/>
      </w:pPr>
      <w:r w:rsidRPr="00030F61">
        <w:t>–</w:t>
      </w:r>
      <w:r w:rsidRPr="00030F61">
        <w:tab/>
        <w:t>gezien artikel 100 en bijlage V bij zijn Reglement,</w:t>
      </w:r>
    </w:p>
    <w:p w14:paraId="55CB782A" w14:textId="77777777" w:rsidR="0016599A" w:rsidRPr="00030F61" w:rsidRDefault="0016599A" w:rsidP="0016599A">
      <w:pPr>
        <w:pStyle w:val="NormalHanging12a"/>
      </w:pPr>
      <w:r w:rsidRPr="00030F61">
        <w:t>–</w:t>
      </w:r>
      <w:r w:rsidRPr="00030F61">
        <w:tab/>
        <w:t>gezien het advies van de Commissie burgerlijke vrijheden, justitie en binnenlandse zaken,</w:t>
      </w:r>
    </w:p>
    <w:p w14:paraId="79CDBC92" w14:textId="77777777" w:rsidR="0016599A" w:rsidRPr="00030F61" w:rsidRDefault="0016599A" w:rsidP="0016599A">
      <w:pPr>
        <w:pStyle w:val="NormalHanging12a"/>
      </w:pPr>
      <w:r w:rsidRPr="00030F61">
        <w:t>–</w:t>
      </w:r>
      <w:r w:rsidRPr="00030F61">
        <w:tab/>
        <w:t>gezien het verslag van de Commissie begrotingscontrole (A9-0104/2024),</w:t>
      </w:r>
    </w:p>
    <w:p w14:paraId="64C81AA8" w14:textId="77777777" w:rsidR="0016599A" w:rsidRPr="00030F61" w:rsidRDefault="0016599A" w:rsidP="0016599A">
      <w:pPr>
        <w:pStyle w:val="Normal12Hanging"/>
        <w:rPr>
          <w:szCs w:val="24"/>
        </w:rPr>
      </w:pPr>
      <w:r w:rsidRPr="00030F61">
        <w:t>A.</w:t>
      </w:r>
      <w:r w:rsidRPr="00030F61">
        <w:tab/>
        <w:t>overwegende dat de definitieve begroting van het Europees Waarnemingscentrum voor drugs en drugsverslaving</w:t>
      </w:r>
      <w:r w:rsidRPr="00030F61">
        <w:rPr>
          <w:i/>
        </w:rPr>
        <w:t xml:space="preserve"> </w:t>
      </w:r>
      <w:r w:rsidRPr="00030F61">
        <w:t>(“het Centrum”) volgens zijn staat van ontvangsten en uitgaven</w:t>
      </w:r>
      <w:r w:rsidRPr="00030F61">
        <w:rPr>
          <w:rStyle w:val="FootnoteReference"/>
          <w:szCs w:val="24"/>
        </w:rPr>
        <w:footnoteReference w:id="13"/>
      </w:r>
      <w:r w:rsidRPr="00030F61">
        <w:t xml:space="preserve"> voor het begrotingsjaar 2022 18 893 136 EUR bedroeg, hetgeen neerkomt op een daling met 0,71 % ten opzichte van 2021; overwegende dat de begroting van het Centrum voornamelijk (voor 94 %) afkomstig is uit de begroting van de Unie;</w:t>
      </w:r>
    </w:p>
    <w:p w14:paraId="6BB39557" w14:textId="77777777" w:rsidR="0016599A" w:rsidRPr="00030F61" w:rsidRDefault="0016599A" w:rsidP="0016599A">
      <w:pPr>
        <w:pStyle w:val="Normal12Hanging"/>
        <w:rPr>
          <w:szCs w:val="24"/>
        </w:rPr>
      </w:pPr>
      <w:r w:rsidRPr="00030F61">
        <w:t>B.</w:t>
      </w:r>
      <w:r w:rsidRPr="00030F61">
        <w:tab/>
        <w:t>overwegende dat de Rekenkamer in haar verslag over de jaarrekening van het Centrum voor het begrotingsjaar 2022 (“het verslag van de Rekenkamer”) verklaart redelijke zekerheid te hebben gekregen dat de jaarrekening van het Centrum betrouwbaar is en de onderliggende verrichtingen wettig en regelmatig zijn;</w:t>
      </w:r>
    </w:p>
    <w:p w14:paraId="6375238A" w14:textId="77777777" w:rsidR="0016599A" w:rsidRPr="00030F61" w:rsidRDefault="0016599A" w:rsidP="0016599A">
      <w:pPr>
        <w:pStyle w:val="Normal12Hanging"/>
        <w:rPr>
          <w:b/>
          <w:i/>
          <w:szCs w:val="24"/>
        </w:rPr>
      </w:pPr>
      <w:r w:rsidRPr="00030F61">
        <w:rPr>
          <w:b/>
          <w:i/>
        </w:rPr>
        <w:t>Financieel en begrotingsbeheer</w:t>
      </w:r>
    </w:p>
    <w:p w14:paraId="1FE14591" w14:textId="77777777" w:rsidR="0016599A" w:rsidRPr="00030F61" w:rsidRDefault="0016599A" w:rsidP="0016599A">
      <w:pPr>
        <w:pStyle w:val="NormalHanging12a"/>
        <w:rPr>
          <w:szCs w:val="24"/>
        </w:rPr>
      </w:pPr>
      <w:r w:rsidRPr="00030F61">
        <w:t>1.</w:t>
      </w:r>
      <w:r w:rsidRPr="00030F61">
        <w:tab/>
        <w:t>stelt met tevredenheid vast dat de inspanningen op het gebied van begrotingstoezicht gedurende het begrotingsjaar 2022 hebben geresulteerd in een uitvoeringspercentage van de begroting van 98,78 % (een daling met 1,22 % ten opzichte van 2021); stelt vast dat het uitvoeringspercentage van de betalingskredieten 96,65 % bedroeg, wat neerkomt op een lichte stijging van 0,30 % ten opzichte van 2021; stelt voorts vast dat het uitvoeringspercentage van de van 2021 naar 2022 overgedragen betalingskredieten 88,98 % bedroeg;</w:t>
      </w:r>
    </w:p>
    <w:p w14:paraId="20369CC0" w14:textId="77777777" w:rsidR="0016599A" w:rsidRPr="00030F61" w:rsidRDefault="0016599A" w:rsidP="0016599A">
      <w:pPr>
        <w:pStyle w:val="NormalHanging12a"/>
      </w:pPr>
      <w:r w:rsidRPr="00030F61">
        <w:t>2.</w:t>
      </w:r>
      <w:r w:rsidRPr="00030F61">
        <w:tab/>
        <w:t>verneemt uit het verslag van de Rekenkamer dat een aanzienlijk aantal betalingen (107 van de 1 595) door het systeem voor financieel en boekhoudkundig beheer (</w:t>
      </w:r>
      <w:proofErr w:type="spellStart"/>
      <w:r w:rsidRPr="00030F61">
        <w:t>Accrual</w:t>
      </w:r>
      <w:proofErr w:type="spellEnd"/>
      <w:r w:rsidRPr="00030F61">
        <w:t xml:space="preserve"> </w:t>
      </w:r>
      <w:proofErr w:type="spellStart"/>
      <w:r w:rsidRPr="00030F61">
        <w:t>Based</w:t>
      </w:r>
      <w:proofErr w:type="spellEnd"/>
      <w:r w:rsidRPr="00030F61">
        <w:t xml:space="preserve"> Accounting, ABAC) van het Centrum ten onrechte als te laat was gemarkeerd vanwege onjuiste </w:t>
      </w:r>
      <w:proofErr w:type="spellStart"/>
      <w:r w:rsidRPr="00030F61">
        <w:t>parametrisaties</w:t>
      </w:r>
      <w:proofErr w:type="spellEnd"/>
      <w:r w:rsidRPr="00030F61">
        <w:t xml:space="preserve"> of onjuiste gegevensinvoer, of beide, met betrekking tot de uiterste betaaldatum of de ontvangst van de documenten die een betalingsverplichting inhielden, hoewel het Centrum slechts voor één te late betaling rente heeft betaald; verneemt uit het antwoord van het Centrum dat de discrepantie bij het markeren van te laat verrichte betalingen geen gevolgen heeft gehad voor de regelmatigheid van de betrokken verrichtingen; neemt er voorts kennis van dat het Centrum een aantal maatregelen heeft genomen om het aangevoerde risico op “fout-</w:t>
      </w:r>
      <w:r w:rsidRPr="00030F61">
        <w:lastRenderedPageBreak/>
        <w:t>positieven” tot een minimum te beperken en ervoor te zorgen dat het ABAC-systeem een duidelijk en nauwkeurig beeld geeft van de daadwerkelijk te laat verrichte betalingen; verzoekt het Centrum deze kwestie te blijven volgen en mogelijke toekomstige reputatierisico’s in verband met deze kwestie te beperken;</w:t>
      </w:r>
    </w:p>
    <w:p w14:paraId="6A2839C1" w14:textId="77777777" w:rsidR="0016599A" w:rsidRPr="00030F61" w:rsidRDefault="0016599A" w:rsidP="0016599A">
      <w:pPr>
        <w:pStyle w:val="Normal12Hanging"/>
        <w:ind w:left="0" w:firstLine="0"/>
        <w:rPr>
          <w:b/>
          <w:i/>
          <w:szCs w:val="24"/>
        </w:rPr>
      </w:pPr>
      <w:r w:rsidRPr="00030F61">
        <w:rPr>
          <w:b/>
          <w:i/>
        </w:rPr>
        <w:t>Prestaties</w:t>
      </w:r>
    </w:p>
    <w:p w14:paraId="243C904F" w14:textId="77777777" w:rsidR="0016599A" w:rsidRPr="00030F61" w:rsidRDefault="0016599A" w:rsidP="0016599A">
      <w:pPr>
        <w:pStyle w:val="NormalHanging12a"/>
        <w:rPr>
          <w:szCs w:val="24"/>
        </w:rPr>
      </w:pPr>
      <w:r w:rsidRPr="00030F61">
        <w:t>3.</w:t>
      </w:r>
      <w:r w:rsidRPr="00030F61">
        <w:tab/>
        <w:t>stelt vast dat in het nieuwe model voor prestatiemeting van het Centrum een beperkt aantal (tien) samengestelde kernprestatie-indicatoren (</w:t>
      </w:r>
      <w:proofErr w:type="spellStart"/>
      <w:r w:rsidRPr="00030F61">
        <w:t>KPI’s</w:t>
      </w:r>
      <w:proofErr w:type="spellEnd"/>
      <w:r w:rsidRPr="00030F61">
        <w:t xml:space="preserve">) is vastgesteld, aan de hand waarvan wordt nagegaan of de gewenste output wordt verwezenlijkt en hoe doeltreffend er wordt omgegaan met de toegewezen middelen, en dat deze worden aangevuld met </w:t>
      </w:r>
      <w:proofErr w:type="spellStart"/>
      <w:r w:rsidRPr="00030F61">
        <w:t>KPI’s</w:t>
      </w:r>
      <w:proofErr w:type="spellEnd"/>
      <w:r w:rsidRPr="00030F61">
        <w:t xml:space="preserve"> van een hoger niveau die gericht zijn op resultaten en effecten; neemt er nota van dat het Centrum voor de beoordeling van de </w:t>
      </w:r>
      <w:proofErr w:type="spellStart"/>
      <w:r w:rsidRPr="00030F61">
        <w:t>KPI’s</w:t>
      </w:r>
      <w:proofErr w:type="spellEnd"/>
      <w:r w:rsidRPr="00030F61">
        <w:t xml:space="preserve"> 65 jaarlijkse streefdoelen heeft vastgesteld, waarvan er in 2022 57 (87 %) zijn gehaald;</w:t>
      </w:r>
    </w:p>
    <w:p w14:paraId="4278EF74" w14:textId="77777777" w:rsidR="0016599A" w:rsidRPr="00030F61" w:rsidRDefault="0016599A" w:rsidP="0016599A">
      <w:pPr>
        <w:pStyle w:val="NormalHanging12a"/>
        <w:rPr>
          <w:szCs w:val="24"/>
        </w:rPr>
      </w:pPr>
      <w:r w:rsidRPr="00030F61">
        <w:t>4.</w:t>
      </w:r>
      <w:r w:rsidRPr="00030F61">
        <w:tab/>
        <w:t>stelt vast dat het Centrum voor het werkprogramma voor 2022 152 van de 188 outputs/resultaten (81 %) heeft behaald en 12 % daarvan gedeeltelijk heeft behaald (23 outputs/resultaten liepen vertraging op en waren eind 2022 in uitvoering), terwijl 12 resultaten (6 %) niet werden uitgevoerd en 2 resultaten niet van toepassing waren; neemt kennis van het standpunt van het Centrum dat de meeste vertragingen of annuleringen van activiteiten in 2022 te wijten waren aan een gebrek aan middelen; stelt voorts vast dat het Centrum voor de uitvoering van zijn nieuwe mandaat (dat naar verwachting vanaf 2024 van toepassing zal zijn) in 2022 is begonnen met de voorbereidingen, die belangrijke middelen opslorpten en een aantal aanpassingen vergden in enkele van zijn eerder geplande activiteiten;</w:t>
      </w:r>
    </w:p>
    <w:p w14:paraId="34871D4B" w14:textId="77777777" w:rsidR="0016599A" w:rsidRPr="00030F61" w:rsidRDefault="0016599A" w:rsidP="0016599A">
      <w:pPr>
        <w:pStyle w:val="NormalHanging12a"/>
        <w:rPr>
          <w:szCs w:val="24"/>
        </w:rPr>
      </w:pPr>
      <w:r w:rsidRPr="00030F61">
        <w:t>5.</w:t>
      </w:r>
      <w:r w:rsidRPr="00030F61">
        <w:tab/>
        <w:t>waardeert de inspanningen en geboekte vooruitgang van het Centrum op zijn drie werkterreinen (gezondheid, veiligheid en zakelijke overwegingen); neemt met name kennis van de publicatie in 2022 van het nieuwe Europees Drugsrapport, waarin het meest recente overzicht van de drugssituatie in Europa tot 2022 wordt gegeven, de lancering van het e-</w:t>
      </w:r>
      <w:proofErr w:type="spellStart"/>
      <w:r w:rsidRPr="00030F61">
        <w:t>learningplatform</w:t>
      </w:r>
      <w:proofErr w:type="spellEnd"/>
      <w:r w:rsidRPr="00030F61">
        <w:t xml:space="preserve"> PLATO, waarop het Europees preventiecurriculum is ondergebracht, dat bedoeld is om professionals op te leiden die betrokken zijn bij het vormgeven van preventiebeslissingen, -adviezen en -beleid in Europa, de publicatie van zeven minigidsen die een antwoord trachten te bieden op drugs in recreatieve omgevingen, lokale gemeenschappen, scholen en gevangenissen, alsook op de behoeften van gezinnen en daklozen, en de publicatie van drie “spotlights” over ruimten voor drugsgebruik, drugscontroles en e-gezondheidsinterventies;</w:t>
      </w:r>
    </w:p>
    <w:p w14:paraId="3E7B8C28" w14:textId="77777777" w:rsidR="0016599A" w:rsidRPr="00030F61" w:rsidRDefault="0016599A" w:rsidP="0016599A">
      <w:pPr>
        <w:pStyle w:val="NormalHanging12a"/>
      </w:pPr>
      <w:r w:rsidRPr="00030F61">
        <w:t>6.</w:t>
      </w:r>
      <w:r w:rsidRPr="00030F61">
        <w:tab/>
        <w:t>stelt met waardering vast dat het Centrum in 2022 een nieuwe snelle trendspotter-studie met een gemengde aanpak heeft gepubliceerd om na te gaan in hoeverre de diensten aanvankelijk zijn tegemoetgekomen aan de behoeften van ontheemde Oekraïners in de aan Oekraïne grenzende EU-lidstaten; prijst het Centrum voor de samenwerking met Europol bij de voorbereiding van de vierde editie van de gezamenlijke publicatie “EU Drug Markets: In-</w:t>
      </w:r>
      <w:proofErr w:type="spellStart"/>
      <w:r w:rsidRPr="00030F61">
        <w:t>depth</w:t>
      </w:r>
      <w:proofErr w:type="spellEnd"/>
      <w:r w:rsidRPr="00030F61">
        <w:t xml:space="preserve"> analysis”, waarvan de bevindingen worden gepresenteerd in een reeks modules, die elk gericht zijn op de markt voor een bepaalde drug en ingaan op trends in de toeleveringsketen, van productie en handel tot distributie en gebruik; waardeert in dit verband de lancering in 2022 van de eerste twee modules over cocaïne en </w:t>
      </w:r>
      <w:proofErr w:type="spellStart"/>
      <w:r w:rsidRPr="00030F61">
        <w:t>methamfetamine</w:t>
      </w:r>
      <w:proofErr w:type="spellEnd"/>
      <w:r w:rsidRPr="00030F61">
        <w:t>;</w:t>
      </w:r>
    </w:p>
    <w:p w14:paraId="24BCA011" w14:textId="77777777" w:rsidR="0016599A" w:rsidRPr="00030F61" w:rsidRDefault="0016599A" w:rsidP="0016599A">
      <w:pPr>
        <w:pStyle w:val="NormalHanging12a"/>
        <w:rPr>
          <w:szCs w:val="24"/>
        </w:rPr>
      </w:pPr>
      <w:r w:rsidRPr="00030F61">
        <w:t>7.</w:t>
      </w:r>
      <w:r w:rsidRPr="00030F61">
        <w:tab/>
        <w:t xml:space="preserve">neemt er kennis van dat het Centrum in 2022 in samenwerking met zijn partners de implementatie van het systeem voor vroegtijdige waarschuwing van de Europese Unie </w:t>
      </w:r>
      <w:r w:rsidRPr="00030F61">
        <w:lastRenderedPageBreak/>
        <w:t>heeft voortgezet; neemt er in datzelfde verband kennis van dat in 2022 voor het eerst 41 nieuwe psychoactieve stoffen formeel werden gemeld in het systeem voor vroegtijdige waarschuwing; merkt voorts op dat twee nieuwe psychoactieve stoffen waarvan het Centrum in 2021 het risico had beoordeeld (namelijk 3-chloormethcathinon (3-CMC) en 3-methylmethcathinon (3-MMC)), in 2022 bij een gedelegeerde richtlijn van de Commissie in de definitie van “drug” zijn opgenomen;</w:t>
      </w:r>
    </w:p>
    <w:p w14:paraId="7355753A" w14:textId="77777777" w:rsidR="0016599A" w:rsidRPr="00030F61" w:rsidRDefault="0016599A" w:rsidP="0016599A">
      <w:pPr>
        <w:pStyle w:val="NormalHanging12a"/>
        <w:rPr>
          <w:szCs w:val="24"/>
        </w:rPr>
      </w:pPr>
      <w:r w:rsidRPr="00030F61">
        <w:t>8.</w:t>
      </w:r>
      <w:r w:rsidRPr="00030F61">
        <w:tab/>
        <w:t xml:space="preserve">is verheugd dat het Centrum aan opleidingsevenementen over drugs en capaciteitsopbouw heeft deelgenomen en zo zijn kennis heeft kunnen overdragen aan bijna 950 professionals die werkzaam zijn op het gebied van </w:t>
      </w:r>
      <w:proofErr w:type="spellStart"/>
      <w:r w:rsidRPr="00030F61">
        <w:t>drugsgerelateerde</w:t>
      </w:r>
      <w:proofErr w:type="spellEnd"/>
      <w:r w:rsidRPr="00030F61">
        <w:t xml:space="preserve"> zorgverlening, onder wie rechtshandhavers en beleidsmakers; stelt bovendien vast dat ongeveer 1 200 professionals die werkzaam zijn op het gebied van </w:t>
      </w:r>
      <w:proofErr w:type="spellStart"/>
      <w:r w:rsidRPr="00030F61">
        <w:t>drugsgerelateerde</w:t>
      </w:r>
      <w:proofErr w:type="spellEnd"/>
      <w:r w:rsidRPr="00030F61">
        <w:t xml:space="preserve"> zorgverlening over de hele wereld de zeven </w:t>
      </w:r>
      <w:proofErr w:type="spellStart"/>
      <w:r w:rsidRPr="00030F61">
        <w:t>webinars</w:t>
      </w:r>
      <w:proofErr w:type="spellEnd"/>
      <w:r w:rsidRPr="00030F61">
        <w:t xml:space="preserve"> hebben bijgewoond die het Centrum in 2022 heeft georganiseerd; prijst het Centrum voor de organisatie, samen met zijn partners, van de vierde Europese conferentie over verslavingsgedrag en verslavingen, “Lisbon </w:t>
      </w:r>
      <w:proofErr w:type="spellStart"/>
      <w:r w:rsidRPr="00030F61">
        <w:t>addictions</w:t>
      </w:r>
      <w:proofErr w:type="spellEnd"/>
      <w:r w:rsidRPr="00030F61">
        <w:t xml:space="preserve"> 2022”, waarbij onder het overkoepelende thema “verslavingen wereldwijd” een recordaantal van 1 757 deelnemers uit 84 landen werd samengebracht;</w:t>
      </w:r>
    </w:p>
    <w:p w14:paraId="307F3618" w14:textId="77777777" w:rsidR="0016599A" w:rsidRPr="00030F61" w:rsidRDefault="0016599A" w:rsidP="0016599A">
      <w:pPr>
        <w:pStyle w:val="NormalHanging12a"/>
        <w:rPr>
          <w:szCs w:val="24"/>
        </w:rPr>
      </w:pPr>
      <w:r w:rsidRPr="00030F61">
        <w:t>9.</w:t>
      </w:r>
      <w:r w:rsidRPr="00030F61">
        <w:tab/>
        <w:t>is ingenomen met de niet-aflatende inspanningen van het Centrum om de sociale aspecten en maatschappelijke gevolgen van drugs onder de aandacht te brengen, om maatregelen gericht op de maatschappelijke re-integratie van drugsgebruikers te bevorderen en om het thema drugs vanuit een multidisciplinaire visie te benaderen; vindt het uiterst belangrijk dat er voortdurend inspanningen worden geleverd om het belang van preventie en innovatieve beleidsmaatregelen waarbij de geestelijke gezondheid voorop staat onder de aandacht te brengen;</w:t>
      </w:r>
    </w:p>
    <w:p w14:paraId="1B4B12A9" w14:textId="77777777" w:rsidR="0016599A" w:rsidRPr="00030F61" w:rsidRDefault="0016599A" w:rsidP="0016599A">
      <w:pPr>
        <w:pStyle w:val="NormalHanging12a"/>
      </w:pPr>
      <w:r w:rsidRPr="00030F61">
        <w:t>10.</w:t>
      </w:r>
      <w:r w:rsidRPr="00030F61">
        <w:tab/>
        <w:t>is ingenomen met de vooruitgang die het Centrum heeft geboekt in verband met de gezamenlijke publicatie “EU Drug Markets: In-</w:t>
      </w:r>
      <w:proofErr w:type="spellStart"/>
      <w:r w:rsidRPr="00030F61">
        <w:t>depth</w:t>
      </w:r>
      <w:proofErr w:type="spellEnd"/>
      <w:r w:rsidRPr="00030F61">
        <w:t xml:space="preserve"> analysis”, opgesteld door het Centrum in samenwerking met Europol, bestaande uit een aantal modules die elk betrekking hebben op een specifieke soort drugs (enkele modules zijn gepresenteerd in 2022 en in 2023 zullen er volgens planning nog enkele modules worden gepresenteerd); is ingenomen met de inspanningen die het Centrum, in samenwerking met de nationale knooppunten van het </w:t>
      </w:r>
      <w:proofErr w:type="spellStart"/>
      <w:r w:rsidRPr="00030F61">
        <w:t>Reitox</w:t>
      </w:r>
      <w:proofErr w:type="spellEnd"/>
      <w:r w:rsidRPr="00030F61">
        <w:t>-netwerk (Europees Netwerk voor informatie over drugs en drugsverslaving) en Europol, in 2022 heeft geleverd om de kwaliteit en beschikbaarheid van gegevens te verbeteren; is ingenomen met het feit dat het Centrum uitvoering geeft aan alle taken waarmee het is belast in het kader van de operationele actieplannen inzake cannabis, cocaïne en heroïne van het Europees multidisciplinair platform tegen criminaliteitsdreiging;</w:t>
      </w:r>
      <w:r w:rsidRPr="00030F61">
        <w:rPr>
          <w:rStyle w:val="FootnoteReference"/>
        </w:rPr>
        <w:t xml:space="preserve"> </w:t>
      </w:r>
      <w:r w:rsidRPr="00030F61">
        <w:t>wijst erop dat is vastgesteld dat de drugshandel een van de belangrijkste inkomstenbronnen is van criminele en terroristische organisaties en dat mensen vaak via de drugshandel bij dergelijke organisaties terechtkomen, en wijst erop dat het Centrum een bijdrage levert aan een veiliger Europa;</w:t>
      </w:r>
    </w:p>
    <w:p w14:paraId="2A178C00" w14:textId="77777777" w:rsidR="0016599A" w:rsidRPr="00030F61" w:rsidRDefault="0016599A" w:rsidP="0016599A">
      <w:pPr>
        <w:pStyle w:val="NormalHanging12a"/>
      </w:pPr>
      <w:r w:rsidRPr="00030F61">
        <w:t>11.</w:t>
      </w:r>
      <w:r w:rsidRPr="00030F61">
        <w:tab/>
        <w:t>is ingenomen met het feit dat het Centrum en de partnerlanden van het Europees nabuurschapsbeleid op regionaal niveau samenwerken via het EU4MD-project voor technische bijstand en is tevens ingenomen met het feit dat uitvoering wordt gegeven aan het bilaterale project EMCDDA4GE met Georgië; is ingenomen met de totstandbrenging van een officieel partnerschap in het kader van het samenwerkingsprogramma tussen Latijns-Amerika, het Caribisch gebied en de Europese Unie op het gebied van drugsbeleid;</w:t>
      </w:r>
    </w:p>
    <w:p w14:paraId="6462B516" w14:textId="77777777" w:rsidR="0016599A" w:rsidRPr="00030F61" w:rsidRDefault="0016599A" w:rsidP="0016599A">
      <w:pPr>
        <w:pStyle w:val="Normal12Hanging"/>
        <w:rPr>
          <w:b/>
          <w:i/>
          <w:szCs w:val="24"/>
        </w:rPr>
      </w:pPr>
      <w:r w:rsidRPr="00030F61">
        <w:rPr>
          <w:b/>
          <w:i/>
        </w:rPr>
        <w:lastRenderedPageBreak/>
        <w:t>Efficiëntie en verbeteringen</w:t>
      </w:r>
    </w:p>
    <w:p w14:paraId="39CA0C12" w14:textId="77777777" w:rsidR="0016599A" w:rsidRPr="00030F61" w:rsidRDefault="0016599A" w:rsidP="0016599A">
      <w:pPr>
        <w:pStyle w:val="Normal12Hanging"/>
        <w:rPr>
          <w:szCs w:val="24"/>
        </w:rPr>
      </w:pPr>
      <w:r w:rsidRPr="00030F61">
        <w:t>12.</w:t>
      </w:r>
      <w:r w:rsidRPr="00030F61">
        <w:tab/>
        <w:t>prijst het Centrum voor de toezegging om de doeltreffendheid en efficiëntie van zijn activiteiten voortdurend te verbeteren en zijn middelen, deskundigheid en knowhow zoveel mogelijk in te zetten om uiteindelijk bij te dragen tot een veiliger en gezonder Europa, met name door middel van samenwerkingsregelingen met agentschappen op het gebied van justitie, binnenlandse zaken en gezondheid; neemt kennis van de maatregelen die het Centrum heeft genomen om de exploitatiekosten van zijn gebouwen te verminderen, zoals het gebruik van zonwering op glaspartijen en klimaatregelingsschakelaars op ramen; neemt voorts kennis van de overeenkomst met het Europees Agentschap voor maritieme veiligheid om het gebruik van gemeenschappelijke ruimten (kantine, ondergrondse parkeerruimte en conferentiefaciliteiten) te delen in het gebouw waar hun hoofdkantoor is gevestigd, en van de samenwerking tussen de twee agentschappen met betrekking tot de gezamenlijke aankoop van gedeelde diensten (zoals beveiliging, schoonmaak, catering) en de gezamenlijke organisatie van opleidingsactiviteiten van gemeenschappelijk belang voor het personeel van beide agentschappen;</w:t>
      </w:r>
    </w:p>
    <w:p w14:paraId="173DEAC7" w14:textId="77777777" w:rsidR="0016599A" w:rsidRPr="00030F61" w:rsidRDefault="0016599A" w:rsidP="0016599A">
      <w:pPr>
        <w:pStyle w:val="Normal12Hanging"/>
      </w:pPr>
      <w:r w:rsidRPr="00030F61">
        <w:t>13.</w:t>
      </w:r>
      <w:r w:rsidRPr="00030F61">
        <w:tab/>
        <w:t>stelt met tevredenheid vast dat het Centrum beschikt over een strategisch plan (milieustrategie 2021-2025) om koolstofneutraal te worden en dat het in zijn jaarlijks activiteitenverslag maatstaven heeft opgenomen met betrekking tot de milieuprestaties en de CO</w:t>
      </w:r>
      <w:r w:rsidRPr="00030F61">
        <w:rPr>
          <w:vertAlign w:val="subscript"/>
        </w:rPr>
        <w:t>2</w:t>
      </w:r>
      <w:r w:rsidRPr="00030F61">
        <w:t>-voetafdruk van het Centrum, met steeds betere jaarlijkse resultaten sinds 2014; is ingenomen met het besluit dat de directeur van het Centrum in 2022 heeft genomen om de EMAS-certificering te verkrijgen, waarvoor het proces naar verwachting in 2023 zou worden afgerond;</w:t>
      </w:r>
    </w:p>
    <w:p w14:paraId="3D649EC6" w14:textId="77777777" w:rsidR="0016599A" w:rsidRPr="00030F61" w:rsidRDefault="0016599A" w:rsidP="0016599A">
      <w:pPr>
        <w:pStyle w:val="Normal12Hanging"/>
      </w:pPr>
      <w:r w:rsidRPr="00030F61">
        <w:t>14.</w:t>
      </w:r>
      <w:r w:rsidRPr="00030F61">
        <w:tab/>
        <w:t>neemt er kennis van dat het Centrum in 2022 verschillende projecten heeft uitgevoerd om de milieuprestaties te verbeteren door het elektriciteitsverbruik bij te sturen, zonnecellen op het dak van het gebouw te installeren en standplaatsen voor elektrische deelauto’s aan te leggen om het wagenpark van het Centrum te vervangen door elektrische of hybride voertuigen;</w:t>
      </w:r>
    </w:p>
    <w:p w14:paraId="582BDA89" w14:textId="77777777" w:rsidR="0016599A" w:rsidRPr="00030F61" w:rsidRDefault="0016599A" w:rsidP="0016599A">
      <w:pPr>
        <w:pStyle w:val="Normal12Hanging"/>
        <w:rPr>
          <w:b/>
          <w:i/>
          <w:szCs w:val="24"/>
        </w:rPr>
      </w:pPr>
      <w:r w:rsidRPr="00030F61">
        <w:rPr>
          <w:b/>
          <w:i/>
        </w:rPr>
        <w:t>Personeelsbeleid</w:t>
      </w:r>
    </w:p>
    <w:p w14:paraId="256B93FC" w14:textId="77777777" w:rsidR="0016599A" w:rsidRPr="00030F61" w:rsidRDefault="0016599A" w:rsidP="0016599A">
      <w:pPr>
        <w:pStyle w:val="Normal12Hanging"/>
        <w:rPr>
          <w:szCs w:val="24"/>
        </w:rPr>
      </w:pPr>
      <w:r w:rsidRPr="00030F61">
        <w:t>15.</w:t>
      </w:r>
      <w:r w:rsidRPr="00030F61">
        <w:tab/>
        <w:t>stelt vast dat de personeelsformatie op 31 december 2022 voor 97 % was ingevuld, aangezien er 6 ambtenaren en 68 tijdelijke functionarissen waren aangesteld van de 7 ambtenaren en 69 tijdelijke functionarissen die in het kader van de begroting van de Unie waren toegestaan (76 toegestane posten in 2022, hetzelfde aantal als in 2021); stelt vast dat er in 2022 bovendien 27 arbeidscontractanten voor het Centrum werkten; is ingenomen met de personeelsscreening van het Centrum in 2022 en de doeltreffende en efficiënte toewijzing van zijn middelen: 72,44 % van het personeel van het Centrum wordt ingezet voor operationele activiteiten, 18,20 % voor administratieve ondersteuning en coördinatie en 9,35 % voor neutrale operaties; prijst het Centrum voor zijn lage personeelsverloop (2,9 %) in 2022;</w:t>
      </w:r>
    </w:p>
    <w:p w14:paraId="2B18F8B3" w14:textId="77777777" w:rsidR="0016599A" w:rsidRPr="00030F61" w:rsidRDefault="0016599A" w:rsidP="0016599A">
      <w:pPr>
        <w:pStyle w:val="NormalHanging12a"/>
      </w:pPr>
      <w:r w:rsidRPr="00030F61">
        <w:t>16.</w:t>
      </w:r>
      <w:r w:rsidRPr="00030F61">
        <w:tab/>
        <w:t xml:space="preserve">neemt er nota van dat het Centrum heeft laten weten dat het hoger management bestaat uit 2 vrouwen (22 %) en 7 mannen (78 %) en dat de raad van bestuur bestaat uit 20 vrouwen (37 %) en 34 mannen (63 %); neemt er nota van dat het totale personeelsbestand bestaat uit 36 mannen (38 %) en 58 vrouwen (62 %); wijst erop dat het belangrijk is te zorgen voor genderevenwicht bij het personeel en verzoekt het Centrum met dit aspect rekening te houden bij toekomstige personeelsaanwervingen en </w:t>
      </w:r>
      <w:r w:rsidRPr="00030F61">
        <w:lastRenderedPageBreak/>
        <w:t>benoemingen in zijn hoger management; verzoekt de Commissie en de lidstaten bij het voordragen van kandidaten voor de raad van bestuur van het Centrum rekening te houden met het feit dat het genderevenwicht moet worden gewaarborgd;</w:t>
      </w:r>
    </w:p>
    <w:p w14:paraId="7809AFCF" w14:textId="77777777" w:rsidR="0016599A" w:rsidRPr="00030F61" w:rsidRDefault="0016599A" w:rsidP="0016599A">
      <w:pPr>
        <w:pStyle w:val="Normal12Hanging"/>
        <w:rPr>
          <w:szCs w:val="24"/>
        </w:rPr>
      </w:pPr>
      <w:r w:rsidRPr="00030F61">
        <w:t>17.</w:t>
      </w:r>
      <w:r w:rsidRPr="00030F61">
        <w:tab/>
        <w:t xml:space="preserve">verneemt uit het verslag van het Centrum met betrekking tot de follow-upmaatregelen die zijn genomen in het licht van de verlening van kwijting voor de uitvoering van de begroting van het Centrum voor het begrotingsjaar 2021 (“het verslag van het Centrum”) welke maatregelen het heeft genomen om het genderevenwicht binnen het Centrum te verbeteren; stelt vast dat die maatregelen zijn genomen in het kader van de aanwervingsprocedures van het Centrum en de verspreiding in de lidstaten van informatie over het selectieproces van het Centrum; prijst de voorzitter van de raad van bestuur van het Centrum voor het feit dat hij zich tot de bevoegde autoriteiten van de lidstaten, Noorwegen en Turkije heeft gewend met betrekking tot het waarborgen van genderevenwicht bij de voordracht van hun leden voor de raad van bestuur van het Centrum; verneemt voorts uit het verslag van het Centrum in verband met de opmerking dat het Centrum </w:t>
      </w:r>
      <w:proofErr w:type="spellStart"/>
      <w:r w:rsidRPr="00030F61">
        <w:t>Sysper</w:t>
      </w:r>
      <w:proofErr w:type="spellEnd"/>
      <w:r w:rsidRPr="00030F61">
        <w:t xml:space="preserve"> niet gebruikt, dat het Centrum zijn eigen ICT-hulpmiddelen voor gedigitaliseerd personeelsbeheer heeft ontwikkeld en ingevoerd;</w:t>
      </w:r>
    </w:p>
    <w:p w14:paraId="26AA8EAA" w14:textId="77777777" w:rsidR="0016599A" w:rsidRPr="00030F61" w:rsidRDefault="0016599A" w:rsidP="0016599A">
      <w:pPr>
        <w:pStyle w:val="Normal12Hanging"/>
        <w:rPr>
          <w:szCs w:val="24"/>
        </w:rPr>
      </w:pPr>
      <w:r w:rsidRPr="00030F61">
        <w:t>18.</w:t>
      </w:r>
      <w:r w:rsidRPr="00030F61">
        <w:tab/>
        <w:t>herinnert eraan dat de Rekenkamer in haar jaarverslag over de EU-agentschappen betreffende het begrotingsjaar 2018 een opmerking maakte over het inhuren van uitzendkrachten door middel van een kaderovereenkomst zonder daarbij de vereisten van Richtlijn 2008/104/EG</w:t>
      </w:r>
      <w:r w:rsidRPr="00030F61">
        <w:rPr>
          <w:rStyle w:val="FootnoteReference"/>
          <w:szCs w:val="24"/>
        </w:rPr>
        <w:footnoteReference w:id="14"/>
      </w:r>
      <w:r w:rsidRPr="00030F61">
        <w:t xml:space="preserve"> en van de Portugese arbeidswetgeving in acht te nemen; verneemt uit het verslag van de Rekenkamer dat deze opmerking is afgesloten, terwijl de kaderovereenkomst in kwestie in maart 2022 verstreken is en de laatste uitbetaling aan uitzendkrachten in januari 2022 plaatsvond;</w:t>
      </w:r>
    </w:p>
    <w:p w14:paraId="782FC9F9" w14:textId="77777777" w:rsidR="0016599A" w:rsidRPr="00030F61" w:rsidRDefault="0016599A" w:rsidP="0016599A">
      <w:pPr>
        <w:pStyle w:val="Normal12Hanging"/>
        <w:rPr>
          <w:b/>
          <w:i/>
          <w:szCs w:val="24"/>
        </w:rPr>
      </w:pPr>
      <w:r w:rsidRPr="00030F61">
        <w:rPr>
          <w:b/>
          <w:i/>
        </w:rPr>
        <w:t>Aanbesteding</w:t>
      </w:r>
    </w:p>
    <w:p w14:paraId="5C645AD4" w14:textId="77777777" w:rsidR="0016599A" w:rsidRPr="00030F61" w:rsidRDefault="0016599A" w:rsidP="0016599A">
      <w:pPr>
        <w:pStyle w:val="NormalHanging12a"/>
        <w:rPr>
          <w:szCs w:val="24"/>
        </w:rPr>
      </w:pPr>
      <w:r w:rsidRPr="00030F61">
        <w:t>19.</w:t>
      </w:r>
      <w:r w:rsidRPr="00030F61">
        <w:tab/>
        <w:t>verneemt uit het verslag van de Rekenkamer dat het bedrag (75 000 EUR) voor een in 2022 gesloten overeenkomst niet volledig werd gedekt door een overeenkomstige begrotingsvastlegging, wat leidde tot een tekort van 8 000 EUR; stelt vast dat zich in 2021 een soortgelijke situatie voordeed voor hetzelfde soort overeenkomst en dat het Centrum, volgens het verslag van de Rekenkamer, in beide gevallen niet in overeenstemming handelde met de vereisten van artikel 10, lid 3, en artikel 73, lid 2, van het financieel reglement van het Centrum; verneemt echter uit het antwoord van het Centrum dat de kosten van de overeenkomst werden gedeeld overeenkomstig de regelingen met twee andere entiteiten die gebruikmaken van de gebouwen van het Centrum in Lissabon; merkt in dit verband op dat het Centrum slechts een deel van de totale kosten/uitgaven voor de overeenkomst moest dragen, gebaseerd op overeenkomstige begrotingsvastleggingen, terwijl de resterende kosten berustten op boekhoudkundige verrekenings-/vereffeningsverrichtingen, aangezien die kosten voor rekening van de twee andere entiteiten kwamen;</w:t>
      </w:r>
    </w:p>
    <w:p w14:paraId="10FD5D25" w14:textId="77777777" w:rsidR="0016599A" w:rsidRPr="00030F61" w:rsidRDefault="0016599A" w:rsidP="0016599A">
      <w:pPr>
        <w:pStyle w:val="Normal12Hanging"/>
        <w:rPr>
          <w:b/>
          <w:i/>
          <w:szCs w:val="24"/>
        </w:rPr>
      </w:pPr>
      <w:r w:rsidRPr="00030F61">
        <w:rPr>
          <w:b/>
          <w:i/>
        </w:rPr>
        <w:t>Preventie van en omgang met belangenconflicten en transparantie</w:t>
      </w:r>
    </w:p>
    <w:p w14:paraId="62EB1E05" w14:textId="77777777" w:rsidR="0016599A" w:rsidRPr="00030F61" w:rsidRDefault="0016599A" w:rsidP="0016599A">
      <w:pPr>
        <w:pStyle w:val="Normal12Hanging"/>
        <w:rPr>
          <w:szCs w:val="24"/>
        </w:rPr>
      </w:pPr>
      <w:r w:rsidRPr="00030F61">
        <w:t>20.</w:t>
      </w:r>
      <w:r w:rsidRPr="00030F61">
        <w:tab/>
        <w:t xml:space="preserve">neemt kennis van de bestaande maatregelen en lopende inspanningen van het Centrum om transparantie te waarborgen, belangenconflicten te voorkomen en ermee om te gaan, en klokkenluiders te beschermen; neemt er nota van dat er in 2022 geen </w:t>
      </w:r>
      <w:r w:rsidRPr="00030F61">
        <w:lastRenderedPageBreak/>
        <w:t>belangenconflicten of gevallen van klokkenluiden zijn gemeld, onderzocht of afgesloten; is ingenomen met het feit dat het Centrum de belangenverklaringen en cv’s van zijn hoger management, de leden van de raad van bestuur en de externe deskundigen die lid zijn van het wetenschappelijk comité van het Centrum op zijn website heeft gepubliceerd; wijst erop dat, wat de leden van de raad van bestuur betreft, op de website van het Centrum alleen een samenvatting van hun huidige beroepsactiviteiten beschikbaar is; neemt kennis van de toezegging van het Centrum om tegen eind 2023 te onderzoeken of het haalbaar is om in de gepubliceerde cv’s ook de eerdere beroepsactiviteiten van deze leden op te nemen;</w:t>
      </w:r>
    </w:p>
    <w:p w14:paraId="70EB8DE4" w14:textId="77777777" w:rsidR="0016599A" w:rsidRPr="00030F61" w:rsidRDefault="0016599A" w:rsidP="0016599A">
      <w:pPr>
        <w:pStyle w:val="Normal12Hanging"/>
        <w:rPr>
          <w:szCs w:val="24"/>
        </w:rPr>
      </w:pPr>
      <w:r w:rsidRPr="00030F61">
        <w:t>21.</w:t>
      </w:r>
      <w:r w:rsidRPr="00030F61">
        <w:tab/>
        <w:t>neemt er kennis van dat het Centrum in 2022 geen lobbyisten heeft ontmoet; stelt voorts vast dat het Centrum een gedragscode en praktische aanbevelingen/richtsnoeren heeft voor de eventuele interactie van zijn personeel met belangenvertegenwoordigers, op basis van de richtsnoeren en aanbevelingen die de Commissie en de Europese Ombudsman hieromtrent hebben opgesteld; neemt er voorts kennis van dat indien dergelijke ontmoetingen plaatsvinden, in die richtsnoeren wordt aanbevolen de ontmoeting te registreren en openbaar te maken; verzoekt het Centrum deze richtsnoeren te volgen en dergelijke ontmoetingen onverwijld te publiceren;</w:t>
      </w:r>
    </w:p>
    <w:p w14:paraId="17AF4922" w14:textId="77777777" w:rsidR="0016599A" w:rsidRPr="00030F61" w:rsidRDefault="0016599A" w:rsidP="0016599A">
      <w:pPr>
        <w:pStyle w:val="Normal12Hanging"/>
        <w:rPr>
          <w:b/>
          <w:i/>
          <w:szCs w:val="24"/>
        </w:rPr>
      </w:pPr>
      <w:r w:rsidRPr="00030F61">
        <w:rPr>
          <w:b/>
          <w:i/>
        </w:rPr>
        <w:t>Interne controle</w:t>
      </w:r>
    </w:p>
    <w:p w14:paraId="3A956702" w14:textId="77777777" w:rsidR="0016599A" w:rsidRPr="00030F61" w:rsidRDefault="0016599A" w:rsidP="0016599A">
      <w:pPr>
        <w:pStyle w:val="Normal12Hanging"/>
        <w:rPr>
          <w:szCs w:val="24"/>
        </w:rPr>
      </w:pPr>
      <w:r w:rsidRPr="00030F61">
        <w:t>22.</w:t>
      </w:r>
      <w:r w:rsidRPr="00030F61">
        <w:tab/>
        <w:t xml:space="preserve">stelt vast dat de dienst Interne Audit (IAS) in 2022 twee audits bij het Centrum heeft uitgevoerd, de ene met betrekking tot de internationale samenwerking, de andere in verband met de </w:t>
      </w:r>
      <w:proofErr w:type="spellStart"/>
      <w:r w:rsidRPr="00030F61">
        <w:t>toereikendheid</w:t>
      </w:r>
      <w:proofErr w:type="spellEnd"/>
      <w:r w:rsidRPr="00030F61">
        <w:t xml:space="preserve"> van de coördinatie- en werkafspraken van de partnerdirectoraten-generaal en andere belanghebbenden en over de geschiktheid van het governancekader van de gedecentraliseerde agentschappen van de Unie; neemt er kennis van dat de resultaten van beide audits eind 2022 nog niet beschikbaar waren maar dat er op dat moment geen kritieke risico’s en aanbevelingen van de IAS bestonden, met uitzondering van één openstaande aanbeveling inzake interne communicatie, van een in 2021 uitgevoerde audit omtrent personeelsbeheer en ethiek;</w:t>
      </w:r>
    </w:p>
    <w:p w14:paraId="109D8069" w14:textId="77777777" w:rsidR="0016599A" w:rsidRPr="00030F61" w:rsidRDefault="0016599A" w:rsidP="0016599A">
      <w:pPr>
        <w:pStyle w:val="Normal12Hanging"/>
        <w:rPr>
          <w:szCs w:val="24"/>
        </w:rPr>
      </w:pPr>
      <w:r w:rsidRPr="00030F61">
        <w:t>23.</w:t>
      </w:r>
      <w:r w:rsidRPr="00030F61">
        <w:tab/>
        <w:t xml:space="preserve">is ingenomen met het resultaat van de in 2022 uitgevoerde beoordeling van de doeltreffendheid van de </w:t>
      </w:r>
      <w:proofErr w:type="spellStart"/>
      <w:r w:rsidRPr="00030F61">
        <w:t>internecontrolesystemen</w:t>
      </w:r>
      <w:proofErr w:type="spellEnd"/>
      <w:r w:rsidRPr="00030F61">
        <w:t xml:space="preserve"> van het Centrum, waaruit bleek dat alle componenten aanwezig zijn en functioneren; merkt op dat bij de beoordeling vijf beginselen van het </w:t>
      </w:r>
      <w:proofErr w:type="spellStart"/>
      <w:r w:rsidRPr="00030F61">
        <w:t>internecontrolekader</w:t>
      </w:r>
      <w:proofErr w:type="spellEnd"/>
      <w:r w:rsidRPr="00030F61">
        <w:t xml:space="preserve"> zijn vastgesteld waarvoor verbeteringen nodig kunnen zijn, op het gebied van controleomgeving, controleactiviteiten en informatie en communicatie; stelt voorts vast dat in 2022 een alomvattende risico-inventarisatie en ‑beoordeling ter verbetering van het risicobeheer bij het Centrum is uitgevoerd, waarbij risico’s werden vastgesteld in verband met het nieuwe mandaat van het Centrum en zijn nieuwe bedrijfsmodel; verzoekt het Centrum alle tekortkomingen aan te pakken die zijn vastgesteld naar aanleiding van de verschillende beoordelingen die in 2022 zijn uitgevoerd;</w:t>
      </w:r>
    </w:p>
    <w:p w14:paraId="0553F6F8" w14:textId="77777777" w:rsidR="0016599A" w:rsidRPr="00030F61" w:rsidRDefault="0016599A" w:rsidP="0016599A">
      <w:pPr>
        <w:pStyle w:val="Normal12Hanging"/>
      </w:pPr>
      <w:r w:rsidRPr="00030F61">
        <w:t>24.</w:t>
      </w:r>
      <w:r w:rsidRPr="00030F61">
        <w:tab/>
        <w:t>neemt er kennis van dat het Centrum in 2021 een herziene fraudebestrijdingsstrategie heeft vastgesteld, met drie strategische doelstellingen en een actieplan voor de uitvoering ervan in 2022, welke aan het eind van het jaar op grote schaal ten uitvoer was gelegd, waarbij slechts een van de twaalf acties nog openstond;</w:t>
      </w:r>
    </w:p>
    <w:p w14:paraId="01362BC4" w14:textId="77777777" w:rsidR="0016599A" w:rsidRPr="00030F61" w:rsidRDefault="0016599A" w:rsidP="0016599A">
      <w:pPr>
        <w:pStyle w:val="Normal12Hanging"/>
        <w:rPr>
          <w:b/>
          <w:i/>
          <w:szCs w:val="24"/>
        </w:rPr>
      </w:pPr>
      <w:r w:rsidRPr="00030F61">
        <w:rPr>
          <w:b/>
          <w:i/>
        </w:rPr>
        <w:t>Overige opmerkingen</w:t>
      </w:r>
    </w:p>
    <w:p w14:paraId="16399D00" w14:textId="77777777" w:rsidR="0016599A" w:rsidRPr="00030F61" w:rsidRDefault="0016599A" w:rsidP="0016599A">
      <w:pPr>
        <w:pStyle w:val="Normal12Hanging"/>
        <w:rPr>
          <w:szCs w:val="24"/>
        </w:rPr>
      </w:pPr>
      <w:r w:rsidRPr="00030F61">
        <w:t>25.</w:t>
      </w:r>
      <w:r w:rsidRPr="00030F61">
        <w:tab/>
        <w:t xml:space="preserve">prijst het Centrum voor zijn inspanningen op het vlak van communicatie met het oog op </w:t>
      </w:r>
      <w:r w:rsidRPr="00030F61">
        <w:lastRenderedPageBreak/>
        <w:t>de productie van publicaties van hoge kwaliteit, waarbij in 2022 66 wetenschappelijke en institutionele publicaties werden geproduceerd en 16 wetenschappelijke artikelen en hoofdstukken in boeken (mede) door het Centrum werden geschreven en in prestigieuze tijdschriften verschenen;</w:t>
      </w:r>
    </w:p>
    <w:p w14:paraId="3B48D594" w14:textId="77777777" w:rsidR="0016599A" w:rsidRPr="00030F61" w:rsidRDefault="0016599A" w:rsidP="0016599A">
      <w:pPr>
        <w:pStyle w:val="Normal12Hanging"/>
        <w:rPr>
          <w:szCs w:val="24"/>
        </w:rPr>
      </w:pPr>
      <w:r w:rsidRPr="00030F61">
        <w:t>26.</w:t>
      </w:r>
      <w:r w:rsidRPr="00030F61">
        <w:tab/>
        <w:t xml:space="preserve">is ingenomen met de aanzienlijke toename van het publiek dat het Centrum in 2022 via al zijn kanalen heeft bereikt; stelt in dat verband vast dat een recordaantal van ongeveer 2,6 miljoen unieke bezoekers de website van het Centrum bezocht (een stijging met bijna 50 % ten opzichte van 2021), dat de video’s van het Centrum 1,6 miljoen keer zijn bekeken (een stijging met 15 % ten opzichte van 2021) en dat er een stijging was van het aantal volgers op twee belangrijke </w:t>
      </w:r>
      <w:proofErr w:type="spellStart"/>
      <w:r w:rsidRPr="00030F61">
        <w:t>socialemediakanalen</w:t>
      </w:r>
      <w:proofErr w:type="spellEnd"/>
      <w:r w:rsidRPr="00030F61">
        <w:t>, namelijk LinkedIn (+ 57 %) en Instagram (+ 37 %);</w:t>
      </w:r>
    </w:p>
    <w:p w14:paraId="7436662B" w14:textId="77777777" w:rsidR="0016599A" w:rsidRPr="00030F61" w:rsidRDefault="0016599A" w:rsidP="0016599A">
      <w:pPr>
        <w:pStyle w:val="Normal12Hanging"/>
        <w:rPr>
          <w:szCs w:val="24"/>
        </w:rPr>
      </w:pPr>
      <w:r w:rsidRPr="00030F61">
        <w:t>27.</w:t>
      </w:r>
      <w:r w:rsidRPr="00030F61">
        <w:tab/>
        <w:t>vraagt het Centrum zich toe te leggen op de verspreiding van de resultaten van zijn onderzoek onder het publiek, en contact te leggen met het publiek via sociale en andere media; is in dit verband ingenomen met de toegankelijkheid voor de gebruikers van de door het Centrum opgestelde verslagen;</w:t>
      </w:r>
    </w:p>
    <w:p w14:paraId="65FA6838" w14:textId="77777777" w:rsidR="0016599A" w:rsidRPr="00030F61" w:rsidRDefault="0016599A" w:rsidP="0016599A">
      <w:pPr>
        <w:pStyle w:val="NormalHanging12a"/>
        <w:rPr>
          <w:szCs w:val="24"/>
        </w:rPr>
      </w:pPr>
      <w:r w:rsidRPr="00030F61">
        <w:t>28.</w:t>
      </w:r>
      <w:r w:rsidRPr="00030F61">
        <w:tab/>
        <w:t xml:space="preserve">is ingenomen met de informatiepagina “EMCDDA 4 Ukraine”, die is opgezet ten behoeve van personen die werkzaam zijn op het gebied van </w:t>
      </w:r>
      <w:proofErr w:type="spellStart"/>
      <w:r w:rsidRPr="00030F61">
        <w:t>drugsgerelateerde</w:t>
      </w:r>
      <w:proofErr w:type="spellEnd"/>
      <w:r w:rsidRPr="00030F61">
        <w:t xml:space="preserve"> zorgverlening en uit Oekraïne gevluchte mensen helpen;</w:t>
      </w:r>
    </w:p>
    <w:p w14:paraId="527D1C10" w14:textId="77777777" w:rsidR="0016599A" w:rsidRPr="00030F61" w:rsidRDefault="0016599A" w:rsidP="0016599A">
      <w:pPr>
        <w:pStyle w:val="NormalCenter12a"/>
      </w:pPr>
      <w:r w:rsidRPr="00030F61">
        <w:t>°</w:t>
      </w:r>
    </w:p>
    <w:p w14:paraId="24AA64FC" w14:textId="77777777" w:rsidR="0016599A" w:rsidRPr="00030F61" w:rsidRDefault="0016599A" w:rsidP="0016599A">
      <w:pPr>
        <w:pStyle w:val="NormalCenter12a"/>
      </w:pPr>
      <w:r w:rsidRPr="00030F61">
        <w:t>°</w:t>
      </w:r>
      <w:r w:rsidRPr="00030F61">
        <w:tab/>
        <w:t>°</w:t>
      </w:r>
    </w:p>
    <w:p w14:paraId="37F0E2DA" w14:textId="071E446F" w:rsidR="0016599A" w:rsidRPr="00030F61" w:rsidRDefault="0016599A" w:rsidP="001827A0">
      <w:pPr>
        <w:widowControl/>
        <w:ind w:left="567" w:hanging="567"/>
        <w:rPr>
          <w:szCs w:val="24"/>
        </w:rPr>
      </w:pPr>
      <w:r w:rsidRPr="00030F61">
        <w:t>29.</w:t>
      </w:r>
      <w:r w:rsidRPr="00030F61">
        <w:tab/>
        <w:t xml:space="preserve">verwijst voor andere opmerkingen van horizontale aard bij het kwijtingsbesluit naar zijn resolutie van </w:t>
      </w:r>
      <w:r w:rsidR="001827A0" w:rsidRPr="00030F61">
        <w:t>11 april</w:t>
      </w:r>
      <w:r w:rsidRPr="00030F61">
        <w:t xml:space="preserve"> 2024</w:t>
      </w:r>
      <w:r w:rsidRPr="00030F61">
        <w:rPr>
          <w:rStyle w:val="FootnoteReference"/>
        </w:rPr>
        <w:footnoteReference w:id="15"/>
      </w:r>
      <w:r w:rsidRPr="00030F61">
        <w:t xml:space="preserve"> over het functioneren en het financiële beheer van en d</w:t>
      </w:r>
      <w:r w:rsidR="00722C57">
        <w:t>e controle op de agentschappen.</w:t>
      </w:r>
    </w:p>
    <w:p w14:paraId="1AB8EBD1" w14:textId="77777777" w:rsidR="00E365E1" w:rsidRPr="00030F61" w:rsidRDefault="00E365E1" w:rsidP="00691716">
      <w:bookmarkStart w:id="10" w:name="TextBodyEnd"/>
      <w:bookmarkStart w:id="11" w:name="_GoBack"/>
      <w:bookmarkEnd w:id="10"/>
      <w:bookmarkEnd w:id="11"/>
    </w:p>
    <w:sectPr w:rsidR="00E365E1" w:rsidRPr="00030F61" w:rsidSect="00D61141">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5B95A" w14:textId="77777777" w:rsidR="00691716" w:rsidRPr="00D61141" w:rsidRDefault="00691716">
      <w:r w:rsidRPr="00D61141">
        <w:separator/>
      </w:r>
    </w:p>
  </w:endnote>
  <w:endnote w:type="continuationSeparator" w:id="0">
    <w:p w14:paraId="13E7A076" w14:textId="77777777" w:rsidR="00691716" w:rsidRPr="00D61141" w:rsidRDefault="00691716">
      <w:r w:rsidRPr="00D611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96F4F" w14:textId="77777777" w:rsidR="0016599A" w:rsidRPr="00D61141" w:rsidRDefault="0016599A" w:rsidP="000F3859">
    <w:pPr>
      <w:pStyle w:val="EPFooter"/>
    </w:pPr>
    <w:r w:rsidRPr="00D61141">
      <w:t>PE</w:t>
    </w:r>
    <w:r w:rsidRPr="00D61141">
      <w:rPr>
        <w:rStyle w:val="HideTWBExt"/>
      </w:rPr>
      <w:t>&lt;</w:t>
    </w:r>
    <w:proofErr w:type="spellStart"/>
    <w:r w:rsidRPr="00D61141">
      <w:rPr>
        <w:rStyle w:val="HideTWBExt"/>
      </w:rPr>
      <w:t>NoPE</w:t>
    </w:r>
    <w:proofErr w:type="spellEnd"/>
    <w:r w:rsidRPr="00D61141">
      <w:rPr>
        <w:rStyle w:val="HideTWBExt"/>
      </w:rPr>
      <w:t>&gt;</w:t>
    </w:r>
    <w:r w:rsidRPr="00D61141">
      <w:t>753.525</w:t>
    </w:r>
    <w:r w:rsidRPr="00D61141">
      <w:rPr>
        <w:rStyle w:val="HideTWBExt"/>
      </w:rPr>
      <w:t>&lt;/</w:t>
    </w:r>
    <w:proofErr w:type="spellStart"/>
    <w:r w:rsidRPr="00D61141">
      <w:rPr>
        <w:rStyle w:val="HideTWBExt"/>
      </w:rPr>
      <w:t>NoPE</w:t>
    </w:r>
    <w:proofErr w:type="spellEnd"/>
    <w:r w:rsidRPr="00D61141">
      <w:rPr>
        <w:rStyle w:val="HideTWBExt"/>
      </w:rPr>
      <w:t>&gt;&lt;Version&gt;</w:t>
    </w:r>
    <w:r w:rsidRPr="00D61141">
      <w:t>v02-00</w:t>
    </w:r>
    <w:r w:rsidRPr="00D61141">
      <w:rPr>
        <w:rStyle w:val="HideTWBExt"/>
      </w:rPr>
      <w:t>&lt;/Version&gt;</w:t>
    </w:r>
    <w:r w:rsidRPr="00D61141">
      <w:tab/>
    </w:r>
    <w:r w:rsidRPr="00D61141">
      <w:fldChar w:fldCharType="begin"/>
    </w:r>
    <w:r w:rsidRPr="00D61141">
      <w:instrText xml:space="preserve"> PAGE  \* MERGEFORMAT </w:instrText>
    </w:r>
    <w:r w:rsidRPr="00D61141">
      <w:fldChar w:fldCharType="separate"/>
    </w:r>
    <w:r w:rsidR="00D61141" w:rsidRPr="00D61141">
      <w:rPr>
        <w:noProof/>
      </w:rPr>
      <w:t>2</w:t>
    </w:r>
    <w:r w:rsidRPr="00D61141">
      <w:fldChar w:fldCharType="end"/>
    </w:r>
    <w:r w:rsidRPr="00D61141">
      <w:t>/</w:t>
    </w:r>
    <w:fldSimple w:instr=" NUMPAGES  \* MERGEFORMAT ">
      <w:r w:rsidR="00D61141" w:rsidRPr="00D61141">
        <w:rPr>
          <w:noProof/>
        </w:rPr>
        <w:t>4</w:t>
      </w:r>
    </w:fldSimple>
    <w:r w:rsidRPr="00D61141">
      <w:tab/>
    </w:r>
    <w:r w:rsidRPr="00D61141">
      <w:rPr>
        <w:rStyle w:val="HideTWBExt"/>
      </w:rPr>
      <w:t>&lt;PathFdR&gt;</w:t>
    </w:r>
    <w:r w:rsidRPr="00D61141">
      <w:t>RR\1298782NL.docx</w:t>
    </w:r>
    <w:r w:rsidRPr="00D61141">
      <w:rPr>
        <w:rStyle w:val="HideTWBExt"/>
      </w:rPr>
      <w:t>&lt;/</w:t>
    </w:r>
    <w:proofErr w:type="spellStart"/>
    <w:r w:rsidRPr="00D61141">
      <w:rPr>
        <w:rStyle w:val="HideTWBExt"/>
      </w:rPr>
      <w:t>PathFdR</w:t>
    </w:r>
    <w:proofErr w:type="spellEnd"/>
    <w:r w:rsidRPr="00D61141">
      <w:rPr>
        <w:rStyle w:val="HideTWBExt"/>
      </w:rPr>
      <w:t>&gt;</w:t>
    </w:r>
  </w:p>
  <w:p w14:paraId="77FFD1D2" w14:textId="77777777" w:rsidR="0016599A" w:rsidRPr="00D61141" w:rsidRDefault="0016599A" w:rsidP="000F3859">
    <w:pPr>
      <w:pStyle w:val="EPFooter2"/>
    </w:pPr>
    <w:r w:rsidRPr="00D6114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AC3E3" w14:textId="77777777" w:rsidR="0016599A" w:rsidRPr="00756EDB" w:rsidRDefault="0016599A" w:rsidP="00030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EBD4B" w14:textId="77777777" w:rsidR="0016599A" w:rsidRPr="00D61141" w:rsidRDefault="0016599A" w:rsidP="000F3859">
    <w:pPr>
      <w:pStyle w:val="EPFooter"/>
    </w:pPr>
    <w:r w:rsidRPr="00D61141">
      <w:rPr>
        <w:rStyle w:val="HideTWBExt"/>
      </w:rPr>
      <w:t>&lt;PathFdR&gt;</w:t>
    </w:r>
    <w:r w:rsidRPr="00D61141">
      <w:t>RR\1298782NL.docx</w:t>
    </w:r>
    <w:r w:rsidRPr="00D61141">
      <w:rPr>
        <w:rStyle w:val="HideTWBExt"/>
      </w:rPr>
      <w:t>&lt;/</w:t>
    </w:r>
    <w:proofErr w:type="spellStart"/>
    <w:r w:rsidRPr="00D61141">
      <w:rPr>
        <w:rStyle w:val="HideTWBExt"/>
      </w:rPr>
      <w:t>PathFdR</w:t>
    </w:r>
    <w:proofErr w:type="spellEnd"/>
    <w:r w:rsidRPr="00D61141">
      <w:rPr>
        <w:rStyle w:val="HideTWBExt"/>
      </w:rPr>
      <w:t>&gt;</w:t>
    </w:r>
    <w:r w:rsidRPr="00D61141">
      <w:tab/>
    </w:r>
    <w:r w:rsidRPr="00D61141">
      <w:tab/>
      <w:t>PE</w:t>
    </w:r>
    <w:r w:rsidRPr="00D61141">
      <w:rPr>
        <w:rStyle w:val="HideTWBExt"/>
      </w:rPr>
      <w:t>&lt;</w:t>
    </w:r>
    <w:proofErr w:type="spellStart"/>
    <w:r w:rsidRPr="00D61141">
      <w:rPr>
        <w:rStyle w:val="HideTWBExt"/>
      </w:rPr>
      <w:t>NoPE</w:t>
    </w:r>
    <w:proofErr w:type="spellEnd"/>
    <w:r w:rsidRPr="00D61141">
      <w:rPr>
        <w:rStyle w:val="HideTWBExt"/>
      </w:rPr>
      <w:t>&gt;</w:t>
    </w:r>
    <w:r w:rsidRPr="00D61141">
      <w:t>753.525</w:t>
    </w:r>
    <w:r w:rsidRPr="00D61141">
      <w:rPr>
        <w:rStyle w:val="HideTWBExt"/>
      </w:rPr>
      <w:t>&lt;/</w:t>
    </w:r>
    <w:proofErr w:type="spellStart"/>
    <w:r w:rsidRPr="00D61141">
      <w:rPr>
        <w:rStyle w:val="HideTWBExt"/>
      </w:rPr>
      <w:t>NoPE</w:t>
    </w:r>
    <w:proofErr w:type="spellEnd"/>
    <w:r w:rsidRPr="00D61141">
      <w:rPr>
        <w:rStyle w:val="HideTWBExt"/>
      </w:rPr>
      <w:t>&gt;&lt;Version&gt;</w:t>
    </w:r>
    <w:r w:rsidRPr="00D61141">
      <w:t>v02-00</w:t>
    </w:r>
    <w:r w:rsidRPr="00D61141">
      <w:rPr>
        <w:rStyle w:val="HideTWBExt"/>
      </w:rPr>
      <w:t>&lt;/Version&gt;</w:t>
    </w:r>
  </w:p>
  <w:p w14:paraId="3380C39C" w14:textId="77777777" w:rsidR="0016599A" w:rsidRPr="00D61141" w:rsidRDefault="0016599A" w:rsidP="000F3859">
    <w:pPr>
      <w:pStyle w:val="EPFooter2"/>
    </w:pPr>
    <w:r w:rsidRPr="00D61141">
      <w:t>NL</w:t>
    </w:r>
    <w:r w:rsidRPr="00D61141">
      <w:tab/>
    </w:r>
    <w:r w:rsidRPr="00D61141">
      <w:rPr>
        <w:b w:val="0"/>
        <w:i/>
        <w:color w:val="C0C0C0"/>
        <w:sz w:val="22"/>
      </w:rPr>
      <w:t>In verscheidenheid verenigd</w:t>
    </w:r>
    <w:r w:rsidRPr="00D61141">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F1A7" w14:textId="77777777" w:rsidR="00064002" w:rsidRPr="00D6114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A52C2" w14:textId="77777777" w:rsidR="00064002" w:rsidRPr="00D6114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27C82" w14:textId="77777777" w:rsidR="00064002" w:rsidRPr="00D611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3FF83" w14:textId="77777777" w:rsidR="00691716" w:rsidRPr="00D61141" w:rsidRDefault="00691716">
      <w:r w:rsidRPr="00D61141">
        <w:separator/>
      </w:r>
    </w:p>
  </w:footnote>
  <w:footnote w:type="continuationSeparator" w:id="0">
    <w:p w14:paraId="12DCE19F" w14:textId="77777777" w:rsidR="00691716" w:rsidRPr="00D61141" w:rsidRDefault="00691716">
      <w:r w:rsidRPr="00D61141">
        <w:continuationSeparator/>
      </w:r>
    </w:p>
  </w:footnote>
  <w:footnote w:id="1">
    <w:p w14:paraId="08A32D44" w14:textId="66E83565"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C, C/2023/594, 27.10.2023.</w:t>
      </w:r>
    </w:p>
  </w:footnote>
  <w:footnote w:id="2">
    <w:p w14:paraId="770C3383" w14:textId="755551C2"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C, C/2023/112, 12.10.2023.</w:t>
      </w:r>
    </w:p>
  </w:footnote>
  <w:footnote w:id="3">
    <w:p w14:paraId="2A211011" w14:textId="652E7928"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L 193 van 30.7.2018, blz. 1.</w:t>
      </w:r>
    </w:p>
  </w:footnote>
  <w:footnote w:id="4">
    <w:p w14:paraId="5172302B" w14:textId="42EAF322"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L 376 van 27.12.2006, blz. 1.</w:t>
      </w:r>
    </w:p>
  </w:footnote>
  <w:footnote w:id="5">
    <w:p w14:paraId="24AED337" w14:textId="4A7E4601" w:rsidR="0016599A" w:rsidRPr="00D61141" w:rsidRDefault="0016599A" w:rsidP="00D61141">
      <w:pPr>
        <w:pStyle w:val="FootnoteText"/>
        <w:ind w:left="567" w:hanging="567"/>
        <w:rPr>
          <w:sz w:val="24"/>
          <w:szCs w:val="24"/>
          <w:lang w:val="nl-NL"/>
        </w:rPr>
      </w:pPr>
      <w:r w:rsidRPr="00D61141">
        <w:rPr>
          <w:rStyle w:val="FootnoteReference"/>
          <w:sz w:val="24"/>
          <w:lang w:val="nl-NL"/>
        </w:rPr>
        <w:footnoteRef/>
      </w:r>
      <w:r w:rsidR="00D61141" w:rsidRPr="00D61141">
        <w:rPr>
          <w:sz w:val="24"/>
          <w:lang w:val="nl-NL"/>
        </w:rPr>
        <w:tab/>
      </w:r>
      <w:r w:rsidRPr="00D61141">
        <w:rPr>
          <w:sz w:val="24"/>
          <w:lang w:val="nl-NL"/>
        </w:rPr>
        <w:t>PB L 166 van 30.6.2023, blz. 6.</w:t>
      </w:r>
    </w:p>
  </w:footnote>
  <w:footnote w:id="6">
    <w:p w14:paraId="61E9A68A" w14:textId="6950685B" w:rsidR="0016599A" w:rsidRPr="00D61141" w:rsidRDefault="0016599A" w:rsidP="00D61141">
      <w:pPr>
        <w:pStyle w:val="FootnoteText"/>
        <w:ind w:left="567" w:hanging="567"/>
        <w:rPr>
          <w:sz w:val="24"/>
          <w:szCs w:val="24"/>
          <w:lang w:val="nl-NL"/>
        </w:rPr>
      </w:pPr>
      <w:r w:rsidRPr="00D61141">
        <w:rPr>
          <w:rStyle w:val="FootnoteReference"/>
          <w:sz w:val="24"/>
          <w:szCs w:val="24"/>
          <w:lang w:val="nl-NL"/>
        </w:rPr>
        <w:footnoteRef/>
      </w:r>
      <w:r w:rsidR="00D61141" w:rsidRPr="00D61141">
        <w:rPr>
          <w:sz w:val="24"/>
          <w:lang w:val="nl-NL"/>
        </w:rPr>
        <w:tab/>
      </w:r>
      <w:r w:rsidRPr="00D61141">
        <w:rPr>
          <w:sz w:val="24"/>
          <w:lang w:val="nl-NL"/>
        </w:rPr>
        <w:t>PB L 122 van 10.5.2019, blz. 1.</w:t>
      </w:r>
    </w:p>
  </w:footnote>
  <w:footnote w:id="7">
    <w:p w14:paraId="5BA6F9DC" w14:textId="4CC05CA6"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C, C/2023/594, 27.10.2023.</w:t>
      </w:r>
    </w:p>
  </w:footnote>
  <w:footnote w:id="8">
    <w:p w14:paraId="2FCC652F" w14:textId="0AAF343C"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C, C/2023/112, 12.10.2023.</w:t>
      </w:r>
    </w:p>
  </w:footnote>
  <w:footnote w:id="9">
    <w:p w14:paraId="4F528401" w14:textId="7E7392CC"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L 193 van 30.7.2018, blz. 1.</w:t>
      </w:r>
    </w:p>
  </w:footnote>
  <w:footnote w:id="10">
    <w:p w14:paraId="2B9F0297" w14:textId="32D3945F"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L 376 van 27.12.2006, blz. 1.</w:t>
      </w:r>
    </w:p>
  </w:footnote>
  <w:footnote w:id="11">
    <w:p w14:paraId="0E3327BC" w14:textId="79EFC884" w:rsidR="0016599A" w:rsidRPr="00D61141" w:rsidRDefault="0016599A" w:rsidP="00D61141">
      <w:pPr>
        <w:pStyle w:val="FootnoteText"/>
        <w:ind w:left="567" w:hanging="567"/>
        <w:rPr>
          <w:sz w:val="24"/>
          <w:szCs w:val="24"/>
          <w:lang w:val="nl-NL"/>
        </w:rPr>
      </w:pPr>
      <w:r w:rsidRPr="00D61141">
        <w:rPr>
          <w:rStyle w:val="FootnoteReference"/>
          <w:sz w:val="24"/>
          <w:lang w:val="nl-NL"/>
        </w:rPr>
        <w:footnoteRef/>
      </w:r>
      <w:r w:rsidR="00D61141" w:rsidRPr="00D61141">
        <w:rPr>
          <w:sz w:val="24"/>
          <w:lang w:val="nl-NL"/>
        </w:rPr>
        <w:tab/>
      </w:r>
      <w:r w:rsidRPr="00D61141">
        <w:rPr>
          <w:sz w:val="24"/>
          <w:lang w:val="nl-NL"/>
        </w:rPr>
        <w:t>PB L 166 van 30.6.2023, blz. 6.</w:t>
      </w:r>
    </w:p>
  </w:footnote>
  <w:footnote w:id="12">
    <w:p w14:paraId="5B8818B5" w14:textId="7EEC5F25"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L 122 van 10.5.2019, blz. 1.</w:t>
      </w:r>
    </w:p>
  </w:footnote>
  <w:footnote w:id="13">
    <w:p w14:paraId="0F28C78D" w14:textId="4D0AFD8F"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PB C 141/06 van 29.3.2022, blz. 33.</w:t>
      </w:r>
    </w:p>
  </w:footnote>
  <w:footnote w:id="14">
    <w:p w14:paraId="2A7C2000" w14:textId="39AE3F2D"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Richtlijn 2008/104/EG van het Europees Parlement en de Raad van 19 november 2008 betreffende uitzendarbeid (PB L 327 van 5.12.2008, blz. 9).</w:t>
      </w:r>
    </w:p>
  </w:footnote>
  <w:footnote w:id="15">
    <w:p w14:paraId="76E4672E" w14:textId="4723687C" w:rsidR="0016599A" w:rsidRPr="00D61141" w:rsidRDefault="0016599A" w:rsidP="00D61141">
      <w:pPr>
        <w:pStyle w:val="FootnoteText"/>
        <w:ind w:left="567" w:hanging="567"/>
        <w:rPr>
          <w:sz w:val="24"/>
          <w:lang w:val="nl-NL"/>
        </w:rPr>
      </w:pPr>
      <w:r w:rsidRPr="00D61141">
        <w:rPr>
          <w:rStyle w:val="FootnoteReference"/>
          <w:sz w:val="24"/>
          <w:lang w:val="nl-NL"/>
        </w:rPr>
        <w:footnoteRef/>
      </w:r>
      <w:r w:rsidR="00D61141" w:rsidRPr="00D61141">
        <w:rPr>
          <w:sz w:val="24"/>
          <w:lang w:val="nl-NL"/>
        </w:rPr>
        <w:tab/>
      </w:r>
      <w:r w:rsidRPr="00D61141">
        <w:rPr>
          <w:sz w:val="24"/>
          <w:lang w:val="nl-NL"/>
        </w:rPr>
        <w:t>Aangenomen teksten, P9_</w:t>
      </w:r>
      <w:proofErr w:type="gramStart"/>
      <w:r w:rsidRPr="00D61141">
        <w:rPr>
          <w:sz w:val="24"/>
          <w:lang w:val="nl-NL"/>
        </w:rPr>
        <w:t>TA(</w:t>
      </w:r>
      <w:proofErr w:type="gramEnd"/>
      <w:r w:rsidRPr="00D61141">
        <w:rPr>
          <w:sz w:val="24"/>
          <w:lang w:val="nl-NL"/>
        </w:rPr>
        <w:t>2024)</w:t>
      </w:r>
      <w:r w:rsidR="00030F61" w:rsidRPr="00D61141">
        <w:rPr>
          <w:sz w:val="24"/>
          <w:lang w:val="nl-NL"/>
        </w:rPr>
        <w:t>0</w:t>
      </w:r>
      <w:r w:rsidR="00030F61">
        <w:rPr>
          <w:sz w:val="24"/>
          <w:lang w:val="nl-NL"/>
        </w:rPr>
        <w:t>28</w:t>
      </w:r>
      <w:r w:rsidR="00030F61" w:rsidRPr="00D61141">
        <w:rPr>
          <w:sz w:val="24"/>
          <w:lang w:val="nl-NL"/>
        </w:rPr>
        <w:t>0</w:t>
      </w:r>
      <w:r w:rsidRPr="00D6114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30D02" w14:textId="77777777" w:rsidR="00064002" w:rsidRPr="00D611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18500" w14:textId="77777777" w:rsidR="00064002" w:rsidRPr="00D611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44D26" w14:textId="77777777" w:rsidR="00064002" w:rsidRPr="00D611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NL"/>
    <w:docVar w:name="dvnumam" w:val="0"/>
    <w:docVar w:name="dvpe" w:val="753.525"/>
    <w:docVar w:name="dvrapporteur" w:val="Rapporteur: "/>
    <w:docVar w:name="dvtitre" w:val="1. Besluit van het Europees Parlement van 11 april 2024 over het verlenen van kwijting voor de uitvoering van de begroting van het Europees Waarnemingscentrum voor drugs en drugsverslaving voor het begrotingsjaar 2022(2023/2157(DEC))"/>
  </w:docVars>
  <w:rsids>
    <w:rsidRoot w:val="00691716"/>
    <w:rsid w:val="00002272"/>
    <w:rsid w:val="00030F61"/>
    <w:rsid w:val="00064002"/>
    <w:rsid w:val="000677B9"/>
    <w:rsid w:val="000831BA"/>
    <w:rsid w:val="000A42CC"/>
    <w:rsid w:val="000E7DD9"/>
    <w:rsid w:val="0010095E"/>
    <w:rsid w:val="00125B37"/>
    <w:rsid w:val="0016599A"/>
    <w:rsid w:val="001827A0"/>
    <w:rsid w:val="00187494"/>
    <w:rsid w:val="001F32AE"/>
    <w:rsid w:val="002657E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1716"/>
    <w:rsid w:val="006F74FA"/>
    <w:rsid w:val="00722C57"/>
    <w:rsid w:val="00731ADD"/>
    <w:rsid w:val="00734777"/>
    <w:rsid w:val="00747932"/>
    <w:rsid w:val="00751A4A"/>
    <w:rsid w:val="00756632"/>
    <w:rsid w:val="00756EDB"/>
    <w:rsid w:val="00762C74"/>
    <w:rsid w:val="00786EC0"/>
    <w:rsid w:val="007D1690"/>
    <w:rsid w:val="007E22AD"/>
    <w:rsid w:val="00817416"/>
    <w:rsid w:val="00842779"/>
    <w:rsid w:val="00865F67"/>
    <w:rsid w:val="00881A7B"/>
    <w:rsid w:val="008840E5"/>
    <w:rsid w:val="00887B3E"/>
    <w:rsid w:val="008C2AC6"/>
    <w:rsid w:val="0090613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114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FE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DAF5E"/>
  <w15:chartTrackingRefBased/>
  <w15:docId w15:val="{150C5452-239C-437A-BEE3-EED1CCFC5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59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599A"/>
    <w:pPr>
      <w:spacing w:before="480" w:after="240"/>
    </w:pPr>
  </w:style>
  <w:style w:type="paragraph" w:customStyle="1" w:styleId="PageHeading">
    <w:name w:val="PageHeading"/>
    <w:basedOn w:val="Normal"/>
    <w:rsid w:val="0016599A"/>
    <w:pPr>
      <w:keepNext/>
      <w:spacing w:after="480"/>
      <w:jc w:val="center"/>
    </w:pPr>
    <w:rPr>
      <w:rFonts w:ascii="Arial" w:hAnsi="Arial" w:cs="Arial"/>
      <w:b/>
    </w:rPr>
  </w:style>
  <w:style w:type="paragraph" w:customStyle="1" w:styleId="NormalBold">
    <w:name w:val="NormalBold"/>
    <w:basedOn w:val="Normal"/>
    <w:rsid w:val="0016599A"/>
    <w:rPr>
      <w:b/>
    </w:rPr>
  </w:style>
  <w:style w:type="paragraph" w:customStyle="1" w:styleId="NormalHanging12a">
    <w:name w:val="NormalHanging12a"/>
    <w:basedOn w:val="Normal"/>
    <w:link w:val="NormalHanging12aChar"/>
    <w:rsid w:val="0016599A"/>
    <w:pPr>
      <w:spacing w:after="240"/>
      <w:ind w:left="567" w:hanging="567"/>
    </w:pPr>
  </w:style>
  <w:style w:type="paragraph" w:customStyle="1" w:styleId="NormalCenter12a">
    <w:name w:val="NormalCenter12a"/>
    <w:basedOn w:val="Normal"/>
    <w:rsid w:val="0016599A"/>
    <w:pPr>
      <w:spacing w:after="240"/>
      <w:jc w:val="center"/>
    </w:pPr>
  </w:style>
  <w:style w:type="paragraph" w:styleId="Header">
    <w:name w:val="header"/>
    <w:basedOn w:val="Normal"/>
    <w:link w:val="HeaderChar"/>
    <w:rsid w:val="0016599A"/>
    <w:pPr>
      <w:tabs>
        <w:tab w:val="center" w:pos="4513"/>
        <w:tab w:val="right" w:pos="9026"/>
      </w:tabs>
    </w:pPr>
  </w:style>
  <w:style w:type="character" w:customStyle="1" w:styleId="HeaderChar">
    <w:name w:val="Header Char"/>
    <w:basedOn w:val="DefaultParagraphFont"/>
    <w:link w:val="Header"/>
    <w:rsid w:val="0016599A"/>
    <w:rPr>
      <w:sz w:val="24"/>
      <w:lang w:val="nl-NL"/>
    </w:rPr>
  </w:style>
  <w:style w:type="paragraph" w:customStyle="1" w:styleId="EPFooter">
    <w:name w:val="EPFooter"/>
    <w:basedOn w:val="Normal"/>
    <w:rsid w:val="0016599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6599A"/>
    <w:rPr>
      <w:sz w:val="24"/>
      <w:lang w:val="nl-NL"/>
    </w:rPr>
  </w:style>
  <w:style w:type="paragraph" w:customStyle="1" w:styleId="Normal12Hanging">
    <w:name w:val="Normal12Hanging"/>
    <w:basedOn w:val="Normal"/>
    <w:rsid w:val="0016599A"/>
    <w:pPr>
      <w:spacing w:after="240"/>
      <w:ind w:left="567" w:hanging="567"/>
    </w:pPr>
  </w:style>
  <w:style w:type="character" w:styleId="CommentReference">
    <w:name w:val="annotation reference"/>
    <w:basedOn w:val="DefaultParagraphFont"/>
    <w:rsid w:val="001827A0"/>
    <w:rPr>
      <w:sz w:val="16"/>
      <w:szCs w:val="16"/>
    </w:rPr>
  </w:style>
  <w:style w:type="paragraph" w:styleId="CommentText">
    <w:name w:val="annotation text"/>
    <w:basedOn w:val="Normal"/>
    <w:link w:val="CommentTextChar"/>
    <w:rsid w:val="001827A0"/>
    <w:rPr>
      <w:sz w:val="20"/>
    </w:rPr>
  </w:style>
  <w:style w:type="character" w:customStyle="1" w:styleId="CommentTextChar">
    <w:name w:val="Comment Text Char"/>
    <w:basedOn w:val="DefaultParagraphFont"/>
    <w:link w:val="CommentText"/>
    <w:rsid w:val="001827A0"/>
    <w:rPr>
      <w:lang w:val="nl-NL"/>
    </w:rPr>
  </w:style>
  <w:style w:type="paragraph" w:styleId="CommentSubject">
    <w:name w:val="annotation subject"/>
    <w:basedOn w:val="CommentText"/>
    <w:next w:val="CommentText"/>
    <w:link w:val="CommentSubjectChar"/>
    <w:rsid w:val="001827A0"/>
    <w:rPr>
      <w:b/>
      <w:bCs/>
    </w:rPr>
  </w:style>
  <w:style w:type="character" w:customStyle="1" w:styleId="CommentSubjectChar">
    <w:name w:val="Comment Subject Char"/>
    <w:basedOn w:val="CommentTextChar"/>
    <w:link w:val="CommentSubject"/>
    <w:rsid w:val="001827A0"/>
    <w:rPr>
      <w:b/>
      <w:bCs/>
      <w:lang w:val="nl-NL"/>
    </w:rPr>
  </w:style>
  <w:style w:type="paragraph" w:styleId="BalloonText">
    <w:name w:val="Balloon Text"/>
    <w:basedOn w:val="Normal"/>
    <w:link w:val="BalloonTextChar"/>
    <w:rsid w:val="001827A0"/>
    <w:rPr>
      <w:rFonts w:ascii="Segoe UI" w:hAnsi="Segoe UI" w:cs="Segoe UI"/>
      <w:sz w:val="18"/>
      <w:szCs w:val="18"/>
    </w:rPr>
  </w:style>
  <w:style w:type="character" w:customStyle="1" w:styleId="BalloonTextChar">
    <w:name w:val="Balloon Text Char"/>
    <w:basedOn w:val="DefaultParagraphFont"/>
    <w:link w:val="BalloonText"/>
    <w:rsid w:val="001827A0"/>
    <w:rPr>
      <w:rFonts w:ascii="Segoe UI" w:hAnsi="Segoe UI" w:cs="Segoe UI"/>
      <w:sz w:val="18"/>
      <w:szCs w:val="18"/>
      <w:lang w:val="nl-NL"/>
    </w:rPr>
  </w:style>
  <w:style w:type="paragraph" w:styleId="Footer">
    <w:name w:val="footer"/>
    <w:basedOn w:val="Normal"/>
    <w:link w:val="FooterChar"/>
    <w:rsid w:val="00756EDB"/>
    <w:pPr>
      <w:tabs>
        <w:tab w:val="center" w:pos="4513"/>
        <w:tab w:val="right" w:pos="9026"/>
      </w:tabs>
    </w:pPr>
  </w:style>
  <w:style w:type="character" w:customStyle="1" w:styleId="FooterChar">
    <w:name w:val="Footer Char"/>
    <w:basedOn w:val="DefaultParagraphFont"/>
    <w:link w:val="Footer"/>
    <w:rsid w:val="00756ED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DC3AE-1B6B-43E5-BF3B-BE540C2AB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4103</Words>
  <Characters>23821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2024-05-15T11:09:00Z</dcterms:created>
  <dcterms:modified xsi:type="dcterms:W3CDTF">2024-05-15T11:09:00Z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P9_TA(2024)0241_</vt:lpwstr>
  </property>
  <property fmtid="{D5CDD505-2E9C-101B-9397-08002B2CF9AE}" pid="4" name="&lt;Type&gt;">
    <vt:lpwstr>RR</vt:lpwstr>
  </property>
</Properties>
</file>