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4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44B0" w:rsidRDefault="00140B8F" w:rsidP="0010095E">
            <w:pPr>
              <w:pStyle w:val="EPName"/>
            </w:pPr>
            <w:r w:rsidRPr="005C44B0">
              <w:t>Parlamento Europeu</w:t>
            </w:r>
          </w:p>
          <w:p w:rsidR="00751A4A" w:rsidRPr="005C44B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4B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44B0" w:rsidRDefault="00187494" w:rsidP="0010095E">
            <w:pPr>
              <w:pStyle w:val="EPLogo"/>
            </w:pPr>
            <w:r w:rsidRPr="005C44B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44B0" w:rsidRDefault="00D058B8" w:rsidP="004C5D52">
      <w:pPr>
        <w:pStyle w:val="LineTop"/>
      </w:pPr>
    </w:p>
    <w:p w:rsidR="00680577" w:rsidRPr="005C44B0" w:rsidRDefault="00140B8F" w:rsidP="00680577">
      <w:pPr>
        <w:pStyle w:val="EPBodyTA1"/>
      </w:pPr>
      <w:r w:rsidRPr="005C44B0">
        <w:t>TEXTOS APROVADOS</w:t>
      </w:r>
    </w:p>
    <w:p w:rsidR="00D058B8" w:rsidRPr="005C44B0" w:rsidRDefault="00D058B8" w:rsidP="00D058B8">
      <w:pPr>
        <w:pStyle w:val="LineBottom"/>
      </w:pPr>
    </w:p>
    <w:p w:rsidR="00140B8F" w:rsidRPr="005C44B0" w:rsidRDefault="00140B8F" w:rsidP="00140B8F">
      <w:pPr>
        <w:pStyle w:val="ATHeading1"/>
      </w:pPr>
      <w:bookmarkStart w:id="0" w:name="TANumber"/>
      <w:r w:rsidRPr="005C44B0">
        <w:t>P9_</w:t>
      </w:r>
      <w:proofErr w:type="gramStart"/>
      <w:r w:rsidRPr="005C44B0">
        <w:t>TA(</w:t>
      </w:r>
      <w:proofErr w:type="gramEnd"/>
      <w:r w:rsidRPr="005C44B0">
        <w:t>2024)0</w:t>
      </w:r>
      <w:r w:rsidR="00137CC7">
        <w:t>241</w:t>
      </w:r>
      <w:bookmarkEnd w:id="0"/>
    </w:p>
    <w:p w:rsidR="00140B8F" w:rsidRPr="005C44B0" w:rsidRDefault="00140B8F" w:rsidP="00140B8F">
      <w:pPr>
        <w:pStyle w:val="ATHeading2"/>
      </w:pPr>
      <w:bookmarkStart w:id="1" w:name="title"/>
      <w:r w:rsidRPr="005C44B0">
        <w:t>Quitação 2022: Observatório Europeu da Droga e da Toxicodependência</w:t>
      </w:r>
      <w:bookmarkEnd w:id="1"/>
    </w:p>
    <w:p w:rsidR="00140B8F" w:rsidRPr="005C44B0" w:rsidRDefault="00140B8F" w:rsidP="00140B8F">
      <w:pPr>
        <w:rPr>
          <w:i/>
          <w:vanish/>
        </w:rPr>
      </w:pPr>
      <w:r w:rsidRPr="005C44B0">
        <w:rPr>
          <w:i/>
        </w:rPr>
        <w:fldChar w:fldCharType="begin"/>
      </w:r>
      <w:r w:rsidRPr="005C44B0">
        <w:rPr>
          <w:i/>
        </w:rPr>
        <w:instrText xml:space="preserve"> TC"(</w:instrText>
      </w:r>
      <w:bookmarkStart w:id="2" w:name="DocNumber"/>
      <w:r w:rsidRPr="005C44B0">
        <w:rPr>
          <w:i/>
        </w:rPr>
        <w:instrText>A9-0104/2024</w:instrText>
      </w:r>
      <w:bookmarkEnd w:id="2"/>
      <w:r w:rsidRPr="005C44B0">
        <w:rPr>
          <w:i/>
        </w:rPr>
        <w:instrText xml:space="preserve"> - Relator: Petri </w:instrText>
      </w:r>
      <w:proofErr w:type="spellStart"/>
      <w:r w:rsidRPr="005C44B0">
        <w:rPr>
          <w:i/>
        </w:rPr>
        <w:instrText>Sarvamaa</w:instrText>
      </w:r>
      <w:proofErr w:type="spellEnd"/>
      <w:r w:rsidRPr="005C44B0">
        <w:rPr>
          <w:i/>
        </w:rPr>
        <w:instrText xml:space="preserve">)"\l3 \n&gt; \* MERGEFORMAT </w:instrText>
      </w:r>
      <w:r w:rsidRPr="005C44B0">
        <w:rPr>
          <w:i/>
        </w:rPr>
        <w:fldChar w:fldCharType="end"/>
      </w:r>
    </w:p>
    <w:p w:rsidR="00140B8F" w:rsidRPr="005C44B0" w:rsidRDefault="00140B8F" w:rsidP="00140B8F">
      <w:pPr>
        <w:rPr>
          <w:vanish/>
        </w:rPr>
      </w:pPr>
      <w:bookmarkStart w:id="3" w:name="Commission"/>
      <w:r w:rsidRPr="005C44B0">
        <w:rPr>
          <w:vanish/>
        </w:rPr>
        <w:t>Comissão do Controlo Orçamental</w:t>
      </w:r>
      <w:bookmarkEnd w:id="3"/>
    </w:p>
    <w:p w:rsidR="00140B8F" w:rsidRPr="005C44B0" w:rsidRDefault="00140B8F" w:rsidP="00140B8F">
      <w:pPr>
        <w:rPr>
          <w:vanish/>
        </w:rPr>
      </w:pPr>
      <w:bookmarkStart w:id="4" w:name="PE"/>
      <w:r w:rsidRPr="005C44B0">
        <w:rPr>
          <w:vanish/>
        </w:rPr>
        <w:t>PE753.525</w:t>
      </w:r>
      <w:bookmarkEnd w:id="4"/>
    </w:p>
    <w:p w:rsidR="00140B8F" w:rsidRPr="005C44B0" w:rsidRDefault="004236E9" w:rsidP="00140B8F">
      <w:pPr>
        <w:pStyle w:val="ATHeading3"/>
      </w:pPr>
      <w:bookmarkStart w:id="5" w:name="Sujet"/>
      <w:r>
        <w:t xml:space="preserve">1. </w:t>
      </w:r>
      <w:r w:rsidR="00140B8F" w:rsidRPr="005C44B0">
        <w:t xml:space="preserve">Decisão do Parlamento Europeu, de </w:t>
      </w:r>
      <w:r>
        <w:t>11</w:t>
      </w:r>
      <w:r w:rsidR="00140B8F" w:rsidRPr="005C44B0">
        <w:t xml:space="preserve"> de </w:t>
      </w:r>
      <w:r>
        <w:t>abril</w:t>
      </w:r>
      <w:r w:rsidR="00140B8F" w:rsidRPr="005C44B0">
        <w:t xml:space="preserve"> de 2024, sobre a quitação pela execução do orçamento do Observatório Europeu da Droga e da Toxicodependência para o exercício de 2022</w:t>
      </w:r>
      <w:bookmarkEnd w:id="5"/>
      <w:r w:rsidR="00140B8F" w:rsidRPr="005C44B0">
        <w:t xml:space="preserve"> </w:t>
      </w:r>
      <w:bookmarkStart w:id="6" w:name="References"/>
      <w:r w:rsidR="00140B8F" w:rsidRPr="005C44B0">
        <w:t>(2023/2157(DEC))</w:t>
      </w:r>
      <w:bookmarkEnd w:id="6"/>
    </w:p>
    <w:p w:rsidR="00D975E8" w:rsidRPr="005C44B0" w:rsidRDefault="00D975E8" w:rsidP="00D975E8">
      <w:pPr>
        <w:pStyle w:val="EPComma"/>
      </w:pPr>
      <w:bookmarkStart w:id="7" w:name="TextBodyBegin"/>
      <w:bookmarkEnd w:id="7"/>
      <w:r w:rsidRPr="005C44B0">
        <w:rPr>
          <w:i/>
        </w:rPr>
        <w:t>O Parlamento Europeu</w:t>
      </w:r>
      <w:r w:rsidRPr="005C44B0">
        <w:t>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Atendendo às contas anuais definitivas do Observatório Europeu da Droga e da Toxicodependência relativas ao exercício de 2022,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Atendendo ao relatório anual do Tribunal de Contas sobre as agências da UE relativo ao exercício de 2022, acompanhado das respostas das agências</w:t>
      </w:r>
      <w:r w:rsidRPr="005C44B0">
        <w:rPr>
          <w:rStyle w:val="FootnoteReference"/>
        </w:rPr>
        <w:footnoteReference w:id="1"/>
      </w:r>
      <w:r w:rsidRPr="005C44B0">
        <w:t>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Atendendo à declaração relativa à fiabilidade das contas e à legalidade e regularidade das operações subjacentes</w:t>
      </w:r>
      <w:r w:rsidRPr="005C44B0">
        <w:rPr>
          <w:rStyle w:val="FootnoteReference"/>
        </w:rPr>
        <w:footnoteReference w:id="2"/>
      </w:r>
      <w:r w:rsidRPr="005C44B0">
        <w:t>, emitida pelo Tribunal de Contas para o exercício de 2022, nos termos do artigo 287.º do Tratado sobre o Funcionamento da União Europeia,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a Recomendação do Conselho, de 22 de fevereiro de 2024, sobre a quitação a dar ao Observatório quanto à execução do orçamento para o exercício de 2022 (</w:t>
      </w:r>
      <w:r w:rsidR="004236E9">
        <w:t>06180</w:t>
      </w:r>
      <w:r w:rsidRPr="005C44B0">
        <w:t>/2024 – C9</w:t>
      </w:r>
      <w:r w:rsidRPr="005C44B0">
        <w:noBreakHyphen/>
        <w:t>00</w:t>
      </w:r>
      <w:r w:rsidR="004236E9">
        <w:t>95</w:t>
      </w:r>
      <w:r w:rsidRPr="005C44B0">
        <w:t>/2024),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artigo 319.º do Tratado sobre o Funcionamento da União Europeia,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 1301/2013, (UE) n.º 1303/2013, (UE) n.º 1304/2013, (UE) n.º 1309/2013, (UE) n.º 1316/2013, (UE) n.º 223/2014 e (UE) n.º 283/2014, e a Decisão n.º 541/2014/UE, e revoga o Regulamento (UE, Euratom) n.º 966/2012</w:t>
      </w:r>
      <w:r w:rsidRPr="005C44B0">
        <w:rPr>
          <w:rStyle w:val="FootnoteReference"/>
        </w:rPr>
        <w:footnoteReference w:id="3"/>
      </w:r>
      <w:r w:rsidRPr="005C44B0">
        <w:t>, nomeadamente o artigo 70.º,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 xml:space="preserve">Tendo em conta o Regulamento (CE) n.º 1920/2006 do Parlamento Europeu e do Conselho, de 12 de dezembro de 2006, relativo ao Observatório Europeu da Droga e da </w:t>
      </w:r>
      <w:r w:rsidRPr="005C44B0">
        <w:lastRenderedPageBreak/>
        <w:t>Toxicodependência</w:t>
      </w:r>
      <w:r w:rsidRPr="005C44B0">
        <w:rPr>
          <w:rStyle w:val="FootnoteReference"/>
        </w:rPr>
        <w:footnoteReference w:id="4"/>
      </w:r>
      <w:r w:rsidRPr="005C44B0">
        <w:t>, nomeadamente o artigo 15.º,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Regulamento (UE) 2023/1322 do Parlamento Europeu e do Conselho, de 27 de junho de 2023, relativo à Agência da União Europeia sobre Drogas (EUDA) e que revoga o Regulamento (CE) n.º 1920/2006</w:t>
      </w:r>
      <w:r w:rsidRPr="005C44B0">
        <w:rPr>
          <w:rStyle w:val="FootnoteReference"/>
        </w:rPr>
        <w:footnoteReference w:id="5"/>
      </w:r>
      <w:r w:rsidRPr="005C44B0">
        <w:t>, nomeadamente o artigo</w:t>
      </w:r>
      <w:r w:rsidR="004236E9">
        <w:t> </w:t>
      </w:r>
      <w:r w:rsidRPr="005C44B0">
        <w:t>41.º,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Regulamento Delegado (UE) 2019/715 da Comissão, de 18 de dezembro de 2018, que institui o regulamento financeiro</w:t>
      </w:r>
      <w:r w:rsidRPr="005C44B0">
        <w:noBreakHyphen/>
        <w:t>quadro dos organismos criados ao abrigo do TFUE e do Tratado Euratom e referidos no artigo 70.º do Regulamento (UE, Euratom) 2018/1046 do Parlamento Europeu e do Conselho</w:t>
      </w:r>
      <w:r w:rsidRPr="005C44B0">
        <w:rPr>
          <w:rStyle w:val="FootnoteReference"/>
        </w:rPr>
        <w:footnoteReference w:id="6"/>
      </w:r>
      <w:r w:rsidRPr="005C44B0">
        <w:t>, nomeadamente o artigo 105.º,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artigo 100.º e o anexo V do seu Regimento,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parecer da Comissão das Liberdades Cívicas, da Justiça e dos Assuntos Internos,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relatório da Comissão do Controlo Orçamental (A9</w:t>
      </w:r>
      <w:r w:rsidRPr="005C44B0">
        <w:noBreakHyphen/>
        <w:t>0104/2024),</w:t>
      </w:r>
    </w:p>
    <w:p w:rsidR="00D975E8" w:rsidRPr="005C44B0" w:rsidRDefault="00D975E8" w:rsidP="00D975E8">
      <w:pPr>
        <w:pStyle w:val="NormalHanging12a"/>
      </w:pPr>
      <w:proofErr w:type="gramStart"/>
      <w:r w:rsidRPr="005C44B0">
        <w:t>1.</w:t>
      </w:r>
      <w:r w:rsidRPr="005C44B0">
        <w:tab/>
        <w:t>Dá</w:t>
      </w:r>
      <w:proofErr w:type="gramEnd"/>
      <w:r w:rsidRPr="005C44B0">
        <w:t xml:space="preserve"> quitação ao Diretor do Observatório Europeu da Droga e da Toxicodependência pela execução do orçamento do Observatório para o exercício de 2022;</w:t>
      </w:r>
    </w:p>
    <w:p w:rsidR="00D975E8" w:rsidRPr="005C44B0" w:rsidRDefault="00D975E8" w:rsidP="00D975E8">
      <w:pPr>
        <w:pStyle w:val="NormalHanging12a"/>
      </w:pPr>
      <w:proofErr w:type="gramStart"/>
      <w:r w:rsidRPr="005C44B0">
        <w:t>2.</w:t>
      </w:r>
      <w:r w:rsidRPr="005C44B0">
        <w:tab/>
        <w:t>Regista</w:t>
      </w:r>
      <w:proofErr w:type="gramEnd"/>
      <w:r w:rsidRPr="005C44B0">
        <w:t xml:space="preserve"> as suas observações na resolução que se segue;</w:t>
      </w:r>
    </w:p>
    <w:p w:rsidR="00D975E8" w:rsidRPr="005C44B0" w:rsidRDefault="00D975E8" w:rsidP="00D975E8">
      <w:pPr>
        <w:pStyle w:val="NormalHanging12a"/>
      </w:pPr>
      <w:proofErr w:type="gramStart"/>
      <w:r w:rsidRPr="005C44B0">
        <w:t>3.</w:t>
      </w:r>
      <w:r w:rsidRPr="005C44B0">
        <w:tab/>
        <w:t>Encarrega</w:t>
      </w:r>
      <w:proofErr w:type="gramEnd"/>
      <w:r w:rsidRPr="005C44B0">
        <w:t xml:space="preserve"> a sua Presidente de transmitir a presente decisão e a resolução que desta constitui parte integrante ao Diretor do Observatório Europeu da Droga e da Toxicodependência, ao Conselho, à Comissão e ao Tribunal de Contas e de prover à respetiva publicação no </w:t>
      </w:r>
      <w:r w:rsidRPr="005C44B0">
        <w:rPr>
          <w:i/>
        </w:rPr>
        <w:t>Jornal Oficial da União Europeia</w:t>
      </w:r>
      <w:r w:rsidRPr="005C44B0">
        <w:t xml:space="preserve"> (série L).</w:t>
      </w:r>
    </w:p>
    <w:p w:rsidR="00D975E8" w:rsidRPr="005C44B0" w:rsidRDefault="00D975E8" w:rsidP="00D975E8"/>
    <w:p w:rsidR="00D975E8" w:rsidRPr="005C44B0" w:rsidRDefault="00D975E8" w:rsidP="00D975E8">
      <w:pPr>
        <w:pStyle w:val="PageHeading"/>
        <w:sectPr w:rsidR="00D975E8" w:rsidRPr="005C44B0" w:rsidSect="003C6D3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975E8" w:rsidRPr="005C44B0" w:rsidRDefault="00D975E8" w:rsidP="005C44B0">
      <w:pPr>
        <w:pStyle w:val="ATHeading3"/>
      </w:pPr>
      <w:bookmarkStart w:id="8" w:name="_Toc161825403"/>
      <w:r w:rsidRPr="005C44B0">
        <w:lastRenderedPageBreak/>
        <w:t xml:space="preserve">2. </w:t>
      </w:r>
      <w:bookmarkEnd w:id="8"/>
      <w:r w:rsidR="005C44B0">
        <w:t xml:space="preserve">Decisão do Parlamento Europeu, de 11 de abril de 2024, </w:t>
      </w:r>
      <w:r w:rsidRPr="005C44B0">
        <w:t>sobre o encerramento das contas do Observatório Europeu da Droga e da Toxicodependência relativas ao exercício de 2022</w:t>
      </w:r>
      <w:r w:rsidR="005C44B0">
        <w:t xml:space="preserve"> (2023</w:t>
      </w:r>
      <w:r w:rsidRPr="005C44B0">
        <w:t>/2157(DEC))</w:t>
      </w:r>
    </w:p>
    <w:p w:rsidR="00D975E8" w:rsidRPr="005C44B0" w:rsidRDefault="00D975E8" w:rsidP="00D975E8">
      <w:pPr>
        <w:pStyle w:val="EPComma"/>
      </w:pPr>
      <w:r w:rsidRPr="005C44B0">
        <w:rPr>
          <w:i/>
        </w:rPr>
        <w:t>O Parlamento Europeu</w:t>
      </w:r>
      <w:r w:rsidRPr="005C44B0">
        <w:t>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Atendendo às contas anuais definitivas do Observatório Europeu da Droga e da Toxicodependência relativas ao exercício de 2022,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Atendendo ao relatório anual do Tribunal de Contas sobre as agências da UE relativo ao exercício de 2022, acompanhado das respostas das agências</w:t>
      </w:r>
      <w:r w:rsidRPr="005C44B0">
        <w:rPr>
          <w:rStyle w:val="FootnoteReference"/>
        </w:rPr>
        <w:footnoteReference w:id="7"/>
      </w:r>
      <w:r w:rsidRPr="005C44B0">
        <w:t>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Atendendo à declaração relativa à fiabilidade das contas e à legalidade e regularidade das operações subjacentes</w:t>
      </w:r>
      <w:r w:rsidRPr="005C44B0">
        <w:rPr>
          <w:rStyle w:val="FootnoteReference"/>
        </w:rPr>
        <w:footnoteReference w:id="8"/>
      </w:r>
      <w:r w:rsidRPr="005C44B0">
        <w:t>, emitida pelo Tribunal de Contas para o exercício de 2022, nos termos do artigo 287.º do Tratado sobre o Funcionamento da União Europeia,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a Recomendação do Conselho, de 22 de fevereiro de 2024, sobre a quitação a dar ao Observatório quanto à execução do orçamento para o exercício d</w:t>
      </w:r>
      <w:r w:rsidR="001F7EE9">
        <w:t>e </w:t>
      </w:r>
      <w:r w:rsidRPr="005C44B0">
        <w:t>2022 (</w:t>
      </w:r>
      <w:r w:rsidR="001F7EE9">
        <w:t>061</w:t>
      </w:r>
      <w:r w:rsidR="004236E9">
        <w:t>80</w:t>
      </w:r>
      <w:r w:rsidRPr="005C44B0">
        <w:t>/2024 – C9</w:t>
      </w:r>
      <w:r w:rsidRPr="005C44B0">
        <w:noBreakHyphen/>
        <w:t>00</w:t>
      </w:r>
      <w:r w:rsidR="004236E9">
        <w:t>95</w:t>
      </w:r>
      <w:r w:rsidRPr="005C44B0">
        <w:t>/2024),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artigo 319.º do Tratado sobre o Funcionamento da União Europeia,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 1301/2013, (UE) n.º 1303/2013, (UE) n.º 1304/2013, (UE) n.º 1309/2013, (UE) n.º 1316/2013, (UE) n.º 223/2014 e (UE) n.º 283/2014, e a Decisão n.º 541/2014/UE, e revoga o Regulamento (UE, Euratom) n.º 966/2012</w:t>
      </w:r>
      <w:r w:rsidRPr="005C44B0">
        <w:rPr>
          <w:rStyle w:val="FootnoteReference"/>
        </w:rPr>
        <w:footnoteReference w:id="9"/>
      </w:r>
      <w:r w:rsidRPr="005C44B0">
        <w:t>, nomeadamente o artigo 70.º,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Regulamento (CE) n.º 1920/2006 do Parlamento Europeu e do Conselho, de 12 de dezembro de 2006, relativo ao Observatório Europeu da Droga e da Toxicodependência</w:t>
      </w:r>
      <w:r w:rsidRPr="005C44B0">
        <w:rPr>
          <w:rStyle w:val="FootnoteReference"/>
        </w:rPr>
        <w:footnoteReference w:id="10"/>
      </w:r>
      <w:r w:rsidRPr="005C44B0">
        <w:t>, nomeadamente o artigo 15.º,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Regulamento (UE) 2023/1322 do Parlamento Europeu e do Conselho, de 27 de junho de 2023, relativo à Agência da União Europeia sobre Drogas (EUDA) e que revoga o Regulamento (CE) n.º 1920/2006</w:t>
      </w:r>
      <w:r w:rsidRPr="005C44B0">
        <w:rPr>
          <w:rStyle w:val="FootnoteReference"/>
        </w:rPr>
        <w:footnoteReference w:id="11"/>
      </w:r>
      <w:r w:rsidR="001F7EE9">
        <w:t>, nomeadamente o artigo </w:t>
      </w:r>
      <w:bookmarkStart w:id="9" w:name="_GoBack"/>
      <w:bookmarkEnd w:id="9"/>
      <w:r w:rsidRPr="005C44B0">
        <w:t>41.º,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Regulamento Delegado (UE) 2019/715 da Comissão, de 18 de dezembro de 2018, que institui o regulamento financeiro</w:t>
      </w:r>
      <w:r w:rsidRPr="005C44B0">
        <w:noBreakHyphen/>
        <w:t>quadro dos organismos criados ao abrigo do TFUE e do Tratado Euratom e referidos no artigo 70.º do Regulamento (UE, Euratom) 2018/1046 do Parlamento Europeu e do Conselho</w:t>
      </w:r>
      <w:r w:rsidRPr="005C44B0">
        <w:rPr>
          <w:rStyle w:val="FootnoteReference"/>
        </w:rPr>
        <w:footnoteReference w:id="12"/>
      </w:r>
      <w:r w:rsidRPr="005C44B0">
        <w:t>, nomeadamente o artigo 105.º,</w:t>
      </w:r>
    </w:p>
    <w:p w:rsidR="00D975E8" w:rsidRPr="005C44B0" w:rsidRDefault="00D975E8" w:rsidP="00D975E8">
      <w:pPr>
        <w:pStyle w:val="NormalHanging12a"/>
      </w:pPr>
      <w:r w:rsidRPr="005C44B0">
        <w:lastRenderedPageBreak/>
        <w:t>–</w:t>
      </w:r>
      <w:r w:rsidRPr="005C44B0">
        <w:tab/>
        <w:t>Tendo em conta o artigo 100.º e o anexo V do seu Regimento,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parecer da Comissão das Liberdades Cívicas, da Justiça e dos Assuntos Internos,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relatório da Comissão do Controlo Orçamental (A9</w:t>
      </w:r>
      <w:r w:rsidRPr="005C44B0">
        <w:noBreakHyphen/>
        <w:t>0104/2024),</w:t>
      </w:r>
    </w:p>
    <w:p w:rsidR="00D975E8" w:rsidRPr="005C44B0" w:rsidRDefault="00D975E8" w:rsidP="00D975E8">
      <w:pPr>
        <w:pStyle w:val="NormalHanging12a"/>
      </w:pPr>
      <w:proofErr w:type="gramStart"/>
      <w:r w:rsidRPr="005C44B0">
        <w:t>1.</w:t>
      </w:r>
      <w:r w:rsidRPr="005C44B0">
        <w:tab/>
        <w:t>Aprova</w:t>
      </w:r>
      <w:proofErr w:type="gramEnd"/>
      <w:r w:rsidRPr="005C44B0">
        <w:t xml:space="preserve"> o encerramento das contas do Observatório Europeu da Droga e da Toxicodependência para o exercício de 2022;</w:t>
      </w:r>
    </w:p>
    <w:p w:rsidR="00D975E8" w:rsidRPr="005C44B0" w:rsidRDefault="00D975E8" w:rsidP="00D975E8">
      <w:pPr>
        <w:pStyle w:val="NormalHanging12a"/>
      </w:pPr>
      <w:proofErr w:type="gramStart"/>
      <w:r w:rsidRPr="005C44B0">
        <w:t>2.</w:t>
      </w:r>
      <w:r w:rsidRPr="005C44B0">
        <w:tab/>
        <w:t>Encarrega</w:t>
      </w:r>
      <w:proofErr w:type="gramEnd"/>
      <w:r w:rsidRPr="005C44B0">
        <w:t xml:space="preserve"> a sua Presidente de transmitir a presente decisão ao Diretor do Observatório Europeu da Droga e da Toxicodependência, ao Conselho, à Comissão e ao Tribunal de Contas e de prover à respetiva publicação no </w:t>
      </w:r>
      <w:r w:rsidRPr="005C44B0">
        <w:rPr>
          <w:i/>
        </w:rPr>
        <w:t>Jornal Oficial da União Europeia</w:t>
      </w:r>
      <w:r w:rsidRPr="005C44B0">
        <w:t xml:space="preserve"> (série</w:t>
      </w:r>
      <w:r w:rsidR="00F17874">
        <w:t> </w:t>
      </w:r>
      <w:r w:rsidRPr="005C44B0">
        <w:t>L).</w:t>
      </w:r>
    </w:p>
    <w:p w:rsidR="00D975E8" w:rsidRPr="005C44B0" w:rsidRDefault="00D975E8" w:rsidP="00D975E8"/>
    <w:p w:rsidR="00D975E8" w:rsidRPr="005C44B0" w:rsidRDefault="00D975E8" w:rsidP="00D975E8">
      <w:pPr>
        <w:pStyle w:val="PageHeading"/>
        <w:sectPr w:rsidR="00D975E8" w:rsidRPr="005C44B0" w:rsidSect="003C6D3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D975E8" w:rsidRPr="005C44B0" w:rsidRDefault="00D975E8" w:rsidP="005C44B0">
      <w:pPr>
        <w:pStyle w:val="ATHeading3"/>
      </w:pPr>
      <w:bookmarkStart w:id="10" w:name="_Toc161825404"/>
      <w:r w:rsidRPr="005C44B0">
        <w:lastRenderedPageBreak/>
        <w:t xml:space="preserve">3. </w:t>
      </w:r>
      <w:bookmarkEnd w:id="10"/>
      <w:r w:rsidR="005C44B0">
        <w:t xml:space="preserve">Resolução do Parlamento Europeu, de 11 de abril de 2024, </w:t>
      </w:r>
      <w:r w:rsidRPr="005C44B0">
        <w:t>que contém as observações que constituem parte integrante da decisão sobre a quitação pela execução do orçamento do Observatório Europeu da Droga e da Toxicodependência para o exercício de 2022</w:t>
      </w:r>
      <w:r w:rsidR="005C44B0">
        <w:t xml:space="preserve"> (2023</w:t>
      </w:r>
      <w:r w:rsidRPr="005C44B0">
        <w:t>/2157(DEC))</w:t>
      </w:r>
    </w:p>
    <w:p w:rsidR="00D975E8" w:rsidRPr="005C44B0" w:rsidRDefault="00D975E8" w:rsidP="00D975E8">
      <w:pPr>
        <w:pStyle w:val="EPComma"/>
      </w:pPr>
      <w:r w:rsidRPr="005C44B0">
        <w:rPr>
          <w:i/>
        </w:rPr>
        <w:t>O Parlamento Europeu</w:t>
      </w:r>
      <w:r w:rsidRPr="005C44B0">
        <w:t>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a sua decisão sobre a quitação pela execução do orçamento do Observatório Europeu da Droga e da Toxicodependência para o exercício de 2022,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artigo 100.º e o anexo V do seu Regimento,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parecer da Comissão das Liberdades Cívicas, da Justiça e dos Assuntos Internos,</w:t>
      </w:r>
    </w:p>
    <w:p w:rsidR="00D975E8" w:rsidRPr="005C44B0" w:rsidRDefault="00D975E8" w:rsidP="00D975E8">
      <w:pPr>
        <w:pStyle w:val="NormalHanging12a"/>
      </w:pPr>
      <w:r w:rsidRPr="005C44B0">
        <w:t>–</w:t>
      </w:r>
      <w:r w:rsidRPr="005C44B0">
        <w:tab/>
        <w:t>Tendo em conta o relatório da Comissão do Controlo Orçamental (A9</w:t>
      </w:r>
      <w:r w:rsidRPr="005C44B0">
        <w:noBreakHyphen/>
        <w:t>0104/2024),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A.</w:t>
      </w:r>
      <w:r w:rsidRPr="005C44B0">
        <w:tab/>
        <w:t>Considerando que, de acordo com o seu mapa de receitas e despesas</w:t>
      </w:r>
      <w:r w:rsidRPr="005C44B0">
        <w:rPr>
          <w:rStyle w:val="FootnoteReference"/>
          <w:szCs w:val="24"/>
        </w:rPr>
        <w:footnoteReference w:id="13"/>
      </w:r>
      <w:r w:rsidRPr="005C44B0">
        <w:t>, o orçamento definitivo do Observatório Europeu da Droga e da Toxicodependência («Observatório») para o exercício de 2022 foi de 18 893 136 </w:t>
      </w:r>
      <w:r w:rsidR="00753E25">
        <w:t>EUR</w:t>
      </w:r>
      <w:r w:rsidRPr="005C44B0">
        <w:t>, o que representa uma redução de 0,71 % em relação a 2021; que o orçamento do Observatório provém essencialmente (94 %) do orçamento da União;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B.</w:t>
      </w:r>
      <w:r w:rsidRPr="005C44B0">
        <w:tab/>
        <w:t>Considerando que o Tribunal de Contas («Tribunal»), no seu relatório sobre as contas anuais do Observatório para o exercício de 2022 («relatório do Tribunal»), afirma ter obtido garantias razoáveis de que as contas anuais do Observatório são fiáveis e as operações subjacentes são legais e regulares;</w:t>
      </w:r>
    </w:p>
    <w:p w:rsidR="00D975E8" w:rsidRPr="005C44B0" w:rsidRDefault="00D975E8" w:rsidP="00D975E8">
      <w:pPr>
        <w:pStyle w:val="Normal12Hanging"/>
        <w:rPr>
          <w:b/>
          <w:i/>
          <w:szCs w:val="24"/>
        </w:rPr>
      </w:pPr>
      <w:r w:rsidRPr="005C44B0">
        <w:rPr>
          <w:b/>
          <w:i/>
        </w:rPr>
        <w:t>Gestão orçamental e financeira</w:t>
      </w:r>
    </w:p>
    <w:p w:rsidR="00D975E8" w:rsidRPr="005C44B0" w:rsidRDefault="00D975E8" w:rsidP="00D975E8">
      <w:pPr>
        <w:pStyle w:val="NormalHanging12a"/>
        <w:rPr>
          <w:szCs w:val="24"/>
        </w:rPr>
      </w:pPr>
      <w:proofErr w:type="gramStart"/>
      <w:r w:rsidRPr="005C44B0">
        <w:t>1.</w:t>
      </w:r>
      <w:r w:rsidRPr="005C44B0">
        <w:tab/>
        <w:t>Observa</w:t>
      </w:r>
      <w:proofErr w:type="gramEnd"/>
      <w:r w:rsidRPr="005C44B0">
        <w:t xml:space="preserve"> com satisfação que os esforços de supervisão orçamental durante o exercício de 2022 resultaram numa taxa de execução orçamental de 98,78 % (um decréscimo de 1,22 % relativamente a 2021); faz notar que a taxa de execução das dotações de pagamento foi de 96,65 %, o que representa um ligeiro acréscimo de 0,30 % comparativamente a 2021; observa ainda que a taxa de execução das dotações para pagamentos transitadas de 2021 para 2022 foi de 88,98 %;</w:t>
      </w:r>
    </w:p>
    <w:p w:rsidR="00D975E8" w:rsidRPr="005C44B0" w:rsidRDefault="00D975E8" w:rsidP="00D975E8">
      <w:pPr>
        <w:pStyle w:val="NormalHanging12a"/>
      </w:pPr>
      <w:r w:rsidRPr="005C44B0">
        <w:t>2.</w:t>
      </w:r>
      <w:r w:rsidRPr="005C44B0">
        <w:tab/>
        <w:t xml:space="preserve">Verifica, com base no relatório do Tribunal, que o Observatório, embora só tenha pagado juros sobre um pagamento em atraso, registou um número considerável de pagamentos indevidamente assinalados como tardios (107 de 1 595) pela gestão financeira e contabilística do Observatório (contabilidade de exercício (ABAC)) devido a parâmetros incorretos e/ou a dados incorretos relativos à data de vencimento do pagamento ou à receção dos documentos que implicam uma obrigação de pagamento; regista, com base na resposta do Observatório, que a incoerência na sinalização de pagamentos em atraso não afetou a regularidade das operações em causa; regista igualmente que o Observatório adotou algumas medidas para minimizar o risco referido de «falsos positivos» e para garantir em maior medida que o seu sistema ABAC possa fornecer uma imagem clara e precisa dos atrasos de pagamento reais; insta o Observatório a continuar a acompanhar a questão e a atenuar eventuais riscos de </w:t>
      </w:r>
      <w:r w:rsidRPr="005C44B0">
        <w:lastRenderedPageBreak/>
        <w:t>reputação futuros que lhe estejam associados;</w:t>
      </w:r>
    </w:p>
    <w:p w:rsidR="00D975E8" w:rsidRPr="005C44B0" w:rsidRDefault="00D975E8" w:rsidP="00D975E8">
      <w:pPr>
        <w:pStyle w:val="Normal12Hanging"/>
        <w:ind w:left="0" w:firstLine="0"/>
        <w:rPr>
          <w:b/>
          <w:i/>
          <w:szCs w:val="24"/>
        </w:rPr>
      </w:pPr>
      <w:r w:rsidRPr="005C44B0">
        <w:rPr>
          <w:b/>
          <w:i/>
        </w:rPr>
        <w:t>Desempenho</w:t>
      </w:r>
    </w:p>
    <w:p w:rsidR="00D975E8" w:rsidRPr="005C44B0" w:rsidRDefault="00D975E8" w:rsidP="00D975E8">
      <w:pPr>
        <w:pStyle w:val="NormalHanging12a"/>
        <w:rPr>
          <w:szCs w:val="24"/>
        </w:rPr>
      </w:pPr>
      <w:r w:rsidRPr="005C44B0">
        <w:t>3.</w:t>
      </w:r>
      <w:r w:rsidRPr="005C44B0">
        <w:tab/>
        <w:t>Observa que o novo modelo de medição do desempenho do Observatório identifica um número limitado (10) de indicadores</w:t>
      </w:r>
      <w:r w:rsidRPr="005C44B0">
        <w:noBreakHyphen/>
        <w:t>chave de desempenho (ICD) compostos, que são utilizados para medir a eficácia na obtenção dos resultados pretendidos e a eficiência na utilização dos recursos afetados e são complementados por indicadores</w:t>
      </w:r>
      <w:r w:rsidRPr="005C44B0">
        <w:noBreakHyphen/>
        <w:t>chave de desempenho de nível mais elevado centrados nos resultados e nas consequências; constata que, no que respeita à avaliação dos ICD, o Observatório tinha definido 65 metas anuais, das quais 57 (87 %) foram alcançadas em 2022;</w:t>
      </w:r>
    </w:p>
    <w:p w:rsidR="00D975E8" w:rsidRPr="005C44B0" w:rsidRDefault="00D975E8" w:rsidP="00D975E8">
      <w:pPr>
        <w:pStyle w:val="NormalHanging12a"/>
        <w:rPr>
          <w:szCs w:val="24"/>
        </w:rPr>
      </w:pPr>
      <w:r w:rsidRPr="005C44B0">
        <w:t>4.</w:t>
      </w:r>
      <w:r w:rsidRPr="005C44B0">
        <w:tab/>
        <w:t>Assinala que, no que se refere ao programa de trabalho de 2022, o Observatório alcançou 152 das 188 realizações/resultados (81 %), tendo alcançado parcialmente 12 % deles (ou seja, 23 realizações/resultados, que sofreram atrasos e estavam em curso no final de 2022), ao passo que 12 resultados (6 %) não foram alcançados e outros dois não eram aplicáveis; regista a opinião do Observatório, segundo a qual a maioria dos atrasos ou cancelamentos de atividades em 2022 se deveram à falta de recursos; assinala, além disso, que, na perspetiva da execução do seu novo mandato (que deverá ser aplicável a partir de 2024), o Observatório iniciou, em 2022, preparativos que exigiram recursos essenciais e alguns ajustamentos em algumas das suas atividades previstas anteriormente;</w:t>
      </w:r>
    </w:p>
    <w:p w:rsidR="00D975E8" w:rsidRPr="005C44B0" w:rsidRDefault="00D975E8" w:rsidP="00D975E8">
      <w:pPr>
        <w:pStyle w:val="NormalHanging12a"/>
        <w:rPr>
          <w:szCs w:val="24"/>
        </w:rPr>
      </w:pPr>
      <w:r w:rsidRPr="005C44B0">
        <w:t>5.</w:t>
      </w:r>
      <w:r w:rsidRPr="005C44B0">
        <w:tab/>
        <w:t>Reconhece os esforços e os progressos realizados pelo Observatório nos seus três domínios de trabalho (saúde, segurança e fatores impulsionadores da atividade); toma nota, em particular, da publicação, em 2022, do novo Relatório Europeu sobre Drogas, que apresenta a mais recente panorâmica da situação das drogas na Europa até 2022, do lançamento da plataforma de aprendizagem eletrónica PLATO, que acolhe o Currículo de Prevenção da União Europeia, concebido para formar os profissionais que participam na elaboração de decisões, pareceres e políticas de prevenção na Europa, da publicação de sete miniguias que abrangem as respostas às drogas em contextos recreativos, comunidades locais, escolas e prisões, e que respondem às necessidades das famílias e das pessoas sem abrigo, e da publicação de três destaques sobre as salas de consumo vigiado, o controlo das drogas e a intervenção em matéria de saúde em linha;</w:t>
      </w:r>
    </w:p>
    <w:p w:rsidR="00D975E8" w:rsidRPr="005C44B0" w:rsidRDefault="00D975E8" w:rsidP="00D975E8">
      <w:pPr>
        <w:pStyle w:val="NormalHanging12a"/>
      </w:pPr>
      <w:r w:rsidRPr="005C44B0">
        <w:t>6.</w:t>
      </w:r>
      <w:r w:rsidRPr="005C44B0">
        <w:tab/>
        <w:t xml:space="preserve">Observa com satisfação que, em 2022, o Observatório publicou um novo estudo rápido de método misto sobre as tendências para avaliar a resposta inicial do serviço às necessidades dos ucranianos deslocados em países vizinhos da União; felicita o Observatório por colaborar com a Europol na elaboração da quarta edição do relatório conjunto intitulado «EU </w:t>
      </w:r>
      <w:proofErr w:type="spellStart"/>
      <w:r w:rsidRPr="005C44B0">
        <w:t>Drug</w:t>
      </w:r>
      <w:proofErr w:type="spellEnd"/>
      <w:r w:rsidRPr="005C44B0">
        <w:t xml:space="preserve"> </w:t>
      </w:r>
      <w:proofErr w:type="spellStart"/>
      <w:r w:rsidRPr="005C44B0">
        <w:t>Markets</w:t>
      </w:r>
      <w:proofErr w:type="spellEnd"/>
      <w:r w:rsidRPr="005C44B0">
        <w:t xml:space="preserve">: </w:t>
      </w:r>
      <w:proofErr w:type="spellStart"/>
      <w:r w:rsidRPr="005C44B0">
        <w:t>In‑depth</w:t>
      </w:r>
      <w:proofErr w:type="spellEnd"/>
      <w:r w:rsidRPr="005C44B0">
        <w:t> </w:t>
      </w:r>
      <w:proofErr w:type="spellStart"/>
      <w:r w:rsidRPr="005C44B0">
        <w:t>analysis</w:t>
      </w:r>
      <w:proofErr w:type="spellEnd"/>
      <w:r w:rsidRPr="005C44B0">
        <w:t xml:space="preserve">» [Mercados da droga na UE: análise aprofundada], cujos resultados são apresentados numa série de módulos, cada um dos quais incide no mercado de uma determinada droga e abrange as tendências ao longo da cadeia de abastecimento, desde a produção e o tráfico até à distribuição e ao consumo; louva, neste contexto, o lançamento, em 2022, dos dois primeiros módulos sobre a cocaína e a </w:t>
      </w:r>
      <w:proofErr w:type="spellStart"/>
      <w:r w:rsidRPr="005C44B0">
        <w:t>metanfetamina</w:t>
      </w:r>
      <w:proofErr w:type="spellEnd"/>
      <w:r w:rsidRPr="005C44B0">
        <w:t>;</w:t>
      </w:r>
    </w:p>
    <w:p w:rsidR="00D975E8" w:rsidRPr="005C44B0" w:rsidRDefault="00D975E8" w:rsidP="00D975E8">
      <w:pPr>
        <w:pStyle w:val="NormalHanging12a"/>
        <w:rPr>
          <w:szCs w:val="24"/>
        </w:rPr>
      </w:pPr>
      <w:r w:rsidRPr="005C44B0">
        <w:t>7.</w:t>
      </w:r>
      <w:r w:rsidRPr="005C44B0">
        <w:tab/>
        <w:t xml:space="preserve">Observa que, em 2022, o Observatório continuou a aplicar o Sistema de Alerta Rápido da União Europeia (SAR) em colaboração com os seus parceiros; observa ainda neste contexto que, em 2022, o SAR foi formalmente notificado pela primeira vez de 41 novas substâncias psicoativas; observa, além disso, que duas novas substâncias psicoativas cujo risco tinha sido avaliado pelo Observatório em 2021 </w:t>
      </w:r>
      <w:r w:rsidRPr="005C44B0">
        <w:lastRenderedPageBreak/>
        <w:t>[3</w:t>
      </w:r>
      <w:r w:rsidRPr="005C44B0">
        <w:noBreakHyphen/>
        <w:t>clorometcatinona (3</w:t>
      </w:r>
      <w:r w:rsidRPr="005C44B0">
        <w:noBreakHyphen/>
        <w:t>CMC) e 3</w:t>
      </w:r>
      <w:r w:rsidRPr="005C44B0">
        <w:noBreakHyphen/>
        <w:t>metilmetcatinona (3</w:t>
      </w:r>
      <w:r w:rsidRPr="005C44B0">
        <w:noBreakHyphen/>
        <w:t>MMC)] foram incluídas na definição de «droga» por uma diretiva delegada da Comissão em 2022;</w:t>
      </w:r>
    </w:p>
    <w:p w:rsidR="00D975E8" w:rsidRPr="005C44B0" w:rsidRDefault="00D975E8" w:rsidP="00D975E8">
      <w:pPr>
        <w:pStyle w:val="NormalHanging12a"/>
        <w:rPr>
          <w:szCs w:val="24"/>
        </w:rPr>
      </w:pPr>
      <w:r w:rsidRPr="005C44B0">
        <w:t>8.</w:t>
      </w:r>
      <w:r w:rsidRPr="005C44B0">
        <w:tab/>
        <w:t>Congratula</w:t>
      </w:r>
      <w:r w:rsidRPr="005C44B0">
        <w:noBreakHyphen/>
        <w:t>se com a participação do Observatório em ações de formação e de reforço das capacidades em matéria de drogas, que possibilitaram a transmissão dos seus conhecimentos a cerca de 950 profissionais que trabalham no domínio das drogas, incluindo agentes da autoridade e responsáveis políticos; constata, além disso, que cerca de 1 200 profissionais que trabalham no domínio das drogas em todo o mundo participaram nos sete seminários em linha organizados pelo Observatório em 2022; elogia o Observatório por ter organizado, em conjunto com os seus parceiros, a quarta Conferência Europeia sobre Comportamentos Aditivos e Dependências: «</w:t>
      </w:r>
      <w:proofErr w:type="spellStart"/>
      <w:r w:rsidRPr="005C44B0">
        <w:t>Lisbon</w:t>
      </w:r>
      <w:proofErr w:type="spellEnd"/>
      <w:r w:rsidRPr="005C44B0">
        <w:t xml:space="preserve"> </w:t>
      </w:r>
      <w:proofErr w:type="spellStart"/>
      <w:r w:rsidRPr="005C44B0">
        <w:t>Addictions</w:t>
      </w:r>
      <w:proofErr w:type="spellEnd"/>
      <w:r w:rsidRPr="005C44B0">
        <w:t xml:space="preserve"> 2022», que, no âmbito do tema global «Dependências a nível mundial», reuniu um número recorde de 1 757 participantes de 84 países;</w:t>
      </w:r>
    </w:p>
    <w:p w:rsidR="00D975E8" w:rsidRPr="005C44B0" w:rsidRDefault="00D975E8" w:rsidP="00D975E8">
      <w:pPr>
        <w:pStyle w:val="NormalHanging12a"/>
        <w:rPr>
          <w:szCs w:val="24"/>
        </w:rPr>
      </w:pPr>
      <w:proofErr w:type="gramStart"/>
      <w:r w:rsidRPr="005C44B0">
        <w:t>9.</w:t>
      </w:r>
      <w:r w:rsidRPr="005C44B0">
        <w:tab/>
        <w:t>Congratula</w:t>
      </w:r>
      <w:proofErr w:type="gramEnd"/>
      <w:r w:rsidRPr="005C44B0">
        <w:noBreakHyphen/>
        <w:t>se com os esforços incessantes do Observatório para realçar os aspetos sociais e o impacto social da droga, promover políticas de reinserção social direcionadas para consumidores de drogas e abordar o tema da droga através de uma perspetiva multidisciplinar; considera essencial continuar a sensibilizar para a importância, no que concerne às políticas de luta contra a droga, da prevenção e da adoção de uma abordagem inovadora baseada na saúde mental;</w:t>
      </w:r>
    </w:p>
    <w:p w:rsidR="00D975E8" w:rsidRPr="005C44B0" w:rsidRDefault="00D975E8" w:rsidP="00D975E8">
      <w:pPr>
        <w:pStyle w:val="NormalHanging12a"/>
      </w:pPr>
      <w:r w:rsidRPr="005C44B0">
        <w:t>10.</w:t>
      </w:r>
      <w:r w:rsidRPr="005C44B0">
        <w:tab/>
        <w:t>Congratula</w:t>
      </w:r>
      <w:r w:rsidRPr="005C44B0">
        <w:noBreakHyphen/>
        <w:t xml:space="preserve">se com os progressos realizados pelo Observatório no relatório conjunto intitulado «EU </w:t>
      </w:r>
      <w:proofErr w:type="spellStart"/>
      <w:r w:rsidRPr="005C44B0">
        <w:t>Drug</w:t>
      </w:r>
      <w:proofErr w:type="spellEnd"/>
      <w:r w:rsidRPr="005C44B0">
        <w:t xml:space="preserve"> </w:t>
      </w:r>
      <w:proofErr w:type="spellStart"/>
      <w:r w:rsidRPr="005C44B0">
        <w:t>Markets</w:t>
      </w:r>
      <w:proofErr w:type="spellEnd"/>
      <w:r w:rsidRPr="005C44B0">
        <w:t xml:space="preserve">: </w:t>
      </w:r>
      <w:proofErr w:type="spellStart"/>
      <w:r w:rsidRPr="005C44B0">
        <w:t>In‑depth</w:t>
      </w:r>
      <w:proofErr w:type="spellEnd"/>
      <w:r w:rsidRPr="005C44B0">
        <w:t> </w:t>
      </w:r>
      <w:proofErr w:type="spellStart"/>
      <w:r w:rsidRPr="005C44B0">
        <w:t>analysis</w:t>
      </w:r>
      <w:proofErr w:type="spellEnd"/>
      <w:r w:rsidRPr="005C44B0">
        <w:t xml:space="preserve">» [Mercados da droga na UE: análise aprofundada], em colaboração com a Europol, que apresenta módulos sobre drogas específicas disponibilizados ao longo de 2022 e com versões previstas para 2023; acolhe com agrado o trabalho realizado em 2022 para melhorar a qualidade e a disponibilidade dos dados de base, em colaboração com os pontos focais nacionais da </w:t>
      </w:r>
      <w:proofErr w:type="spellStart"/>
      <w:r w:rsidRPr="005C44B0">
        <w:t>Reitox</w:t>
      </w:r>
      <w:proofErr w:type="spellEnd"/>
      <w:r w:rsidRPr="005C44B0">
        <w:t xml:space="preserve"> e a Europol; saúda a execução de todas as tarefas do Observatório no âmbito dos planos de ação operacionais da Plataforma Multidisciplinar contra as Ameaças Criminosas incidentes sobre a canábis, a cocaína e a heroína;</w:t>
      </w:r>
      <w:r w:rsidRPr="005C44B0">
        <w:rPr>
          <w:rStyle w:val="FootnoteReference"/>
        </w:rPr>
        <w:t xml:space="preserve"> </w:t>
      </w:r>
      <w:r w:rsidRPr="005C44B0">
        <w:t>recorda que o tráfico de droga foi considerado uma das principais fontes de lucro e um canal de recrutamento para a criminalidade organizada e o terrorismo e assinala que o Observatório contribui para uma Europa mais segura;</w:t>
      </w:r>
    </w:p>
    <w:p w:rsidR="00D975E8" w:rsidRPr="005C44B0" w:rsidRDefault="00D975E8" w:rsidP="00D975E8">
      <w:pPr>
        <w:pStyle w:val="NormalHanging12a"/>
      </w:pPr>
      <w:proofErr w:type="gramStart"/>
      <w:r w:rsidRPr="005C44B0">
        <w:t>11.</w:t>
      </w:r>
      <w:r w:rsidRPr="005C44B0">
        <w:tab/>
        <w:t>Saúda</w:t>
      </w:r>
      <w:proofErr w:type="gramEnd"/>
      <w:r w:rsidRPr="005C44B0">
        <w:t xml:space="preserve"> a cooperação em curso a nível regional entre o Observatório e os países parceiros da política europeia de vizinhança, no quadro do projeto de assistência técnica EU4MD, bem como a execução em curso do projeto bilateral com a Geórgia (EMCDDA4GE); acolhe favoravelmente a criação de uma parceria oficial no âmbito do programa de cooperação entre a América Latina, as Caraíbas e a União Europeia sobre as políticas de luta contra a droga;</w:t>
      </w:r>
    </w:p>
    <w:p w:rsidR="00D975E8" w:rsidRPr="005C44B0" w:rsidRDefault="00D975E8" w:rsidP="00D975E8">
      <w:pPr>
        <w:pStyle w:val="Normal12Hanging"/>
        <w:rPr>
          <w:b/>
          <w:i/>
          <w:szCs w:val="24"/>
        </w:rPr>
      </w:pPr>
      <w:r w:rsidRPr="005C44B0">
        <w:rPr>
          <w:b/>
          <w:i/>
        </w:rPr>
        <w:t>Eficiência e ganhos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12.</w:t>
      </w:r>
      <w:r w:rsidRPr="005C44B0">
        <w:tab/>
        <w:t xml:space="preserve">Felicita o Observatório pelo seu empenho em melhorar constantemente a eficácia e a eficiência das suas atividades e maximizar a utilização dos seus recursos, conhecimentos especializados e conhecimentos específicos, a fim de contribuir, em última análise, para uma Europa mais segura e mais saudável, em particular através de acordos de cooperação com agências nos domínios da justiça e dos assuntos internos e da saúde; toma nota das medidas que o Observatório tomou para reduzir os custos de funcionamento das suas instalações, tais como a utilização de sombreamento solar nas superfícies de vidro e interruptores de climatização nas janelas; toma igualmente nota </w:t>
      </w:r>
      <w:r w:rsidRPr="005C44B0">
        <w:lastRenderedPageBreak/>
        <w:t>do acordo com a Agência Europeia da Segurança Marítima no sentido de partilhar a utilização de áreas comuns (cantina, áreas de estacionamento subterrâneas e instalações para conferências) no complexo onde se situa a sua sede, bem como da cooperação entre as duas agências no que diz respeito à aquisição conjunta de serviços partilhados (por exemplo, serviços de segurança, limpeza, restauração, entre outros) e à organização conjunta de ações de formação de interesse comum para o pessoal de ambas as agências;</w:t>
      </w:r>
    </w:p>
    <w:p w:rsidR="00D975E8" w:rsidRPr="005C44B0" w:rsidRDefault="00D975E8" w:rsidP="00D975E8">
      <w:pPr>
        <w:pStyle w:val="Normal12Hanging"/>
      </w:pPr>
      <w:proofErr w:type="gramStart"/>
      <w:r w:rsidRPr="005C44B0">
        <w:t>13.</w:t>
      </w:r>
      <w:r w:rsidRPr="005C44B0">
        <w:tab/>
        <w:t>Regista</w:t>
      </w:r>
      <w:proofErr w:type="gramEnd"/>
      <w:r w:rsidRPr="005C44B0">
        <w:t xml:space="preserve"> com satisfação que o Observatório dispõe de um plano estratégico («Estratégia Ambiental 2021</w:t>
      </w:r>
      <w:r w:rsidRPr="005C44B0">
        <w:noBreakHyphen/>
        <w:t>2025») para se tornar neutro em carbono e que incluiu no seu relatório anual de atividades métricas relativas ao seu desempenho ambiental e à sua pegada de CO</w:t>
      </w:r>
      <w:r w:rsidRPr="005C44B0">
        <w:rPr>
          <w:vertAlign w:val="subscript"/>
        </w:rPr>
        <w:t>2</w:t>
      </w:r>
      <w:r w:rsidRPr="005C44B0">
        <w:t>, cujos resultados anuais têm vindo a melhorar desde 2014; regozija</w:t>
      </w:r>
      <w:r w:rsidRPr="005C44B0">
        <w:noBreakHyphen/>
        <w:t xml:space="preserve">se com a decisão do </w:t>
      </w:r>
      <w:r w:rsidR="005F1C7F">
        <w:t>D</w:t>
      </w:r>
      <w:r w:rsidRPr="005C44B0">
        <w:t>iretor do Observatório, adotada em 2022, de obter a certificação EMAS, processo este que deveria estar concluído em 2023;</w:t>
      </w:r>
    </w:p>
    <w:p w:rsidR="00D975E8" w:rsidRPr="005C44B0" w:rsidRDefault="00D975E8" w:rsidP="00D975E8">
      <w:pPr>
        <w:pStyle w:val="Normal12Hanging"/>
      </w:pPr>
      <w:proofErr w:type="gramStart"/>
      <w:r w:rsidRPr="005C44B0">
        <w:t>14.</w:t>
      </w:r>
      <w:r w:rsidRPr="005C44B0">
        <w:tab/>
        <w:t>Verifica</w:t>
      </w:r>
      <w:proofErr w:type="gramEnd"/>
      <w:r w:rsidRPr="005C44B0">
        <w:t xml:space="preserve"> que, em 2022, o Observatório executou vários projetos destinados a melhorar o desempenho ambiental, nomeadamente melhorando o consumo de eletricidade, instalando células de energia solar no telhado do edifício e também pontos de partilha de automóveis elétricos, com vista a substituir os veículos da frota do Observatório por veículos elétricos ou híbridos;</w:t>
      </w:r>
    </w:p>
    <w:p w:rsidR="00D975E8" w:rsidRPr="005C44B0" w:rsidRDefault="00D975E8" w:rsidP="00D975E8">
      <w:pPr>
        <w:pStyle w:val="Normal12Hanging"/>
        <w:rPr>
          <w:b/>
          <w:i/>
          <w:szCs w:val="24"/>
        </w:rPr>
      </w:pPr>
      <w:r w:rsidRPr="005C44B0">
        <w:rPr>
          <w:b/>
          <w:i/>
        </w:rPr>
        <w:t>Política de pessoal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15.</w:t>
      </w:r>
      <w:r w:rsidRPr="005C44B0">
        <w:tab/>
        <w:t>Regista que, em 31 de dezembro de 2022, o quadro do pessoal estava preenchido a 97 %, tendo sido nomeados seis funcionários e 68 agentes temporários dos sete funcionários e 69 agentes temporários autorizados pelo orçamento da União (76 lugares autorizados em 2022, o mesmo número que em 2021); observa que, além disso, 27 agentes contratuais trabalharam para o Observatório em 2022; acolhe com agrado o estudo analítico do pessoal, realizado pelo Observatório em 2022, e a afetação eficaz e eficiente dos seus recursos, com 72,44 % do seu pessoal afetado a tarefas operacionais, 18,20 % a apoio administrativo e coordenação e 9,35 % a operações neutras; louva o Observatório pela sua baixa taxa de rotação do pessoal (2,9 %) em 2022;</w:t>
      </w:r>
    </w:p>
    <w:p w:rsidR="00D975E8" w:rsidRPr="005C44B0" w:rsidRDefault="00D975E8" w:rsidP="00D975E8">
      <w:pPr>
        <w:pStyle w:val="NormalHanging12a"/>
      </w:pPr>
      <w:r w:rsidRPr="005C44B0">
        <w:t>16.</w:t>
      </w:r>
      <w:r w:rsidRPr="005C44B0">
        <w:tab/>
        <w:t>Observa que o Observatório comunicou ter duas mulheres (22 %) e sete homens (78 %) nos seus quadros superiores e 20 mulheres (37 %) e 34 homens (63 %) no seu conselho de administração; regista que, no total, o quadro do pessoal é composto por 36 homens (38 %) e 58 mulheres (62 %); recorda a importância de assegurar o equilíbrio de género no quadro do pessoal e insta o Observatório a ter este aspeto em conta no que diz respeito aos futuros recrutamentos de pessoal e nomeações para os seus quadros superiores; solicita à Comissão e aos Estados</w:t>
      </w:r>
      <w:r w:rsidRPr="005C44B0">
        <w:noBreakHyphen/>
        <w:t>Membros que tenham em conta a importância de assegurar o equilíbrio de género nas nomeações dos membros do conselho de administração do Observatório;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17.</w:t>
      </w:r>
      <w:r w:rsidRPr="005C44B0">
        <w:tab/>
        <w:t>Toma nota do relatório do Observatório sobre as medidas de seguimento, adotadas à luz da quitação pela execução do orçamento do Observatório para o exercício de 2021 («relatório do Observatório»), para melhorar o equilíbrio de género no Observatório; observa que estas medidas foram adotadas no contexto dos processos de recrutamento do Observatório e da divulgação nos Estados</w:t>
      </w:r>
      <w:r w:rsidRPr="005C44B0">
        <w:noBreakHyphen/>
        <w:t>Membros de informações sobre o processo de seleção do Observatório; felicita o presidente do conselho de administração do Observatório por se dirigir às autoridades competentes dos Estados</w:t>
      </w:r>
      <w:r w:rsidRPr="005C44B0">
        <w:noBreakHyphen/>
        <w:t xml:space="preserve">Membros, da </w:t>
      </w:r>
      <w:r w:rsidRPr="005C44B0">
        <w:lastRenderedPageBreak/>
        <w:t>Noruega e da Turquia a fim de garantir o equilíbrio de género na nomeação dos seus membros do conselho de administração do Observatório; regista ainda, com base no relatório do Observatório, no que diz respeito à observação sobre a não utilização do SYSPER, que o Observatório desenvolveu e implantou as suas próprias ferramentas de tecnologias da informação e comunicação para a gestão digitalizada dos recursos humanos;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18.</w:t>
      </w:r>
      <w:r w:rsidRPr="005C44B0">
        <w:tab/>
        <w:t>Recorda, com base no relatório anual do Tribunal sobre as agências da União relativo ao exercício de 2018, a observação referente ao recrutamento de trabalhadores temporários através de um contrato</w:t>
      </w:r>
      <w:r w:rsidRPr="005C44B0">
        <w:noBreakHyphen/>
        <w:t>quadro, sem que sejam respeitados os requisitos da Diretiva 2008/104/CE</w:t>
      </w:r>
      <w:r w:rsidRPr="005C44B0">
        <w:rPr>
          <w:rStyle w:val="FootnoteReference"/>
          <w:szCs w:val="24"/>
        </w:rPr>
        <w:footnoteReference w:id="14"/>
      </w:r>
      <w:r w:rsidRPr="005C44B0">
        <w:t>, nem o direito laboral português; observa, com base no relatório do Tribunal, que esta observação foi encerrada, que o contrato</w:t>
      </w:r>
      <w:r w:rsidRPr="005C44B0">
        <w:noBreakHyphen/>
        <w:t>quadro em questão expirou em março de 2022 e que o último pagamento relativo aos trabalhadores temporários foi efetuado em janeiro de 2022;</w:t>
      </w:r>
    </w:p>
    <w:p w:rsidR="00D975E8" w:rsidRPr="005C44B0" w:rsidRDefault="00D975E8" w:rsidP="00D975E8">
      <w:pPr>
        <w:pStyle w:val="Normal12Hanging"/>
        <w:rPr>
          <w:b/>
          <w:i/>
          <w:szCs w:val="24"/>
        </w:rPr>
      </w:pPr>
      <w:r w:rsidRPr="005C44B0">
        <w:rPr>
          <w:b/>
          <w:i/>
        </w:rPr>
        <w:t>Contratação pública</w:t>
      </w:r>
    </w:p>
    <w:p w:rsidR="00D975E8" w:rsidRPr="005C44B0" w:rsidRDefault="00D975E8" w:rsidP="00D975E8">
      <w:pPr>
        <w:pStyle w:val="NormalHanging12a"/>
        <w:rPr>
          <w:szCs w:val="24"/>
        </w:rPr>
      </w:pPr>
      <w:r w:rsidRPr="005C44B0">
        <w:t>19.</w:t>
      </w:r>
      <w:r w:rsidRPr="005C44B0">
        <w:tab/>
        <w:t>Toma nota, com base no relatório do Tribunal, de que o montante (75 000 </w:t>
      </w:r>
      <w:r w:rsidR="00753E25">
        <w:t>EUR</w:t>
      </w:r>
      <w:r w:rsidRPr="005C44B0">
        <w:t>) correspondente a um contrato celebrado em 2022 não estava totalmente coberto por uma autorização orçamental correspondente, o que resultou num défice de 8 000 </w:t>
      </w:r>
      <w:r w:rsidR="00753E25">
        <w:t>EUR</w:t>
      </w:r>
      <w:r w:rsidRPr="005C44B0">
        <w:t>; observa que, em 2021, se verificou uma situação semelhante para o mesmo tipo de contrato e que, em ambos os casos, de acordo com o relatório do Tribunal, o Observatório não cumpriu os requisitos definidos no artigo 10.º, n.º 3, e do artigo 73.º, n.º 2, do Regulamento Financeiro do Observatório; reconhece, no entanto, com base na resposta do Observatório, que o custo do contrato foi repartido nos termos dos acordos celebrados com outras duas entidades que utilizam as instalações do Observatório em Lisboa; observa, neste contexto, que o Observatório teve de suportar apenas uma parte dos custos/despesas totais do contrato, que dependia das autorizações orçamentais correspondentes, ao passo que os restantes custos dependiam de operações contabilísticas de compensação/apuramento, uma vez que esses custos foram suportados pelas outras duas entidades;</w:t>
      </w:r>
    </w:p>
    <w:p w:rsidR="00D975E8" w:rsidRPr="005C44B0" w:rsidRDefault="00D975E8" w:rsidP="00D975E8">
      <w:pPr>
        <w:pStyle w:val="Normal12Hanging"/>
        <w:rPr>
          <w:b/>
          <w:i/>
          <w:szCs w:val="24"/>
        </w:rPr>
      </w:pPr>
      <w:r w:rsidRPr="005C44B0">
        <w:rPr>
          <w:b/>
          <w:i/>
        </w:rPr>
        <w:t>Prevenção e gestão de conflitos de interesses e transparência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20.</w:t>
      </w:r>
      <w:r w:rsidRPr="005C44B0">
        <w:tab/>
        <w:t>Toma conhecimento das medidas em vigor e dos esforços em curso do Observatório para garantir a transparência, prevenir e gerir os conflitos de interesses, bem como proteger os denunciantes de irregularidades; observa que, em 2022, não foi comunicado, investigado ou concluído nenhum caso de conflito de interesses nem de denúncia de irregularidades; regozija</w:t>
      </w:r>
      <w:r w:rsidRPr="005C44B0">
        <w:noBreakHyphen/>
        <w:t>se com o facto de o Observatório ter publicado no seu sítio Web as declarações de interesses e os CV dos seus quadros superiores, dos membros do seu conselho de administração e dos peritos externos que são membros do seu comité científico; recorda que, no caso dos membros do conselho de administração, apenas está disponível no sítio Web do Observatório um resumo das suas atividades profissionais atuais; toma nota do compromisso do Observatório de estudar, até ao final de 2023, a viabilidade de incluir também nos CV publicados a atividade profissional anterior desses membros;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21.</w:t>
      </w:r>
      <w:r w:rsidRPr="005C44B0">
        <w:tab/>
        <w:t xml:space="preserve">Constata que o Observatório não se reuniu com grupos de pressão em 2022; constata </w:t>
      </w:r>
      <w:r w:rsidRPr="005C44B0">
        <w:lastRenderedPageBreak/>
        <w:t>ainda que, em conformidade com as orientações e recomendações elaboradas pela Comissão e pelo Provedor de Justiça Europeu sobre esta matéria, o Observatório dispõe de um código de conduta e de recomendações/orientações práticas para a eventual interação do seu pessoal com representantes de grupos de interesses; constata, além disso, que, caso se realizem tais reuniões, essas orientações recomendam que a reunião seja registada e tornada pública; insta o Observatório a seguir essas orientações e a publicar essas reuniões sem demora;</w:t>
      </w:r>
    </w:p>
    <w:p w:rsidR="00D975E8" w:rsidRPr="005C44B0" w:rsidRDefault="00D975E8" w:rsidP="00D975E8">
      <w:pPr>
        <w:pStyle w:val="Normal12Hanging"/>
        <w:rPr>
          <w:b/>
          <w:i/>
          <w:szCs w:val="24"/>
        </w:rPr>
      </w:pPr>
      <w:r w:rsidRPr="005C44B0">
        <w:rPr>
          <w:b/>
          <w:i/>
        </w:rPr>
        <w:t>Controlo interno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22.</w:t>
      </w:r>
      <w:r w:rsidRPr="005C44B0">
        <w:tab/>
        <w:t>Observa que, em 2022, o Serviço de Auditoria Interna (SAI) realizou duas auditorias ao Observatório, nomeadamente à cooperação internacional e à adequação da coordenação e dos acordos de trabalho das direções</w:t>
      </w:r>
      <w:r w:rsidRPr="005C44B0">
        <w:noBreakHyphen/>
        <w:t>gerais parceiras e de outras partes interessadas, bem como do quadro de governação das agências descentralizadas da União; observa que os resultados dos dois projetos de auditoria ainda não estavam disponíveis no final de 2022, não existindo, nessa data, quaisquer riscos críticos nem recomendações do SAI pendentes, à exceção de uma recomendação, relativa à comunicação interna, de uma auditoria à gestão dos recursos humanos e às questões de ética realizada em 2021;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23.</w:t>
      </w:r>
      <w:r w:rsidRPr="005C44B0">
        <w:tab/>
        <w:t>Acolhe com agrado o resultado da avaliação de 2022 da eficácia dos sistemas de controlo interno do Observatório, segundo o qual todos os componentes estão presentes e funcionam; observa que a avaliação identificou cinco princípios do quadro de controlo interno que podem ser melhorados no que diz respeito ao ambiente de controlo, às atividades de controlo e à informação e comunicação; observa, além disso, que, em 2022, foi realizado um exercício exaustivo de identificação e avaliação de riscos destinado a melhorar a gestão de riscos no Observatório, na sequência do qual foram identificados riscos relacionados com o novo mandato do Observatório e o seu novo modelo estratégico; insta o Observatório a corrigir todas as insuficiências detetadas no âmbito das várias avaliações realizadas em 2022;</w:t>
      </w:r>
    </w:p>
    <w:p w:rsidR="00D975E8" w:rsidRPr="005C44B0" w:rsidRDefault="00D975E8" w:rsidP="00D975E8">
      <w:pPr>
        <w:pStyle w:val="Normal12Hanging"/>
      </w:pPr>
      <w:proofErr w:type="gramStart"/>
      <w:r w:rsidRPr="005C44B0">
        <w:t>24.</w:t>
      </w:r>
      <w:r w:rsidRPr="005C44B0">
        <w:tab/>
        <w:t>Regista</w:t>
      </w:r>
      <w:proofErr w:type="gramEnd"/>
      <w:r w:rsidRPr="005C44B0">
        <w:t xml:space="preserve"> que, em 2021, o Observatório adotou uma estratégia antifraude revista, com três objetivos estratégicos e um plano de ação para a sua execução em 2022, que, até ao final do ano, tinha sido amplamente aplicada, estando apenas uma das 12 ações ainda em aberto;</w:t>
      </w:r>
    </w:p>
    <w:p w:rsidR="00D975E8" w:rsidRPr="005C44B0" w:rsidRDefault="00D975E8" w:rsidP="00D975E8">
      <w:pPr>
        <w:pStyle w:val="Normal12Hanging"/>
        <w:rPr>
          <w:b/>
          <w:i/>
          <w:szCs w:val="24"/>
        </w:rPr>
      </w:pPr>
      <w:r w:rsidRPr="005C44B0">
        <w:rPr>
          <w:b/>
          <w:i/>
        </w:rPr>
        <w:t>Outras observações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25.</w:t>
      </w:r>
      <w:r w:rsidRPr="005C44B0">
        <w:tab/>
        <w:t>Elogia o Observatório pelos esforços de comunicação centrados em garantir a elaboração de publicações de elevada qualidade, com 66 publicações científicas e institucionais elaboradas em 2022 e 16 artigos científicos e capítulos de livros da autoria ou coautoria do Observatório e publicados em revistas de prestígio;</w:t>
      </w:r>
    </w:p>
    <w:p w:rsidR="00D975E8" w:rsidRPr="005C44B0" w:rsidRDefault="00D975E8" w:rsidP="00D975E8">
      <w:pPr>
        <w:pStyle w:val="Normal12Hanging"/>
        <w:rPr>
          <w:szCs w:val="24"/>
        </w:rPr>
      </w:pPr>
      <w:proofErr w:type="gramStart"/>
      <w:r w:rsidRPr="005C44B0">
        <w:t>26.</w:t>
      </w:r>
      <w:r w:rsidRPr="005C44B0">
        <w:tab/>
        <w:t>Acolhe</w:t>
      </w:r>
      <w:proofErr w:type="gramEnd"/>
      <w:r w:rsidRPr="005C44B0">
        <w:t xml:space="preserve"> favoravelmente o aumento significativo do público do Observatório, alcançado em 2022, em todos os canais; observa, neste contexto, que o Observatório teve cerca de 2,6 milhões de visitantes únicos no sítio Web, um número recorde (um aumento de quase 50 % em relação a 2021), 1,6 milhões de visualizações dos seus vídeos (um aumento de 15 % relativamente a 2021) e um aumento do número de seguidores em duas grandes redes sociais, </w:t>
      </w:r>
      <w:proofErr w:type="spellStart"/>
      <w:r w:rsidRPr="005C44B0">
        <w:t>LinkedIn</w:t>
      </w:r>
      <w:proofErr w:type="spellEnd"/>
      <w:r w:rsidRPr="005C44B0">
        <w:t xml:space="preserve"> (+57 %) e Instagram (+37 %);</w:t>
      </w:r>
    </w:p>
    <w:p w:rsidR="00D975E8" w:rsidRPr="005C44B0" w:rsidRDefault="00D975E8" w:rsidP="00D975E8">
      <w:pPr>
        <w:pStyle w:val="Normal12Hanging"/>
        <w:rPr>
          <w:szCs w:val="24"/>
        </w:rPr>
      </w:pPr>
      <w:r w:rsidRPr="005C44B0">
        <w:t>27.</w:t>
      </w:r>
      <w:r w:rsidRPr="005C44B0">
        <w:tab/>
        <w:t>Insta o Observatório a centrar a sua atenção na divulgação dos resultados da sua investigação junto do público em geral e a dirigir</w:t>
      </w:r>
      <w:r w:rsidRPr="005C44B0">
        <w:noBreakHyphen/>
        <w:t xml:space="preserve">se a este último através das redes </w:t>
      </w:r>
      <w:r w:rsidRPr="005C44B0">
        <w:lastRenderedPageBreak/>
        <w:t>sociais e de outros meios de comunicação social; congratula</w:t>
      </w:r>
      <w:r w:rsidRPr="005C44B0">
        <w:noBreakHyphen/>
        <w:t>se, a este respeito, com a acessibilidade dos utilizadores aos relatórios elaborados pelo Observatório;</w:t>
      </w:r>
    </w:p>
    <w:p w:rsidR="00D975E8" w:rsidRPr="005C44B0" w:rsidRDefault="00D975E8" w:rsidP="00D975E8">
      <w:pPr>
        <w:pStyle w:val="NormalHanging12a"/>
        <w:rPr>
          <w:szCs w:val="24"/>
        </w:rPr>
      </w:pPr>
      <w:proofErr w:type="gramStart"/>
      <w:r w:rsidRPr="005C44B0">
        <w:t>28.</w:t>
      </w:r>
      <w:r w:rsidRPr="005C44B0">
        <w:tab/>
        <w:t>Congratula</w:t>
      </w:r>
      <w:proofErr w:type="gramEnd"/>
      <w:r w:rsidRPr="005C44B0">
        <w:noBreakHyphen/>
        <w:t xml:space="preserve">se com a página de recursos EMCDDA 4 </w:t>
      </w:r>
      <w:proofErr w:type="spellStart"/>
      <w:r w:rsidRPr="005C44B0">
        <w:t>Ukraine</w:t>
      </w:r>
      <w:proofErr w:type="spellEnd"/>
      <w:r w:rsidRPr="005C44B0">
        <w:t>, criada para os profissionais que trabalham no domínio da droga na Europa e apoiam as pessoas deslocadas da Ucrânia;</w:t>
      </w:r>
    </w:p>
    <w:p w:rsidR="00D975E8" w:rsidRPr="005C44B0" w:rsidRDefault="00D975E8" w:rsidP="00D975E8">
      <w:pPr>
        <w:pStyle w:val="NormalCenter12a"/>
      </w:pPr>
      <w:r w:rsidRPr="005C44B0">
        <w:t>°</w:t>
      </w:r>
    </w:p>
    <w:p w:rsidR="00D975E8" w:rsidRPr="005C44B0" w:rsidRDefault="00D975E8" w:rsidP="00D975E8">
      <w:pPr>
        <w:pStyle w:val="NormalCenter12a"/>
      </w:pPr>
      <w:r w:rsidRPr="005C44B0">
        <w:t>°</w:t>
      </w:r>
      <w:r w:rsidRPr="005C44B0">
        <w:tab/>
        <w:t>°</w:t>
      </w:r>
    </w:p>
    <w:p w:rsidR="00D975E8" w:rsidRPr="005C44B0" w:rsidRDefault="00D975E8" w:rsidP="00D975E8">
      <w:pPr>
        <w:pStyle w:val="NormalHanging12a"/>
      </w:pPr>
      <w:r w:rsidRPr="005C44B0">
        <w:t>29.</w:t>
      </w:r>
      <w:r w:rsidRPr="005C44B0">
        <w:tab/>
        <w:t xml:space="preserve">Remete, em relação a outras observações, de natureza horizontal, que acompanham a sua decisão sobre a quitação, para a sua </w:t>
      </w:r>
      <w:r w:rsidR="005F1C7F">
        <w:t>R</w:t>
      </w:r>
      <w:r w:rsidRPr="005C44B0">
        <w:t xml:space="preserve">esolução, de </w:t>
      </w:r>
      <w:r w:rsidR="005F1C7F">
        <w:t>11 de abril de</w:t>
      </w:r>
      <w:r w:rsidRPr="005C44B0">
        <w:t xml:space="preserve"> 2024</w:t>
      </w:r>
      <w:r w:rsidRPr="005C44B0">
        <w:rPr>
          <w:rStyle w:val="FootnoteReference"/>
        </w:rPr>
        <w:footnoteReference w:id="15"/>
      </w:r>
      <w:r w:rsidRPr="005C44B0">
        <w:t>, sobre o desempenho, a gestão financeira e o controlo das agências.</w:t>
      </w:r>
    </w:p>
    <w:p w:rsidR="00D975E8" w:rsidRPr="005C44B0" w:rsidRDefault="00D975E8" w:rsidP="00D975E8"/>
    <w:p w:rsidR="00E365E1" w:rsidRPr="005C44B0" w:rsidRDefault="00E365E1" w:rsidP="00140B8F">
      <w:bookmarkStart w:id="11" w:name="TextBodyEnd"/>
      <w:bookmarkEnd w:id="11"/>
    </w:p>
    <w:sectPr w:rsidR="00E365E1" w:rsidRPr="005C44B0" w:rsidSect="003C6D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B8F" w:rsidRPr="003C6D3C" w:rsidRDefault="00140B8F">
      <w:r w:rsidRPr="003C6D3C">
        <w:separator/>
      </w:r>
    </w:p>
  </w:endnote>
  <w:endnote w:type="continuationSeparator" w:id="0">
    <w:p w:rsidR="00140B8F" w:rsidRPr="003C6D3C" w:rsidRDefault="00140B8F">
      <w:r w:rsidRPr="003C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E8" w:rsidRPr="003C6D3C" w:rsidRDefault="00D975E8" w:rsidP="001E1D9D">
    <w:pPr>
      <w:pStyle w:val="EPFooter"/>
    </w:pPr>
    <w:r w:rsidRPr="003C6D3C">
      <w:t>PE</w:t>
    </w:r>
    <w:r w:rsidRPr="003C6D3C">
      <w:rPr>
        <w:rStyle w:val="HideTWBExt"/>
      </w:rPr>
      <w:t>&lt;</w:t>
    </w:r>
    <w:proofErr w:type="spellStart"/>
    <w:r w:rsidRPr="003C6D3C">
      <w:rPr>
        <w:rStyle w:val="HideTWBExt"/>
      </w:rPr>
      <w:t>NoPE</w:t>
    </w:r>
    <w:proofErr w:type="spellEnd"/>
    <w:r w:rsidRPr="003C6D3C">
      <w:rPr>
        <w:rStyle w:val="HideTWBExt"/>
      </w:rPr>
      <w:t>&gt;</w:t>
    </w:r>
    <w:r w:rsidRPr="003C6D3C">
      <w:t>753.525</w:t>
    </w:r>
    <w:r w:rsidRPr="003C6D3C">
      <w:rPr>
        <w:rStyle w:val="HideTWBExt"/>
      </w:rPr>
      <w:t>&lt;/</w:t>
    </w:r>
    <w:proofErr w:type="spellStart"/>
    <w:r w:rsidRPr="003C6D3C">
      <w:rPr>
        <w:rStyle w:val="HideTWBExt"/>
      </w:rPr>
      <w:t>NoPE</w:t>
    </w:r>
    <w:proofErr w:type="spellEnd"/>
    <w:r w:rsidRPr="003C6D3C">
      <w:rPr>
        <w:rStyle w:val="HideTWBExt"/>
      </w:rPr>
      <w:t>&gt;&lt;Version&gt;</w:t>
    </w:r>
    <w:r w:rsidRPr="003C6D3C">
      <w:t>v02</w:t>
    </w:r>
    <w:r w:rsidRPr="003C6D3C">
      <w:noBreakHyphen/>
      <w:t>00</w:t>
    </w:r>
    <w:r w:rsidRPr="003C6D3C">
      <w:rPr>
        <w:rStyle w:val="HideTWBExt"/>
      </w:rPr>
      <w:t>&lt;/</w:t>
    </w:r>
    <w:proofErr w:type="spellStart"/>
    <w:r w:rsidRPr="003C6D3C">
      <w:rPr>
        <w:rStyle w:val="HideTWBExt"/>
      </w:rPr>
      <w:t>Version</w:t>
    </w:r>
    <w:proofErr w:type="spellEnd"/>
    <w:r w:rsidRPr="003C6D3C">
      <w:rPr>
        <w:rStyle w:val="HideTWBExt"/>
      </w:rPr>
      <w:t>&gt;</w:t>
    </w:r>
    <w:r w:rsidRPr="003C6D3C">
      <w:tab/>
    </w:r>
    <w:r w:rsidRPr="003C6D3C">
      <w:fldChar w:fldCharType="begin"/>
    </w:r>
    <w:r w:rsidRPr="003C6D3C">
      <w:instrText xml:space="preserve"> PAGE  \* MERGEFORMAT </w:instrText>
    </w:r>
    <w:r w:rsidRPr="003C6D3C">
      <w:fldChar w:fldCharType="separate"/>
    </w:r>
    <w:r w:rsidR="003C6D3C" w:rsidRPr="003C6D3C">
      <w:rPr>
        <w:noProof/>
      </w:rPr>
      <w:t>2</w:t>
    </w:r>
    <w:r w:rsidRPr="003C6D3C">
      <w:fldChar w:fldCharType="end"/>
    </w:r>
    <w:r w:rsidRPr="003C6D3C">
      <w:t>/</w:t>
    </w:r>
    <w:fldSimple w:instr=" NUMPAGES  \* MERGEFORMAT ">
      <w:r w:rsidR="003C6D3C" w:rsidRPr="003C6D3C">
        <w:rPr>
          <w:noProof/>
        </w:rPr>
        <w:t>3</w:t>
      </w:r>
    </w:fldSimple>
    <w:r w:rsidRPr="003C6D3C">
      <w:tab/>
    </w:r>
    <w:r w:rsidRPr="003C6D3C">
      <w:rPr>
        <w:rStyle w:val="HideTWBExt"/>
      </w:rPr>
      <w:t>&lt;PathFdR&gt;</w:t>
    </w:r>
    <w:r w:rsidRPr="003C6D3C">
      <w:t>RR\1298782PT.docx</w:t>
    </w:r>
    <w:r w:rsidRPr="003C6D3C">
      <w:rPr>
        <w:rStyle w:val="HideTWBExt"/>
      </w:rPr>
      <w:t>&lt;/</w:t>
    </w:r>
    <w:proofErr w:type="spellStart"/>
    <w:r w:rsidRPr="003C6D3C">
      <w:rPr>
        <w:rStyle w:val="HideTWBExt"/>
      </w:rPr>
      <w:t>PathFdR</w:t>
    </w:r>
    <w:proofErr w:type="spellEnd"/>
    <w:r w:rsidRPr="003C6D3C">
      <w:rPr>
        <w:rStyle w:val="HideTWBExt"/>
      </w:rPr>
      <w:t>&gt;</w:t>
    </w:r>
  </w:p>
  <w:p w:rsidR="00D975E8" w:rsidRPr="003C6D3C" w:rsidRDefault="00D975E8" w:rsidP="001E1D9D">
    <w:pPr>
      <w:pStyle w:val="EPFooter2"/>
    </w:pPr>
    <w:r w:rsidRPr="003C6D3C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E8" w:rsidRPr="003C6D3C" w:rsidRDefault="00D975E8" w:rsidP="001E1D9D">
    <w:pPr>
      <w:pStyle w:val="EPFooter"/>
    </w:pPr>
    <w:r w:rsidRPr="003C6D3C">
      <w:rPr>
        <w:rStyle w:val="HideTWBExt"/>
      </w:rPr>
      <w:t>&lt;PathFdR&gt;</w:t>
    </w:r>
    <w:r w:rsidRPr="003C6D3C">
      <w:t>RR\1298782PT.docx</w:t>
    </w:r>
    <w:r w:rsidRPr="003C6D3C">
      <w:rPr>
        <w:rStyle w:val="HideTWBExt"/>
      </w:rPr>
      <w:t>&lt;/</w:t>
    </w:r>
    <w:proofErr w:type="spellStart"/>
    <w:r w:rsidRPr="003C6D3C">
      <w:rPr>
        <w:rStyle w:val="HideTWBExt"/>
      </w:rPr>
      <w:t>PathFdR</w:t>
    </w:r>
    <w:proofErr w:type="spellEnd"/>
    <w:r w:rsidRPr="003C6D3C">
      <w:rPr>
        <w:rStyle w:val="HideTWBExt"/>
      </w:rPr>
      <w:t>&gt;</w:t>
    </w:r>
    <w:r w:rsidRPr="003C6D3C">
      <w:tab/>
    </w:r>
    <w:r w:rsidRPr="003C6D3C">
      <w:tab/>
      <w:t>PE</w:t>
    </w:r>
    <w:r w:rsidRPr="003C6D3C">
      <w:rPr>
        <w:rStyle w:val="HideTWBExt"/>
      </w:rPr>
      <w:t>&lt;</w:t>
    </w:r>
    <w:proofErr w:type="spellStart"/>
    <w:r w:rsidRPr="003C6D3C">
      <w:rPr>
        <w:rStyle w:val="HideTWBExt"/>
      </w:rPr>
      <w:t>NoPE</w:t>
    </w:r>
    <w:proofErr w:type="spellEnd"/>
    <w:r w:rsidRPr="003C6D3C">
      <w:rPr>
        <w:rStyle w:val="HideTWBExt"/>
      </w:rPr>
      <w:t>&gt;</w:t>
    </w:r>
    <w:r w:rsidRPr="003C6D3C">
      <w:t>753.525</w:t>
    </w:r>
    <w:r w:rsidRPr="003C6D3C">
      <w:rPr>
        <w:rStyle w:val="HideTWBExt"/>
      </w:rPr>
      <w:t>&lt;/</w:t>
    </w:r>
    <w:proofErr w:type="spellStart"/>
    <w:r w:rsidRPr="003C6D3C">
      <w:rPr>
        <w:rStyle w:val="HideTWBExt"/>
      </w:rPr>
      <w:t>NoPE</w:t>
    </w:r>
    <w:proofErr w:type="spellEnd"/>
    <w:r w:rsidRPr="003C6D3C">
      <w:rPr>
        <w:rStyle w:val="HideTWBExt"/>
      </w:rPr>
      <w:t>&gt;&lt;Version&gt;</w:t>
    </w:r>
    <w:r w:rsidRPr="003C6D3C">
      <w:t>v02</w:t>
    </w:r>
    <w:r w:rsidRPr="003C6D3C">
      <w:noBreakHyphen/>
      <w:t>00</w:t>
    </w:r>
    <w:r w:rsidRPr="003C6D3C">
      <w:rPr>
        <w:rStyle w:val="HideTWBExt"/>
      </w:rPr>
      <w:t>&lt;/</w:t>
    </w:r>
    <w:proofErr w:type="spellStart"/>
    <w:r w:rsidRPr="003C6D3C">
      <w:rPr>
        <w:rStyle w:val="HideTWBExt"/>
      </w:rPr>
      <w:t>Version</w:t>
    </w:r>
    <w:proofErr w:type="spellEnd"/>
    <w:r w:rsidRPr="003C6D3C">
      <w:rPr>
        <w:rStyle w:val="HideTWBExt"/>
      </w:rPr>
      <w:t>&gt;</w:t>
    </w:r>
  </w:p>
  <w:p w:rsidR="00D975E8" w:rsidRPr="003C6D3C" w:rsidRDefault="00D975E8" w:rsidP="001E1D9D">
    <w:pPr>
      <w:pStyle w:val="EPFooter2"/>
    </w:pPr>
    <w:r w:rsidRPr="003C6D3C">
      <w:t>PT</w:t>
    </w:r>
    <w:r w:rsidRPr="003C6D3C">
      <w:tab/>
    </w:r>
    <w:r w:rsidRPr="003C6D3C">
      <w:rPr>
        <w:b w:val="0"/>
        <w:i/>
        <w:color w:val="C0C0C0"/>
        <w:sz w:val="22"/>
      </w:rPr>
      <w:t>Unida na diversidade</w:t>
    </w:r>
    <w:r w:rsidRPr="003C6D3C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D3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D3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D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B8F" w:rsidRPr="003C6D3C" w:rsidRDefault="00140B8F">
      <w:r w:rsidRPr="003C6D3C">
        <w:separator/>
      </w:r>
    </w:p>
  </w:footnote>
  <w:footnote w:type="continuationSeparator" w:id="0">
    <w:p w:rsidR="00140B8F" w:rsidRPr="003C6D3C" w:rsidRDefault="00140B8F">
      <w:r w:rsidRPr="003C6D3C">
        <w:continuationSeparator/>
      </w:r>
    </w:p>
  </w:footnote>
  <w:footnote w:id="1">
    <w:p w:rsidR="00D975E8" w:rsidRPr="00137CC7" w:rsidRDefault="00D975E8" w:rsidP="003C6D3C">
      <w:pPr>
        <w:pStyle w:val="FootnoteText"/>
        <w:ind w:left="567" w:hanging="567"/>
        <w:rPr>
          <w:sz w:val="24"/>
          <w:lang w:val="fi-FI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fi-FI"/>
        </w:rPr>
        <w:t xml:space="preserve"> </w:t>
      </w:r>
      <w:r w:rsidR="003C6D3C" w:rsidRPr="00137CC7">
        <w:rPr>
          <w:sz w:val="24"/>
          <w:lang w:val="fi-FI"/>
        </w:rPr>
        <w:tab/>
      </w:r>
      <w:r w:rsidRPr="00137CC7">
        <w:rPr>
          <w:sz w:val="24"/>
          <w:lang w:val="fi-FI"/>
        </w:rPr>
        <w:t>JO C, C/2023/594, 27.10.2023.</w:t>
      </w:r>
    </w:p>
  </w:footnote>
  <w:footnote w:id="2">
    <w:p w:rsidR="00D975E8" w:rsidRPr="00137CC7" w:rsidRDefault="00D975E8" w:rsidP="003C6D3C">
      <w:pPr>
        <w:pStyle w:val="FootnoteText"/>
        <w:ind w:left="567" w:hanging="567"/>
        <w:rPr>
          <w:sz w:val="24"/>
          <w:lang w:val="fi-FI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fi-FI"/>
        </w:rPr>
        <w:t xml:space="preserve"> </w:t>
      </w:r>
      <w:r w:rsidR="003C6D3C" w:rsidRPr="00137CC7">
        <w:rPr>
          <w:sz w:val="24"/>
          <w:lang w:val="fi-FI"/>
        </w:rPr>
        <w:tab/>
      </w:r>
      <w:r w:rsidRPr="00137CC7">
        <w:rPr>
          <w:sz w:val="24"/>
          <w:lang w:val="fi-FI"/>
        </w:rPr>
        <w:t>JO C, C/2023/112, 12.10.2023.</w:t>
      </w:r>
    </w:p>
  </w:footnote>
  <w:footnote w:id="3">
    <w:p w:rsidR="00D975E8" w:rsidRPr="00137CC7" w:rsidRDefault="00D975E8" w:rsidP="003C6D3C">
      <w:pPr>
        <w:pStyle w:val="FootnoteText"/>
        <w:ind w:left="567" w:hanging="567"/>
        <w:rPr>
          <w:sz w:val="24"/>
          <w:lang w:val="fi-FI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fi-FI"/>
        </w:rPr>
        <w:t xml:space="preserve"> </w:t>
      </w:r>
      <w:r w:rsidR="003C6D3C" w:rsidRPr="00137CC7">
        <w:rPr>
          <w:sz w:val="24"/>
          <w:lang w:val="fi-FI"/>
        </w:rPr>
        <w:tab/>
      </w:r>
      <w:r w:rsidRPr="00137CC7">
        <w:rPr>
          <w:sz w:val="24"/>
          <w:lang w:val="fi-FI"/>
        </w:rPr>
        <w:t>JO L 193 de 30.7.2018, p. 1.</w:t>
      </w:r>
    </w:p>
  </w:footnote>
  <w:footnote w:id="4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L 376 de 27.12.2006, p. 1.</w:t>
      </w:r>
    </w:p>
  </w:footnote>
  <w:footnote w:id="5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="001F7EE9">
        <w:rPr>
          <w:sz w:val="24"/>
          <w:lang w:val="da-DK"/>
        </w:rPr>
        <w:t>JO L 166 de 30.6.</w:t>
      </w:r>
      <w:r w:rsidRPr="00137CC7">
        <w:rPr>
          <w:sz w:val="24"/>
          <w:lang w:val="da-DK"/>
        </w:rPr>
        <w:t>2023, p. 6.</w:t>
      </w:r>
    </w:p>
  </w:footnote>
  <w:footnote w:id="6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L 122 de 10.5.2019, p. 1.</w:t>
      </w:r>
    </w:p>
  </w:footnote>
  <w:footnote w:id="7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C, C/2023/594, 27.10.2023.</w:t>
      </w:r>
    </w:p>
  </w:footnote>
  <w:footnote w:id="8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C, C/2023/112, 12.10.2023.</w:t>
      </w:r>
    </w:p>
  </w:footnote>
  <w:footnote w:id="9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L 193 de 30.7.2018, p. 1.</w:t>
      </w:r>
    </w:p>
  </w:footnote>
  <w:footnote w:id="10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L 376 de 27.12.2006, p. 1.</w:t>
      </w:r>
    </w:p>
  </w:footnote>
  <w:footnote w:id="11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L 166 de 30.6.2023, p. 6.</w:t>
      </w:r>
    </w:p>
  </w:footnote>
  <w:footnote w:id="12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L 122 de 10.5.2019, p. 1.</w:t>
      </w:r>
    </w:p>
  </w:footnote>
  <w:footnote w:id="13">
    <w:p w:rsidR="00D975E8" w:rsidRPr="00137CC7" w:rsidRDefault="00D975E8" w:rsidP="003C6D3C">
      <w:pPr>
        <w:pStyle w:val="FootnoteText"/>
        <w:ind w:left="567" w:hanging="567"/>
        <w:rPr>
          <w:sz w:val="24"/>
          <w:lang w:val="da-DK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137CC7">
        <w:rPr>
          <w:sz w:val="24"/>
          <w:lang w:val="da-DK"/>
        </w:rPr>
        <w:t xml:space="preserve"> </w:t>
      </w:r>
      <w:r w:rsidR="003C6D3C" w:rsidRPr="00137CC7">
        <w:rPr>
          <w:sz w:val="24"/>
          <w:lang w:val="da-DK"/>
        </w:rPr>
        <w:tab/>
      </w:r>
      <w:r w:rsidRPr="00137CC7">
        <w:rPr>
          <w:sz w:val="24"/>
          <w:lang w:val="da-DK"/>
        </w:rPr>
        <w:t>JO C 141/06 de 29.3.2022, p. 33.</w:t>
      </w:r>
    </w:p>
  </w:footnote>
  <w:footnote w:id="14">
    <w:p w:rsidR="00D975E8" w:rsidRPr="003C6D3C" w:rsidRDefault="00D975E8" w:rsidP="003C6D3C">
      <w:pPr>
        <w:pStyle w:val="FootnoteText"/>
        <w:ind w:left="567" w:hanging="567"/>
        <w:rPr>
          <w:sz w:val="24"/>
          <w:lang w:val="pt-PT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3C6D3C">
        <w:rPr>
          <w:sz w:val="24"/>
          <w:lang w:val="pt-PT"/>
        </w:rPr>
        <w:t xml:space="preserve"> </w:t>
      </w:r>
      <w:r w:rsidR="003C6D3C" w:rsidRPr="003C6D3C">
        <w:rPr>
          <w:sz w:val="24"/>
          <w:lang w:val="pt-PT"/>
        </w:rPr>
        <w:tab/>
      </w:r>
      <w:r w:rsidRPr="003C6D3C">
        <w:rPr>
          <w:sz w:val="24"/>
          <w:lang w:val="pt-PT"/>
        </w:rPr>
        <w:t>Diretiva 2008/104/CE do Parlamento Europeu e do Conselho, de 19 de novembro de 2008, relativa ao trabalho temporário (JO L 327 de 5.12.2008, p. 9).</w:t>
      </w:r>
    </w:p>
  </w:footnote>
  <w:footnote w:id="15">
    <w:p w:rsidR="00D975E8" w:rsidRPr="003C6D3C" w:rsidRDefault="00D975E8" w:rsidP="003C6D3C">
      <w:pPr>
        <w:pStyle w:val="FootnoteText"/>
        <w:ind w:left="567" w:hanging="567"/>
        <w:rPr>
          <w:sz w:val="24"/>
          <w:lang w:val="pt-PT"/>
        </w:rPr>
      </w:pPr>
      <w:r w:rsidRPr="003C6D3C">
        <w:rPr>
          <w:rStyle w:val="FootnoteReference"/>
          <w:sz w:val="24"/>
          <w:lang w:val="pt-PT"/>
        </w:rPr>
        <w:footnoteRef/>
      </w:r>
      <w:r w:rsidR="003C6D3C" w:rsidRPr="003C6D3C">
        <w:rPr>
          <w:sz w:val="24"/>
          <w:lang w:val="pt-PT"/>
        </w:rPr>
        <w:t xml:space="preserve"> </w:t>
      </w:r>
      <w:r w:rsidR="003C6D3C" w:rsidRPr="003C6D3C">
        <w:rPr>
          <w:sz w:val="24"/>
          <w:lang w:val="pt-PT"/>
        </w:rPr>
        <w:tab/>
      </w:r>
      <w:r w:rsidRPr="003C6D3C">
        <w:rPr>
          <w:sz w:val="24"/>
          <w:lang w:val="pt-PT"/>
        </w:rPr>
        <w:t>Textos Aprovados, P9_TA(2024)</w:t>
      </w:r>
      <w:r w:rsidR="00137CC7">
        <w:rPr>
          <w:sz w:val="24"/>
          <w:lang w:val="pt-PT"/>
        </w:rPr>
        <w:t>0280</w:t>
      </w:r>
      <w:r w:rsidRPr="003C6D3C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D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D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D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4/2024"/>
    <w:docVar w:name="dvlangue" w:val="PT"/>
    <w:docVar w:name="dvnumam" w:val="0"/>
    <w:docVar w:name="dvpe" w:val="753.525"/>
    <w:docVar w:name="dvrapporteur" w:val="Relator: "/>
    <w:docVar w:name="dvtitre" w:val="Decisão do Parlamento Europeu, de ... de ... de 2024,_x000d__x000a_ sobre a quitação pela execução do orçamento do Observatório Europeu da Droga e da Toxicodependência para o exercício de 2022(2023/2157(DEC))"/>
  </w:docVars>
  <w:rsids>
    <w:rsidRoot w:val="00140B8F"/>
    <w:rsid w:val="00002272"/>
    <w:rsid w:val="00064002"/>
    <w:rsid w:val="000677B9"/>
    <w:rsid w:val="000831BA"/>
    <w:rsid w:val="000A42CC"/>
    <w:rsid w:val="000E7DD9"/>
    <w:rsid w:val="0010095E"/>
    <w:rsid w:val="00125B37"/>
    <w:rsid w:val="00137CC7"/>
    <w:rsid w:val="00140B8F"/>
    <w:rsid w:val="00187494"/>
    <w:rsid w:val="001F32AE"/>
    <w:rsid w:val="001F7EE9"/>
    <w:rsid w:val="002767FF"/>
    <w:rsid w:val="002B18FE"/>
    <w:rsid w:val="002B5493"/>
    <w:rsid w:val="00343214"/>
    <w:rsid w:val="00361C00"/>
    <w:rsid w:val="00395FA1"/>
    <w:rsid w:val="003C6D3C"/>
    <w:rsid w:val="003E15D4"/>
    <w:rsid w:val="00411CCE"/>
    <w:rsid w:val="0041666E"/>
    <w:rsid w:val="00421060"/>
    <w:rsid w:val="004236E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4B0"/>
    <w:rsid w:val="005F1C7F"/>
    <w:rsid w:val="006037C0"/>
    <w:rsid w:val="006631B6"/>
    <w:rsid w:val="00680577"/>
    <w:rsid w:val="006F74FA"/>
    <w:rsid w:val="00731ADD"/>
    <w:rsid w:val="00734777"/>
    <w:rsid w:val="00747932"/>
    <w:rsid w:val="00751A4A"/>
    <w:rsid w:val="00753E2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5E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87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8D986"/>
  <w15:chartTrackingRefBased/>
  <w15:docId w15:val="{B673F0A6-4D93-468F-A194-4A808242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975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975E8"/>
    <w:pPr>
      <w:spacing w:before="480" w:after="240"/>
    </w:pPr>
  </w:style>
  <w:style w:type="paragraph" w:customStyle="1" w:styleId="PageHeading">
    <w:name w:val="PageHeading"/>
    <w:basedOn w:val="Normal"/>
    <w:rsid w:val="00D975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975E8"/>
    <w:rPr>
      <w:b/>
    </w:rPr>
  </w:style>
  <w:style w:type="paragraph" w:customStyle="1" w:styleId="NormalHanging12a">
    <w:name w:val="NormalHanging12a"/>
    <w:basedOn w:val="Normal"/>
    <w:link w:val="NormalHanging12aChar"/>
    <w:rsid w:val="00D975E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975E8"/>
    <w:pPr>
      <w:spacing w:after="240"/>
      <w:jc w:val="center"/>
    </w:pPr>
  </w:style>
  <w:style w:type="paragraph" w:styleId="Header">
    <w:name w:val="header"/>
    <w:basedOn w:val="Normal"/>
    <w:link w:val="HeaderChar"/>
    <w:rsid w:val="00D975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75E8"/>
    <w:rPr>
      <w:sz w:val="24"/>
      <w:lang w:val="pt-PT"/>
    </w:rPr>
  </w:style>
  <w:style w:type="paragraph" w:customStyle="1" w:styleId="EPFooter">
    <w:name w:val="EPFooter"/>
    <w:basedOn w:val="Normal"/>
    <w:rsid w:val="00D975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D975E8"/>
    <w:rPr>
      <w:sz w:val="24"/>
      <w:lang w:val="pt-PT"/>
    </w:rPr>
  </w:style>
  <w:style w:type="paragraph" w:customStyle="1" w:styleId="Normal12Hanging">
    <w:name w:val="Normal12Hanging"/>
    <w:basedOn w:val="Normal"/>
    <w:rsid w:val="00D975E8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5C44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C44B0"/>
    <w:rPr>
      <w:sz w:val="24"/>
      <w:lang w:val="pt-PT"/>
    </w:rPr>
  </w:style>
  <w:style w:type="paragraph" w:styleId="BalloonText">
    <w:name w:val="Balloon Text"/>
    <w:basedOn w:val="Normal"/>
    <w:link w:val="BalloonTextChar"/>
    <w:rsid w:val="004236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36E9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D0C27-D66B-4D21-ACCE-52B747E6E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4152</Words>
  <Characters>22343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2024-05-16T22:49:00Z</dcterms:created>
  <dcterms:modified xsi:type="dcterms:W3CDTF">2024-05-16T22:49:00Z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P9_TA(2024)0241_</vt:lpwstr>
  </property>
  <property fmtid="{D5CDD505-2E9C-101B-9397-08002B2CF9AE}" pid="4" name="&lt;Type&gt;">
    <vt:lpwstr>RR</vt:lpwstr>
  </property>
</Properties>
</file>