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7D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7D98" w:rsidRDefault="000D3C4F" w:rsidP="0010095E">
            <w:pPr>
              <w:pStyle w:val="EPName"/>
            </w:pPr>
            <w:r w:rsidRPr="00AE7D98">
              <w:t>Európsky parlament</w:t>
            </w:r>
          </w:p>
          <w:p w:rsidR="00751A4A" w:rsidRPr="00AE7D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7D9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E7D98" w:rsidRDefault="00187494" w:rsidP="0010095E">
            <w:pPr>
              <w:pStyle w:val="EPLogo"/>
            </w:pPr>
            <w:r w:rsidRPr="00AE7D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7D98" w:rsidRDefault="00D058B8" w:rsidP="004C5D52">
      <w:pPr>
        <w:pStyle w:val="LineTop"/>
      </w:pPr>
    </w:p>
    <w:p w:rsidR="00680577" w:rsidRPr="00AE7D98" w:rsidRDefault="000D3C4F" w:rsidP="00680577">
      <w:pPr>
        <w:pStyle w:val="EPBodyTA1"/>
      </w:pPr>
      <w:r w:rsidRPr="00AE7D98">
        <w:t>PRIJATÉ TEXTY</w:t>
      </w:r>
    </w:p>
    <w:p w:rsidR="00D058B8" w:rsidRPr="00AE7D98" w:rsidRDefault="00D058B8" w:rsidP="00D058B8">
      <w:pPr>
        <w:pStyle w:val="LineBottom"/>
      </w:pPr>
    </w:p>
    <w:p w:rsidR="000D3C4F" w:rsidRPr="00AE7D98" w:rsidRDefault="000D3C4F" w:rsidP="000D3C4F">
      <w:pPr>
        <w:pStyle w:val="ATHeading1"/>
      </w:pPr>
      <w:bookmarkStart w:id="0" w:name="TANumber"/>
      <w:r w:rsidRPr="00AE7D98">
        <w:t>P9_TA(2024)0</w:t>
      </w:r>
      <w:r w:rsidR="00EB3E96" w:rsidRPr="00AE7D98">
        <w:t>241</w:t>
      </w:r>
      <w:bookmarkEnd w:id="0"/>
    </w:p>
    <w:p w:rsidR="000D3C4F" w:rsidRPr="00AE7D98" w:rsidRDefault="000D3C4F" w:rsidP="000D3C4F">
      <w:pPr>
        <w:pStyle w:val="ATHeading2"/>
      </w:pPr>
      <w:bookmarkStart w:id="1" w:name="title"/>
      <w:r w:rsidRPr="00AE7D98">
        <w:t>Absolutórium za rok 2022: Európske monitorovacie centrum pre drogy a drogovú závislosť</w:t>
      </w:r>
      <w:bookmarkEnd w:id="1"/>
    </w:p>
    <w:p w:rsidR="000D3C4F" w:rsidRPr="00AE7D98" w:rsidRDefault="000D3C4F" w:rsidP="000D3C4F">
      <w:pPr>
        <w:rPr>
          <w:i/>
          <w:vanish/>
        </w:rPr>
      </w:pPr>
      <w:r w:rsidRPr="00AE7D98">
        <w:rPr>
          <w:i/>
        </w:rPr>
        <w:fldChar w:fldCharType="begin"/>
      </w:r>
      <w:r w:rsidRPr="00AE7D98">
        <w:rPr>
          <w:i/>
        </w:rPr>
        <w:instrText xml:space="preserve"> TC"(</w:instrText>
      </w:r>
      <w:bookmarkStart w:id="2" w:name="DocNumber"/>
      <w:r w:rsidRPr="00AE7D98">
        <w:rPr>
          <w:i/>
        </w:rPr>
        <w:instrText>A9-0104/2024</w:instrText>
      </w:r>
      <w:bookmarkEnd w:id="2"/>
      <w:r w:rsidRPr="00AE7D98">
        <w:rPr>
          <w:i/>
        </w:rPr>
        <w:instrText xml:space="preserve"> - Spravodajca: Petri Sarvamaa)"\l3 \n&gt; \* MERGEFORMAT </w:instrText>
      </w:r>
      <w:r w:rsidRPr="00AE7D98">
        <w:rPr>
          <w:i/>
        </w:rPr>
        <w:fldChar w:fldCharType="end"/>
      </w:r>
    </w:p>
    <w:p w:rsidR="000D3C4F" w:rsidRPr="00AE7D98" w:rsidRDefault="000D3C4F" w:rsidP="000D3C4F">
      <w:pPr>
        <w:rPr>
          <w:vanish/>
        </w:rPr>
      </w:pPr>
      <w:bookmarkStart w:id="3" w:name="Commission"/>
      <w:r w:rsidRPr="00AE7D98">
        <w:rPr>
          <w:vanish/>
        </w:rPr>
        <w:t>Výbor pre kontrolu rozpočtu</w:t>
      </w:r>
      <w:bookmarkEnd w:id="3"/>
    </w:p>
    <w:p w:rsidR="000D3C4F" w:rsidRPr="00AE7D98" w:rsidRDefault="000D3C4F" w:rsidP="000D3C4F">
      <w:pPr>
        <w:rPr>
          <w:vanish/>
        </w:rPr>
      </w:pPr>
      <w:bookmarkStart w:id="4" w:name="PE"/>
      <w:r w:rsidRPr="00AE7D98">
        <w:rPr>
          <w:vanish/>
        </w:rPr>
        <w:t>PE753.525</w:t>
      </w:r>
      <w:bookmarkEnd w:id="4"/>
    </w:p>
    <w:p w:rsidR="000D3C4F" w:rsidRPr="00AE7D98" w:rsidRDefault="000D3C4F" w:rsidP="000D3C4F">
      <w:pPr>
        <w:pStyle w:val="ATHeading3"/>
      </w:pPr>
      <w:bookmarkStart w:id="5" w:name="Sujet"/>
      <w:r w:rsidRPr="00AE7D98">
        <w:t>1. Rozhodnutie Európskeho parlamentu z 11. apríla 2024 o absolutóriu za plnenie rozpočtu Európskeho monitorovacieho centra pre drogy a drogovú závislosť za rozpočtový rok 2022</w:t>
      </w:r>
      <w:bookmarkEnd w:id="5"/>
      <w:r w:rsidRPr="00AE7D98">
        <w:t xml:space="preserve"> </w:t>
      </w:r>
      <w:bookmarkStart w:id="6" w:name="References"/>
      <w:r w:rsidRPr="00AE7D98">
        <w:t>(2023/2157(DEC))</w:t>
      </w:r>
      <w:bookmarkEnd w:id="6"/>
    </w:p>
    <w:p w:rsidR="00004768" w:rsidRPr="00AE7D98" w:rsidRDefault="00004768" w:rsidP="00004768">
      <w:pPr>
        <w:pStyle w:val="EPComma"/>
      </w:pPr>
      <w:bookmarkStart w:id="7" w:name="TextBodyBegin"/>
      <w:bookmarkEnd w:id="7"/>
      <w:r w:rsidRPr="00AE7D98">
        <w:rPr>
          <w:i/>
          <w:iCs/>
        </w:rPr>
        <w:t>Európsky parlament</w:t>
      </w:r>
      <w:r w:rsidRPr="00AE7D98">
        <w:t>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konečnú ročnú účtovnú závierku Európskeho monitorovacieho centra pre drogy a drogovú závislosť za rozpočtový rok 2022,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výročnú správu Dvora audítorov o agentúrach EÚ za rozpočtový rok 2022 spolu s odpoveďami agentúr</w:t>
      </w:r>
      <w:r w:rsidRPr="00AE7D98">
        <w:rPr>
          <w:rStyle w:val="FootnoteReference"/>
        </w:rPr>
        <w:footnoteReference w:id="1"/>
      </w:r>
      <w:r w:rsidRPr="00AE7D98">
        <w:t>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vyhlásenie o vierohodnosti</w:t>
      </w:r>
      <w:r w:rsidRPr="00AE7D98">
        <w:rPr>
          <w:rStyle w:val="FootnoteReference"/>
        </w:rPr>
        <w:footnoteReference w:id="2"/>
      </w:r>
      <w:r w:rsidRPr="00AE7D98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odporúčanie Rady z 22. februára 2024 o udelení absolutória agentúre za plnenie rozpočtu za rozpočtový rok 2022 (0</w:t>
      </w:r>
      <w:r w:rsidR="00A201CF" w:rsidRPr="00AE7D98">
        <w:t>6180</w:t>
      </w:r>
      <w:r w:rsidRPr="00AE7D98">
        <w:t>/2024 – C9</w:t>
      </w:r>
      <w:r w:rsidRPr="00AE7D98">
        <w:noBreakHyphen/>
        <w:t>00</w:t>
      </w:r>
      <w:r w:rsidR="00A201CF" w:rsidRPr="00AE7D98">
        <w:t>95</w:t>
      </w:r>
      <w:r w:rsidRPr="00AE7D98">
        <w:t>/2024),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článok 319 Zmluvy o fungovaní Európskej únie,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 xml:space="preserve">so zreteľom na nariadenie Európskeho parlamentu a Rady (EÚ, </w:t>
      </w:r>
      <w:proofErr w:type="spellStart"/>
      <w:r w:rsidRPr="00AE7D98">
        <w:t>Euratom</w:t>
      </w:r>
      <w:proofErr w:type="spellEnd"/>
      <w:r w:rsidRPr="00AE7D98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AE7D98">
        <w:t>Euratom</w:t>
      </w:r>
      <w:proofErr w:type="spellEnd"/>
      <w:r w:rsidRPr="00AE7D98">
        <w:t>) č. 966/2012</w:t>
      </w:r>
      <w:r w:rsidRPr="00AE7D98">
        <w:rPr>
          <w:rStyle w:val="FootnoteReference"/>
        </w:rPr>
        <w:footnoteReference w:id="3"/>
      </w:r>
      <w:r w:rsidRPr="00AE7D98">
        <w:t>, a najmä na jeho článok 70,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nariadenie Európskeho parlamentu a Rady (ES) č. 1920/2006 z 12. decembra 2006 o Európskom monitorovacom centre pre drogy a drogovú závislosť</w:t>
      </w:r>
      <w:r w:rsidRPr="00AE7D98">
        <w:rPr>
          <w:rStyle w:val="FootnoteReference"/>
        </w:rPr>
        <w:footnoteReference w:id="4"/>
      </w:r>
      <w:r w:rsidRPr="00AE7D98">
        <w:t>, a najmä na jeho článok 15,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 xml:space="preserve">so zreteľom na nariadenie Európskeho parlamentu a Rady (EÚ) 2023/1322 z 27. júna </w:t>
      </w:r>
      <w:r w:rsidRPr="00AE7D98">
        <w:lastRenderedPageBreak/>
        <w:t>2023 o Agentúre Európskej únie pre drogy (EUDA) a o zmene nariadenia (ES) č. 1920/2006</w:t>
      </w:r>
      <w:r w:rsidRPr="00AE7D98">
        <w:rPr>
          <w:rStyle w:val="FootnoteReference"/>
        </w:rPr>
        <w:footnoteReference w:id="5"/>
      </w:r>
      <w:r w:rsidRPr="00AE7D98">
        <w:t>, a najmä na jeho článok 41,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 xml:space="preserve">so zreteľom na delegované nariadenie Komisie (EÚ) 2019/715 z 18. decembra 2018 o rámcovom nariadení o rozpočtových pravidlách pre subjekty zriadené podľa </w:t>
      </w:r>
      <w:r w:rsidR="00FE1B24" w:rsidRPr="00AE7D98">
        <w:t>ZFEÚ</w:t>
      </w:r>
      <w:r w:rsidRPr="00AE7D98">
        <w:t xml:space="preserve"> a Zmluvy o </w:t>
      </w:r>
      <w:proofErr w:type="spellStart"/>
      <w:r w:rsidRPr="00AE7D98">
        <w:t>Euratome</w:t>
      </w:r>
      <w:proofErr w:type="spellEnd"/>
      <w:r w:rsidRPr="00AE7D98">
        <w:t xml:space="preserve"> a uvedené v článku 70 nariadenia Európskeho parlamentu a Rady (EÚ, </w:t>
      </w:r>
      <w:proofErr w:type="spellStart"/>
      <w:r w:rsidRPr="00AE7D98">
        <w:t>Euratom</w:t>
      </w:r>
      <w:proofErr w:type="spellEnd"/>
      <w:r w:rsidRPr="00AE7D98">
        <w:t>) 2018/1046</w:t>
      </w:r>
      <w:r w:rsidRPr="00AE7D98">
        <w:rPr>
          <w:rStyle w:val="FootnoteReference"/>
        </w:rPr>
        <w:footnoteReference w:id="6"/>
      </w:r>
      <w:r w:rsidRPr="00AE7D98">
        <w:t>, a najmä na jeho článok 105,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článok 100 a prílohu V k rokovaciemu poriadku,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stanovisko Výboru pre občianske slobody, spravodlivosť a vnútorné veci,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správu Výboru pre kontrolu rozpočtu (A9-0104/2024),</w:t>
      </w:r>
    </w:p>
    <w:p w:rsidR="00004768" w:rsidRPr="00AE7D98" w:rsidRDefault="00004768" w:rsidP="00004768">
      <w:pPr>
        <w:pStyle w:val="NormalHanging12a"/>
      </w:pPr>
      <w:r w:rsidRPr="00AE7D98">
        <w:t>1.</w:t>
      </w:r>
      <w:r w:rsidRPr="00AE7D98">
        <w:tab/>
        <w:t>udeľuje absolutórium riaditeľovi Európskeho monitorovacieho centra pre drogy a drogovú závislosť za plnenie rozpočtu centra za rozpočtový rok 2022;</w:t>
      </w:r>
    </w:p>
    <w:p w:rsidR="00004768" w:rsidRPr="00AE7D98" w:rsidRDefault="00004768" w:rsidP="00004768">
      <w:pPr>
        <w:pStyle w:val="NormalHanging12a"/>
      </w:pPr>
      <w:r w:rsidRPr="00AE7D98">
        <w:t>2.</w:t>
      </w:r>
      <w:r w:rsidRPr="00AE7D98">
        <w:tab/>
        <w:t>uvádza svoje poznámky v priloženom uznesení;</w:t>
      </w:r>
    </w:p>
    <w:p w:rsidR="00004768" w:rsidRPr="00AE7D98" w:rsidRDefault="00004768" w:rsidP="00004768">
      <w:pPr>
        <w:pStyle w:val="NormalHanging12a"/>
      </w:pPr>
      <w:r w:rsidRPr="00AE7D98">
        <w:t>3.</w:t>
      </w:r>
      <w:r w:rsidRPr="00AE7D98">
        <w:tab/>
        <w:t>poveruje svoju predsedníčku, aby postúpila toto rozhodnutie a uznesenie, ktoré je jeho neoddeliteľnou súčasťou, riaditeľovi Európskeho monitorovacieho centra pre drogy a drogovú závislosť, Rade, Komisii a Dvoru audítorov a aby zabezpečila ich uverejnenie v </w:t>
      </w:r>
      <w:r w:rsidRPr="00AE7D98">
        <w:rPr>
          <w:i/>
          <w:iCs/>
        </w:rPr>
        <w:t>Úradnom vestníku Európskej únie</w:t>
      </w:r>
      <w:r w:rsidRPr="00AE7D98">
        <w:t xml:space="preserve"> (v sérii L).</w:t>
      </w:r>
    </w:p>
    <w:p w:rsidR="00004768" w:rsidRPr="00AE7D98" w:rsidRDefault="00004768" w:rsidP="00004768"/>
    <w:p w:rsidR="00004768" w:rsidRPr="00AE7D98" w:rsidRDefault="00004768" w:rsidP="00004768">
      <w:pPr>
        <w:widowControl/>
        <w:rPr>
          <w:rFonts w:ascii="Arial" w:hAnsi="Arial" w:cs="Arial"/>
          <w:b/>
        </w:rPr>
        <w:sectPr w:rsidR="00004768" w:rsidRPr="00AE7D98" w:rsidSect="00CA023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004768" w:rsidRPr="00AE7D98" w:rsidRDefault="00FE1B24" w:rsidP="00004768">
      <w:pPr>
        <w:pStyle w:val="NormalBold"/>
      </w:pPr>
      <w:r w:rsidRPr="00AE7D98">
        <w:lastRenderedPageBreak/>
        <w:t xml:space="preserve">2. Rozhodnutie Európskeho parlamentu z 11. apríla 2024 </w:t>
      </w:r>
      <w:r w:rsidR="00004768" w:rsidRPr="00AE7D98">
        <w:t>o účtovnej závierke Európskeho monitorovacieho centra pre drogy a drogovú závislosť za rozpočtový rok 2022</w:t>
      </w:r>
      <w:r w:rsidRPr="00AE7D98">
        <w:t xml:space="preserve"> </w:t>
      </w:r>
      <w:r w:rsidR="00004768" w:rsidRPr="00AE7D98">
        <w:t>(2023/2157(DEC))</w:t>
      </w:r>
    </w:p>
    <w:p w:rsidR="00004768" w:rsidRPr="00AE7D98" w:rsidRDefault="00004768" w:rsidP="00004768">
      <w:pPr>
        <w:pStyle w:val="EPComma"/>
      </w:pPr>
      <w:r w:rsidRPr="00AE7D98">
        <w:rPr>
          <w:i/>
          <w:iCs/>
        </w:rPr>
        <w:t>Európsky parlament</w:t>
      </w:r>
      <w:r w:rsidRPr="00AE7D98">
        <w:t>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konečnú ročnú účtovnú závierku Európskeho monitorovacieho centra pre drogy a drogovú závislosť za rozpočtový rok 2022,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výročnú správu Dvora audítorov o agentúrach EÚ za rozpočtový rok 2022 spolu s odpoveďami agentúr</w:t>
      </w:r>
      <w:r w:rsidRPr="00AE7D98">
        <w:rPr>
          <w:rStyle w:val="FootnoteReference"/>
        </w:rPr>
        <w:footnoteReference w:id="7"/>
      </w:r>
      <w:r w:rsidRPr="00AE7D98">
        <w:t>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vyhlásenie o vierohodnosti</w:t>
      </w:r>
      <w:r w:rsidRPr="00AE7D98">
        <w:rPr>
          <w:rStyle w:val="FootnoteReference"/>
        </w:rPr>
        <w:footnoteReference w:id="8"/>
      </w:r>
      <w:r w:rsidRPr="00AE7D98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odporúčanie Rady z 22. februára 2024 o udelení absolutória agentúre za plnenie rozpočtu za rozpočtový rok 2022 (0</w:t>
      </w:r>
      <w:r w:rsidR="00CF373B" w:rsidRPr="00AE7D98">
        <w:t>6180</w:t>
      </w:r>
      <w:r w:rsidRPr="00AE7D98">
        <w:t>/2024 – C9</w:t>
      </w:r>
      <w:r w:rsidRPr="00AE7D98">
        <w:noBreakHyphen/>
        <w:t>00</w:t>
      </w:r>
      <w:r w:rsidR="00CF373B" w:rsidRPr="00AE7D98">
        <w:t>95</w:t>
      </w:r>
      <w:r w:rsidRPr="00AE7D98">
        <w:t>/2024),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článok 319 Zmluvy o fungovaní Európskej únie,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 xml:space="preserve">so zreteľom na nariadenie Európskeho parlamentu a Rady (EÚ, </w:t>
      </w:r>
      <w:proofErr w:type="spellStart"/>
      <w:r w:rsidRPr="00AE7D98">
        <w:t>Euratom</w:t>
      </w:r>
      <w:proofErr w:type="spellEnd"/>
      <w:r w:rsidRPr="00AE7D98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AE7D98">
        <w:t>Euratom</w:t>
      </w:r>
      <w:proofErr w:type="spellEnd"/>
      <w:r w:rsidRPr="00AE7D98">
        <w:t>) č. 966/2012</w:t>
      </w:r>
      <w:r w:rsidRPr="00AE7D98">
        <w:rPr>
          <w:rStyle w:val="FootnoteReference"/>
        </w:rPr>
        <w:footnoteReference w:id="9"/>
      </w:r>
      <w:r w:rsidRPr="00AE7D98">
        <w:t>, a najmä na jeho článok 70,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nariadenie Európskeho parlamentu a Rady (ES) č. 1920/2006 z 12. decembra 2006 o Európskom monitorovacom centre pre drogy a drogovú závislosť</w:t>
      </w:r>
      <w:r w:rsidRPr="00AE7D98">
        <w:rPr>
          <w:rStyle w:val="FootnoteReference"/>
        </w:rPr>
        <w:footnoteReference w:id="10"/>
      </w:r>
      <w:r w:rsidRPr="00AE7D98">
        <w:t>, a najmä na jeho článok 15,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nariadenie Európskeho parlamentu a Rady (EÚ) 2023/1322 z 27. júna 2023 o Agentúre Európskej únie pre drogy (EUDA) a o zmene nariadenia (ES) č. 1920/2006</w:t>
      </w:r>
      <w:r w:rsidRPr="00AE7D98">
        <w:rPr>
          <w:rStyle w:val="FootnoteReference"/>
        </w:rPr>
        <w:footnoteReference w:id="11"/>
      </w:r>
      <w:r w:rsidRPr="00AE7D98">
        <w:t>, a najmä na jeho článok 41,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 xml:space="preserve">so zreteľom na delegované nariadenie Komisie (EÚ) 2019/715 z 18. decembra 2018 o rámcovom nariadení o rozpočtových pravidlách pre subjekty zriadené podľa </w:t>
      </w:r>
      <w:r w:rsidR="00FE1B24" w:rsidRPr="00AE7D98">
        <w:t>ZFEÚ</w:t>
      </w:r>
      <w:r w:rsidRPr="00AE7D98">
        <w:t xml:space="preserve"> a Zmluvy o </w:t>
      </w:r>
      <w:proofErr w:type="spellStart"/>
      <w:r w:rsidRPr="00AE7D98">
        <w:t>Euratome</w:t>
      </w:r>
      <w:proofErr w:type="spellEnd"/>
      <w:r w:rsidRPr="00AE7D98">
        <w:t xml:space="preserve"> a uvedené v článku 70 nariadenia Európskeho parlamentu a Rady (EÚ, </w:t>
      </w:r>
      <w:proofErr w:type="spellStart"/>
      <w:r w:rsidRPr="00AE7D98">
        <w:t>Euratom</w:t>
      </w:r>
      <w:proofErr w:type="spellEnd"/>
      <w:r w:rsidRPr="00AE7D98">
        <w:t>) 2018/1046</w:t>
      </w:r>
      <w:r w:rsidRPr="00AE7D98">
        <w:rPr>
          <w:rStyle w:val="FootnoteReference"/>
        </w:rPr>
        <w:footnoteReference w:id="12"/>
      </w:r>
      <w:r w:rsidRPr="00AE7D98">
        <w:t>, a najmä na jeho článok 105,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článok 100 a prílohu V k rokovaciemu poriadku,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 xml:space="preserve">so zreteľom na stanovisko Výboru pre občianske slobody, spravodlivosť a vnútorné </w:t>
      </w:r>
      <w:r w:rsidRPr="00AE7D98">
        <w:lastRenderedPageBreak/>
        <w:t>veci,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správu Výboru pre kontrolu rozpočtu (A9-0104/2024),</w:t>
      </w:r>
    </w:p>
    <w:p w:rsidR="00004768" w:rsidRPr="00AE7D98" w:rsidRDefault="00004768" w:rsidP="00004768">
      <w:pPr>
        <w:pStyle w:val="NormalHanging12a"/>
      </w:pPr>
      <w:r w:rsidRPr="00AE7D98">
        <w:t>1.</w:t>
      </w:r>
      <w:r w:rsidRPr="00AE7D98">
        <w:tab/>
        <w:t>schvaľuje účtovnú závierku Európskeho monitorovacieho centra pre drogy a drogovú závislosť za rozpočtový rok 2022;</w:t>
      </w:r>
    </w:p>
    <w:p w:rsidR="00004768" w:rsidRPr="00AE7D98" w:rsidRDefault="00004768" w:rsidP="00004768">
      <w:pPr>
        <w:pStyle w:val="NormalHanging12a"/>
      </w:pPr>
      <w:r w:rsidRPr="00AE7D98">
        <w:t>2.</w:t>
      </w:r>
      <w:r w:rsidRPr="00AE7D98">
        <w:tab/>
        <w:t>poveruje svoju predsedníčku, aby postúpila toto rozhodnutie riaditeľovi Európskeho monitorovacieho centra pre drogy a drogovú závislosť, Rade, Komisii a Dvoru audítorov a aby zabezpečila jeho uverejnenie v </w:t>
      </w:r>
      <w:r w:rsidRPr="00AE7D98">
        <w:rPr>
          <w:i/>
          <w:iCs/>
        </w:rPr>
        <w:t>Úradnom vestníku Európskej únie</w:t>
      </w:r>
      <w:r w:rsidRPr="00AE7D98">
        <w:t xml:space="preserve"> (v sérii L).</w:t>
      </w:r>
    </w:p>
    <w:p w:rsidR="00004768" w:rsidRPr="00AE7D98" w:rsidRDefault="00004768" w:rsidP="00004768"/>
    <w:p w:rsidR="00004768" w:rsidRPr="00AE7D98" w:rsidRDefault="00004768" w:rsidP="00004768">
      <w:pPr>
        <w:widowControl/>
        <w:rPr>
          <w:rFonts w:ascii="Arial" w:hAnsi="Arial" w:cs="Arial"/>
          <w:b/>
        </w:rPr>
        <w:sectPr w:rsidR="00004768" w:rsidRPr="00AE7D98" w:rsidSect="00CA023D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004768" w:rsidRPr="00AE7D98" w:rsidRDefault="00FE1B24" w:rsidP="00004768">
      <w:pPr>
        <w:pStyle w:val="NormalBold"/>
      </w:pPr>
      <w:r w:rsidRPr="00AE7D98">
        <w:lastRenderedPageBreak/>
        <w:t xml:space="preserve">3. Uznesenie Európskeho parlamentu z 11. apríla 2024 </w:t>
      </w:r>
      <w:r w:rsidR="00004768" w:rsidRPr="00AE7D98">
        <w:t xml:space="preserve">s poznámkami, ktoré </w:t>
      </w:r>
      <w:r w:rsidR="00CF373B" w:rsidRPr="00AE7D98">
        <w:t>je</w:t>
      </w:r>
      <w:r w:rsidR="00004768" w:rsidRPr="00AE7D98">
        <w:t xml:space="preserve"> neoddeliteľnou súčasťou rozhodnutia o absolutóriu za plnenie rozpočtu Európskeho monitorovacieho centra pre drogy a drogovú závislosť za rozpočtový rok 2022</w:t>
      </w:r>
      <w:r w:rsidRPr="00AE7D98">
        <w:t xml:space="preserve"> </w:t>
      </w:r>
      <w:r w:rsidR="00004768" w:rsidRPr="00AE7D98">
        <w:t>(2023/2157(DEC))</w:t>
      </w:r>
    </w:p>
    <w:p w:rsidR="00004768" w:rsidRPr="00AE7D98" w:rsidRDefault="00004768" w:rsidP="00004768">
      <w:pPr>
        <w:pStyle w:val="EPComma"/>
      </w:pPr>
      <w:r w:rsidRPr="00AE7D98">
        <w:rPr>
          <w:i/>
          <w:iCs/>
        </w:rPr>
        <w:t>Európsky parlament</w:t>
      </w:r>
      <w:r w:rsidRPr="00AE7D98">
        <w:t>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svoje rozhodnutie o absolutóriu za plnenie rozpočtu Európskeho monitorovacieho centra pre drogy a drogovú závislosť za rozpočtový rok 2022,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článok 100 a prílohu V k rokovaciemu poriadku,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stanovisko Výboru pre občianske slobody, spravodlivosť a vnútorné veci,</w:t>
      </w:r>
    </w:p>
    <w:p w:rsidR="00004768" w:rsidRPr="00AE7D98" w:rsidRDefault="00004768" w:rsidP="00004768">
      <w:pPr>
        <w:pStyle w:val="NormalHanging12a"/>
      </w:pPr>
      <w:r w:rsidRPr="00AE7D98">
        <w:t>–</w:t>
      </w:r>
      <w:r w:rsidRPr="00AE7D98">
        <w:tab/>
        <w:t>so zreteľom na správu Výboru pre kontrolu rozpočtu (A9-0104/2024),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A.</w:t>
      </w:r>
      <w:r w:rsidRPr="00AE7D98">
        <w:tab/>
        <w:t>keďže podľa výkazu príjmov a výdavkov</w:t>
      </w:r>
      <w:r w:rsidRPr="00AE7D98">
        <w:rPr>
          <w:rStyle w:val="FootnoteReference"/>
          <w:szCs w:val="24"/>
        </w:rPr>
        <w:footnoteReference w:id="13"/>
      </w:r>
      <w:r w:rsidRPr="00AE7D98">
        <w:t xml:space="preserve"> predstavoval konečný rozpočet Európskeho monitorovacieho centra pre drogy a drogovú závislosť (ďalej len „centrum“) za rozpočtový rok 2022 sumu 18 893 136 EUR, čo v porovnaní s rokom 2021 predstavuje pokles o 0,71 %; keďže rozpočet centra pochádza najmä (94 %) z rozpočtu Únie;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B.</w:t>
      </w:r>
      <w:r w:rsidRPr="00AE7D98">
        <w:tab/>
        <w:t>keďže Dvor audítorov vo svojej správe o overení ročnej účtovnej závierky centra za rozpočtový rok 2022 (ďalej len „správa Dvora audítorov“) vyhlásil, že získal primeranú istotu o tom, že ročná účtovná závierka centra je spoľahlivá a že príslušné operácie sú zákonné a správne;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Rozpočtové a finančné riadenie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1.</w:t>
      </w:r>
      <w:r w:rsidRPr="00AE7D98">
        <w:tab/>
        <w:t>s uspokojením konštatuje, že úsilie o monitorovanie rozpočtu v priebehu rozpočtového roka 2022 prinieslo mieru jeho plnenia na úrovni 98,78 % (zníženie o 1,22 % v porovnaní s rokom 2021); konštatuje, že miera plnenia platobných rozpočtových prostriedkov bola 96,65 %, čo v porovnaní s rokom 2021 predstavuje mierne zvýšenie o 0,30 %; ďalej konštatuje, že miera plnenia platobných rozpočtových prostriedkov prenesených z roku 2021 do roku 2022 bola 88,98 %;</w:t>
      </w:r>
    </w:p>
    <w:p w:rsidR="00004768" w:rsidRPr="00AE7D98" w:rsidRDefault="00004768" w:rsidP="00004768">
      <w:pPr>
        <w:pStyle w:val="NormalHanging12a"/>
      </w:pPr>
      <w:r w:rsidRPr="00AE7D98">
        <w:t>2.</w:t>
      </w:r>
      <w:r w:rsidRPr="00AE7D98">
        <w:tab/>
        <w:t>zo správy Dvora audítorov vyplýva, že hoci centrum zaplatilo úroky len za jednu oneskorenú platbu, v systéme finančného a účtovného riadenia centra (systém akruálneho účtovníctva ABAC) bol značný počet platieb nesprávne označený ako oneskorené (107 z 1 595) z dôvodu nesprávnych parametrov a/alebo nesprávnych vstupných údajov týkajúcich sa dátumu splatnosti platby alebo prijatia dokumentov, z ktorých vyplýva platobná povinnosť; z odpovede centra vyplýva, že nedôsledné označovanie oneskorených platieb nemalo vplyv na správnosť príslušných operácií; ďalej poznamenáva, že centrum prijalo určité opatrenia na minimalizáciu uvedeného rizika „falošne pozitívnych výsledkov“ a na ďalšie zabezpečenie toho, aby jeho systém ABAC mohol poskytnúť jasný a presný obraz o skutočných oneskorených platbách; vyzýva agentúru, aby pokračovala v monitorovaní tohto problému a zmierňovala možné budúce riziká poškodenia dobrej povesti spojené s touto otázkou;</w:t>
      </w:r>
    </w:p>
    <w:p w:rsidR="00004768" w:rsidRPr="00AE7D98" w:rsidRDefault="00004768" w:rsidP="00004768">
      <w:pPr>
        <w:pStyle w:val="Normal12Hanging"/>
        <w:ind w:left="0" w:firstLine="0"/>
        <w:rPr>
          <w:b/>
          <w:i/>
          <w:szCs w:val="24"/>
        </w:rPr>
      </w:pPr>
      <w:r w:rsidRPr="00AE7D98">
        <w:rPr>
          <w:b/>
          <w:i/>
        </w:rPr>
        <w:lastRenderedPageBreak/>
        <w:t>Výkonnosť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3.</w:t>
      </w:r>
      <w:r w:rsidRPr="00AE7D98">
        <w:tab/>
        <w:t>konštatuje, že nový model merania výkonnosti centra identifikuje obmedzený počet (10) kompozitných kľúčových ukazovateľov výkonnosti (ďalej len „KPI“), ktoré sa používajú na meranie účinnosti dosahovania želaných výstupov a efektívnosti využívania pridelených zdrojov a ktoré sú doplnené o KPI na vyššej úrovni, ktoré sa zameriavajú na výsledky a vplyvy; konštatuje, že pokiaľ ide o posúdenie kľúčových ukazovateľov výkonnosti, centrum vymedzilo 65 ročných cieľov, z ktorých 57 cieľov (87 %) bolo dosiahnutých v roku 2022;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4.</w:t>
      </w:r>
      <w:r w:rsidRPr="00AE7D98">
        <w:tab/>
        <w:t>konštatuje, že v prípade pracovného programu na rok 2022 centrum dosiahlo 152 zo 188 výstupov/výsledkov (81 %), čiastočne dosiahlo 12 % z nich (t. j. 23 výstupov/výsledkov, ktoré boli oneskorené a na konci roka 2022 prebiehali), zatiaľ čo 12 výsledkov (6 %) sa nerealizovalo a dva výsledky neboli uplatniteľné; poznamenáva, že podľa názoru centra bola väčšina oneskorení alebo zrušených činností v roku 2022 spôsobená nedostatkom zdrojov; ďalej konštatuje, že na vykonávanie svojho nového mandátu (ktorý sa má začať uplatňovať v roku 2022) začalo centrum v roku 2022 s prípravami, ktoré si vyžiadali kľúčové zdroje a niektoré z jeho predtým plánovaných činností si vyžiadali určité úpravy;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5.</w:t>
      </w:r>
      <w:r w:rsidRPr="00AE7D98">
        <w:tab/>
        <w:t xml:space="preserve">uznáva úsilie a pokrok centra v jeho troch oblastiach činnosti (zdravie, bezpečnosť a faktory podporujúce činnosť); berie na vedomie najmä vydanie novej Európskej správy o drogách v roku 2022, ktorá prináša najnovší prehľad o situácii drog v Európe do roku 2022, spustenie platformy elektronického vzdelávania PLATO, na ktorej je umiestnený Európsky učebný plán pre prevenciu, ktorý je určený na vzdelávanie odborníkov zapojených do tvorby rozhodnutí v oblasti prevencie, názorov a politík v Európe, vydanie siedmich </w:t>
      </w:r>
      <w:proofErr w:type="spellStart"/>
      <w:r w:rsidRPr="00AE7D98">
        <w:t>minipríručiek</w:t>
      </w:r>
      <w:proofErr w:type="spellEnd"/>
      <w:r w:rsidRPr="00AE7D98">
        <w:t>, ktoré sa zaoberajú reakciami na drogy v rekreačnom prostredí, miestnych komunitách, školách a väzniciach, ako aj reakciami na potreby rodín a populácie bez domova, a uverejnenie troch spotov o aplikačných miestnostiach pre užívateľov drog, kontrole drog a intervencii v oblasti elektronického zdravotníctva;</w:t>
      </w:r>
    </w:p>
    <w:p w:rsidR="00004768" w:rsidRPr="00AE7D98" w:rsidRDefault="00004768" w:rsidP="00004768">
      <w:pPr>
        <w:pStyle w:val="NormalHanging12a"/>
      </w:pPr>
      <w:r w:rsidRPr="00AE7D98">
        <w:t>6.</w:t>
      </w:r>
      <w:r w:rsidRPr="00AE7D98">
        <w:tab/>
        <w:t>s uznaním konštatuje, že v roku 2022 centrum zverejnilo novú rýchlu štúdiu najnovších trendov so zmiešanými metódami s cieľom posúdiť počiatočnú reakciu služieb na potreby vysídlených Ukrajincov v susedných krajinách Únie; oceňuje spoluprácu centra s </w:t>
      </w:r>
      <w:proofErr w:type="spellStart"/>
      <w:r w:rsidRPr="00AE7D98">
        <w:t>Europolom</w:t>
      </w:r>
      <w:proofErr w:type="spellEnd"/>
      <w:r w:rsidRPr="00AE7D98">
        <w:t xml:space="preserve"> pri príprave štvrtého vydania spoločnej publikácie s názvom Trhy s drogami v EÚ: hĺbková analýza, ktorej zistenia sú prezentované v sérii modulov, z ktorých každý sa zameriava na trh s konkrétnou drogou a zahŕňa trendy v celom dodávateľskom reťazci od výroby a obchodovania až po distribúciu a užívanie; v tejto súvislosti oceňuje spustenie prvých dvoch modulov o kokaíne a </w:t>
      </w:r>
      <w:proofErr w:type="spellStart"/>
      <w:r w:rsidRPr="00AE7D98">
        <w:t>metamfetamíne</w:t>
      </w:r>
      <w:proofErr w:type="spellEnd"/>
      <w:r w:rsidRPr="00AE7D98">
        <w:t xml:space="preserve"> v roku 2022;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7.</w:t>
      </w:r>
      <w:r w:rsidRPr="00AE7D98">
        <w:tab/>
        <w:t xml:space="preserve">konštatuje, že v roku 2022 centrum v spolupráci s partnermi pokračovalo v zavádzaní systému včasného varovania Európskej únie; v tej istej súvislosti konštatuje, že v roku 2022 bolo v systéme včasného varovania prvýkrát oficiálne oznámených 41 nových </w:t>
      </w:r>
      <w:proofErr w:type="spellStart"/>
      <w:r w:rsidRPr="00AE7D98">
        <w:t>psychoaktívnych</w:t>
      </w:r>
      <w:proofErr w:type="spellEnd"/>
      <w:r w:rsidRPr="00AE7D98">
        <w:t xml:space="preserve"> látok; ďalej konštatuje, že dve nové </w:t>
      </w:r>
      <w:proofErr w:type="spellStart"/>
      <w:r w:rsidRPr="00AE7D98">
        <w:t>psychoaktívne</w:t>
      </w:r>
      <w:proofErr w:type="spellEnd"/>
      <w:r w:rsidRPr="00AE7D98">
        <w:t xml:space="preserve"> látky, ktorých riziká posúdilo centrum v roku 2021 [3-chlórmetkatinón (3-CMC) a 3-metylmetkatinón (3-MMC)], boli v roku 2022 zahrnuté do vymedzenia pojmu „drogy“ delegovanou smernicou Komisie;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8.</w:t>
      </w:r>
      <w:r w:rsidRPr="00AE7D98">
        <w:tab/>
        <w:t xml:space="preserve">víta účasť centra na podujatiach odbornej prípravy v oblasti drog a na budovaní kapacít, </w:t>
      </w:r>
      <w:r w:rsidRPr="00AE7D98">
        <w:lastRenderedPageBreak/>
        <w:t xml:space="preserve">ktoré mu umožnili poskytnúť svoje znalosti takmer 950 odborníkom pracujúcim v oblasti drog vrátane úradníkov a tvorcov politík v oblasti presadzovania práva; okrem toho konštatuje, že na siedmich webových seminároch, ktoré centrum zorganizovalo v roku 2022, sa zúčastnilo približne 1 200 odborníkov pracujúcich v oblasti drog na celom svete; vyjadruje uznanie centru za to, že spolu so svojimi partnermi zorganizovalo štvrtú európsku konferenciu o návykovom správaní a závislostiach: </w:t>
      </w:r>
      <w:proofErr w:type="spellStart"/>
      <w:r w:rsidRPr="00AE7D98">
        <w:t>Lisbon</w:t>
      </w:r>
      <w:proofErr w:type="spellEnd"/>
      <w:r w:rsidRPr="00AE7D98">
        <w:t xml:space="preserve"> </w:t>
      </w:r>
      <w:proofErr w:type="spellStart"/>
      <w:r w:rsidRPr="00AE7D98">
        <w:t>Addictions</w:t>
      </w:r>
      <w:proofErr w:type="spellEnd"/>
      <w:r w:rsidRPr="00AE7D98">
        <w:t xml:space="preserve"> 2022, na ktorej sa v rámci hlavnej témy „Globálne závislosti“ zišiel rekordný počet 1 757 účastníkov z 84 krajín;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9.</w:t>
      </w:r>
      <w:r w:rsidRPr="00AE7D98">
        <w:tab/>
        <w:t>víta neúnavné úsilie centra o zdôraznenie sociálnych aspektov a spoločenského vplyvu drog, podporu politík sociálnej reintegrácie pre užívateľov drog a prístup k téme drog s multidisciplinárnym výhľadom. považuje za nevyhnutné pokračovať v zvyšovaní povedomia o význame prevencie a inovatívneho prístupu k protidrogovým politikám založeného na duševnom zdraví;</w:t>
      </w:r>
    </w:p>
    <w:p w:rsidR="00004768" w:rsidRPr="00AE7D98" w:rsidRDefault="00004768" w:rsidP="00004768">
      <w:pPr>
        <w:pStyle w:val="NormalHanging12a"/>
      </w:pPr>
      <w:r w:rsidRPr="00AE7D98">
        <w:t>10.</w:t>
      </w:r>
      <w:r w:rsidRPr="00AE7D98">
        <w:tab/>
        <w:t xml:space="preserve">víta pokrok, ktorý dosiahlo centrum na spoločných trhoch EÚ s drogami: hĺbkovú analýzu v spolupráci s </w:t>
      </w:r>
      <w:proofErr w:type="spellStart"/>
      <w:r w:rsidRPr="00AE7D98">
        <w:t>Europolom</w:t>
      </w:r>
      <w:proofErr w:type="spellEnd"/>
      <w:r w:rsidRPr="00AE7D98">
        <w:t xml:space="preserve">, ktorá zahŕňa moduly o konkrétnych drogách uverejnených v priebehu roka 2022, a s plánovanými verziami v roku 2023; víta, že v roku 2022 pracovalo na zlepšení kvality a dostupnosti základných údajov o ponuke drog v spolupráci s národnými kontaktnými miestami siete </w:t>
      </w:r>
      <w:proofErr w:type="spellStart"/>
      <w:r w:rsidRPr="00AE7D98">
        <w:t>Reitox</w:t>
      </w:r>
      <w:proofErr w:type="spellEnd"/>
      <w:r w:rsidRPr="00AE7D98">
        <w:t xml:space="preserve"> a </w:t>
      </w:r>
      <w:proofErr w:type="spellStart"/>
      <w:r w:rsidRPr="00AE7D98">
        <w:t>Europolom</w:t>
      </w:r>
      <w:proofErr w:type="spellEnd"/>
      <w:r w:rsidRPr="00AE7D98">
        <w:t xml:space="preserve">; víta, že centrum vykonávalo všetky úlohy v rámci operatívnych akčných plánov multidisciplinárnej platformy proti hrozbám trestnej činnosti, ktoré sa týkajú </w:t>
      </w:r>
      <w:proofErr w:type="spellStart"/>
      <w:r w:rsidRPr="00AE7D98">
        <w:t>kanabisu</w:t>
      </w:r>
      <w:proofErr w:type="spellEnd"/>
      <w:r w:rsidRPr="00AE7D98">
        <w:t>, kokaínu a heroínu;</w:t>
      </w:r>
      <w:r w:rsidRPr="00AE7D98">
        <w:rPr>
          <w:rStyle w:val="FootnoteReference"/>
        </w:rPr>
        <w:t xml:space="preserve"> </w:t>
      </w:r>
      <w:r w:rsidRPr="00AE7D98">
        <w:t>pripomína, že obchodovanie s drogami bolo označené za hlavný zdroj zisku a za jeden z kanálov pre nábor na organizovanú trestnú činnosť a terorizmus, a zdôrazňuje prínos centra pre bezpečnejšiu Európu;</w:t>
      </w:r>
    </w:p>
    <w:p w:rsidR="00004768" w:rsidRPr="00AE7D98" w:rsidRDefault="00004768" w:rsidP="00004768">
      <w:pPr>
        <w:pStyle w:val="NormalHanging12a"/>
      </w:pPr>
      <w:r w:rsidRPr="00AE7D98">
        <w:t>11.</w:t>
      </w:r>
      <w:r w:rsidRPr="00AE7D98">
        <w:tab/>
        <w:t>víta prebiehajúcu spoluprácu medzi centrom a partnerskými krajinami európskej susedskej politiky na regionálnej úrovni prostredníctvom projektu technickej pomoci EU4MD, ako aj prebiehajúce vykonávanie dvojstranného projektu s Gruzínskom EMCDDA4GE; víta, že v oblasti protidrogových politík bolo vytvorené oficiálne partnerstvo v rámci programu spolupráce medzi Latinskou Amerikou, Karibikom a Európskou úniou;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Efektívnosť a prínos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12.</w:t>
      </w:r>
      <w:r w:rsidRPr="00AE7D98">
        <w:tab/>
        <w:t>vyjadruje centru uznanie za záväzok neustále zlepšovať účinnosť a efektívnosť svojich činností a maximálne využívať svoje zdroje, odborné znalosti a know-how s cieľom v konečnom dôsledku prispieť k bezpečnejšej a zdravšej Európe, najmä prostredníctvom dohôd o spolupráci s agentúrami v oblasti spravodlivosti a vnútorných vecí a zdravotníctva; berie na vedomie opatrenia, ktoré centrum prijalo s cieľom znížiť prevádzkové náklady na svoje priestory, napríklad používanie slnečnej clony na presklených plochách a klimatizačných spínačov na oknách; ďalej berie na vedomie dohodu s Európskou námornou bezpečnostnou agentúrou o spoločnom využívaní spoločných priestorov (jedáleň, podzemné parkovisko a konferenčné priestory) v areáli, kde sa nachádza ich sídlo, a spoluprácu medzi oboma agentúrami v oblasti spoločného obstarávania spoločných služieb (okrem iného napr. bezpečnostných, upratovacích a stravovacích) a spoločného organizovania vzdelávacích aktivít spoločného záujmu pre zamestnancov oboch agentúr;</w:t>
      </w:r>
    </w:p>
    <w:p w:rsidR="00004768" w:rsidRPr="00AE7D98" w:rsidRDefault="00004768" w:rsidP="00004768">
      <w:pPr>
        <w:pStyle w:val="Normal12Hanging"/>
      </w:pPr>
      <w:r w:rsidRPr="00AE7D98">
        <w:t>13.</w:t>
      </w:r>
      <w:r w:rsidRPr="00AE7D98">
        <w:tab/>
        <w:t xml:space="preserve">s uspokojením konštatuje, že centrum má strategický plán (environmentálna stratégia na roky 2021 – 2025) na dosiahnutie uhlíkovej neutrality a že do svojej výročnej správy </w:t>
      </w:r>
      <w:r w:rsidRPr="00AE7D98">
        <w:lastRenderedPageBreak/>
        <w:t>o činnosti zahrnulo metriky týkajúce sa environmentálneho výkonu centra a jeho uhlíkovej stopy, pričom od roku 2014 sa jeho výsledky každoročne zlepšujú; víta rozhodnutie riaditeľa centra prijaté v roku 2022 o získaní certifikátu EMAS, ktorého proces by mal byť ukončený v roku 2023;</w:t>
      </w:r>
    </w:p>
    <w:p w:rsidR="00004768" w:rsidRPr="00AE7D98" w:rsidRDefault="00004768" w:rsidP="00004768">
      <w:pPr>
        <w:pStyle w:val="Normal12Hanging"/>
      </w:pPr>
      <w:r w:rsidRPr="00AE7D98">
        <w:t>14.</w:t>
      </w:r>
      <w:r w:rsidRPr="00AE7D98">
        <w:tab/>
        <w:t>konštatuje, že v roku 2022 centrum realizovalo niekoľko projektov zameraných na zlepšenie environmentálneho správania, a to zlepšením spotreby elektrickej energie, inštaláciou solárnych článkov na streche budovy, ako aj inštaláciou staníc na spoločné využívanie elektrických vozidiel s cieľom nahradiť vozový park centra elektrickými alebo hybridnými vozidlami;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Personálna politika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15.</w:t>
      </w:r>
      <w:r w:rsidRPr="00AE7D98">
        <w:tab/>
        <w:t>berie na vedomie, že k 31. decembru 2022 bol plán pracovných miest naplnený na 97 %, pričom zo šiestich úradníkov a 68 dočasných zamestnancov schválených v rámci rozpočtu Únie (v roku 2021 bolo rovnako ako v roku 2021 schválených 76 pracovných miest) bolo vymenovaných sedem úradníkov a 69 dočasných zamestnancov; konštatuje, že v roku 2022 centrum okrem toho zamestnávalo 27 zmluvných zamestnancov; víta skríning zamestnancov centra v roku 2022 a účinné a efektívne pridelenie jeho zdrojov, pričom 72,44 % zamestnancov centra bolo pridelených na prevádzkové činnosti, 18,20 % na administratívnu podporu a koordináciu, a 9,35 % na neutrálne činnosti; chváli centrum za nízku mieru fluktuácie zamestnancov (2,9 %) v roku 2022;</w:t>
      </w:r>
    </w:p>
    <w:p w:rsidR="00004768" w:rsidRPr="00AE7D98" w:rsidRDefault="00004768" w:rsidP="00004768">
      <w:pPr>
        <w:pStyle w:val="NormalHanging12a"/>
      </w:pPr>
      <w:r w:rsidRPr="00AE7D98">
        <w:t>16.</w:t>
      </w:r>
      <w:r w:rsidRPr="00AE7D98">
        <w:tab/>
        <w:t>konštatuje, že podľa informácií centra sú v jeho vrcholovom manažmente dve ženy (22 %) a sedem mužov (78 %), zatiaľ čo v správnej rade je 20 žien (37 %) a 34 mužov (63 %); konštatuje, že celkový počet zamestnancov tvorí 36 mužov (38 %) a 58 žien (62 %); pripomína, že je dôležité zabezpečiť rodovú rovnováhu, a vyzýva centrum, aby tento aspekt zohľadnilo pri budúcom prijímaní zamestnancov a menovaní do vyššieho manažmentu; žiada Komisiu a členské štáty, aby zohľadnili význam zabezpečenia rodovej rovnováhy pri predkladaní svojich nominácií na členov správnej rady centra;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17.</w:t>
      </w:r>
      <w:r w:rsidRPr="00AE7D98">
        <w:tab/>
        <w:t>berie na vedomie správu centra o následných opatreniach prijatých v súvislosti s udelením absolutória za plnenie rozpočtu centra za rozpočtový rok 2021 (ďalej len „správa centra“) na zlepšenie rodovej rovnováhy v rámci centra; konštatuje, že tieto opatrenia boli prijaté v súvislosti s výberovými konaniami centra a šírením informácií o výberovom konaní centra v členských štátoch; vyjadruje uznanie predsedovi správnej rady centra za to, že oslovil príslušné orgány členských štátov, Nórska a Turecka, aby zabezpečili rodovú rovnováhu pri nominácii členov správnej rady centra; ďalej konštatuje, že v správe centra sa v súvislosti s pripomienkou o nepoužívaní systému SYSPER uvádza, že centrum vyvinulo a zaviedlo vlastné nástroje informačných a komunikačných technológií na digitalizované riadenie ľudských zdrojov;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18.</w:t>
      </w:r>
      <w:r w:rsidRPr="00AE7D98">
        <w:tab/>
        <w:t>pripomína z výročnej správy Dvora audítorov o agentúrach Únie za rok 2018 pripomienku týkajúcu sa zamestnávania dočasných pracovníkov prostredníctvom rámcovej zmluvy bez dodržiavania požiadaviek smernice 2008/104/ES</w:t>
      </w:r>
      <w:r w:rsidRPr="00AE7D98">
        <w:rPr>
          <w:rStyle w:val="FootnoteReference"/>
          <w:szCs w:val="24"/>
        </w:rPr>
        <w:footnoteReference w:id="14"/>
      </w:r>
      <w:r w:rsidRPr="00AE7D98">
        <w:t xml:space="preserve"> a portugalského pracovného práva; zo správy Dvora audítorov vyplýva, že táto pripomienka je uzavretá, zatiaľ čo platnosť predmetnej rámcovej zmluvy sa skončila v marci 2022 a posledná </w:t>
      </w:r>
      <w:r w:rsidRPr="00AE7D98">
        <w:lastRenderedPageBreak/>
        <w:t>platba týkajúca sa dočasných pracovníkov sa uskutočnila v januári 2022;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Verejné obstarávanie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19.</w:t>
      </w:r>
      <w:r w:rsidRPr="00AE7D98">
        <w:tab/>
        <w:t>zo správy Dvora audítorov vyplýva, že suma (75 000 EUR) zodpovedajúca zmluve uzavretej v roku 2022 nebola v plnej miere pokrytá zodpovedajúcim rozpočtovým záväzkom, čo viedlo k deficitu vo výške 8 000 EUR; konštatuje, že podobná situácia nastala v roku 2021 v prípade rovnakého typu zmluvy a v oboch prípadoch centrum podľa správy Dvora audítorov nedodržalo požiadavky článku 10 ods. 3 a článku 73 ods. 2 nariadenia o rozpočtových pravidlách centra; z odpovede centra však potvrdzuje, že náklady na zmluvu boli rozdelené podľa dohôd uzavretých s ďalšími dvoma subjektmi, ktoré využívajú priestory centra v Lisabone; v tejto súvislosti poznamenáva, že centrum muselo znášať len časť celkových nákladov/výdavkov na zmluvu, ktoré sa opierali o príslušné rozpočtové záväzky, zatiaľ čo ostatné náklady sa opierali o kompenzačné/vyrovnávacie účtovné operácie, keďže tieto náklady znášali dva iné subjekty;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Prevencia, riešenie konfliktov záujmov a transparentnosť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20.</w:t>
      </w:r>
      <w:r w:rsidRPr="00AE7D98">
        <w:tab/>
        <w:t>uznáva existujúce opatrenia a pokračujúce úsilie centra o zabezpečenie transparentnosti, prevencie a riešenia konfliktov záujmov a ochrany oznamovateľov protispoločenskej činnosti; konštatuje, že v roku 2022 neboli oznámené, vyšetrované ani uzavreté žiadne prípady konfliktu záujmov a oznamovania protispoločenskej činnosti; víta skutočnosť, že centrum na svojom webovom sídle zverejnilo vyhlásenia o záujmoch a životopisy zamestnancov vrcholového manažmentu, členov správnej rady a externých odborníkov, ktorí sú členmi vedeckého výboru centra; pripomína, že v prípade členov správnej rady je na webovom sídle centra k dispozícii len prehľad ich súčasných odborných činností; berie na vedomie záväzok centra zaoberať sa do konca roka 2023 možnosťou zahrnúť do zverejnených životopisov aj doterajšiu odbornú činnosť týchto členov;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21.</w:t>
      </w:r>
      <w:r w:rsidRPr="00AE7D98">
        <w:tab/>
        <w:t>konštatuje, že centrum sa v roku 2022 nestretlo s lobistami; ďalej konštatuje, že na základe usmernení a odporúčaní vypracovaných Komisiou a európskou ombudsmankou v tejto veci centrum zaviedlo kódex správania a praktické odporúčania/usmernenia pre prípadnú interakciu svojich zamestnancov so zástupcami záujmových skupín; ďalej poznamenáva, že v prípade, že sa takéto stretnutia uskutočnia, tieto usmernenia odporúčajú, aby sa stretnutie zaregistrovalo a zverejnilo; vyzýva centrum, aby sa riadilo týmito usmerneniami a bezodkladne zverejnilo tieto stretnutia;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Vnútorná kontrola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22.</w:t>
      </w:r>
      <w:r w:rsidRPr="00AE7D98">
        <w:tab/>
        <w:t>konštatuje, že v roku 2022 vykonal Útvar pre vnútorný audit (</w:t>
      </w:r>
      <w:r w:rsidR="00CF373B" w:rsidRPr="00AE7D98">
        <w:t>ďalej len „</w:t>
      </w:r>
      <w:r w:rsidRPr="00AE7D98">
        <w:t>IAS</w:t>
      </w:r>
      <w:r w:rsidR="00CF373B" w:rsidRPr="00AE7D98">
        <w:t>“</w:t>
      </w:r>
      <w:r w:rsidRPr="00AE7D98">
        <w:t>) pre centrum dva audity, a to audit medzinárodnej spolupráce a primeranosti koordinácie a pracovných mechanizmov partnerských generálnych riaditeľstiev a iných zainteresovaných strán, ako aj rámca riadenia decentralizovaných agentúr Únie; konštatuje, že v prípade oboch projektov auditu neboli ešte na konci roka 2022 k dispozícii výsledky auditu, keďže z auditu riadenia ľudských zdrojov a etiky vykonaného v roku 2021 neboli k dispozícii žiadne nevyriešené kritické riziká a odporúčania IAS, s výnimkou jedného nevyriešeného odporúčania týkajúceho sa internej komunikácie;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23.</w:t>
      </w:r>
      <w:r w:rsidRPr="00AE7D98">
        <w:tab/>
        <w:t xml:space="preserve">víta výsledok hodnotenia účinnosti systémov vnútornej kontroly centra za rok 2022, </w:t>
      </w:r>
      <w:r w:rsidRPr="00AE7D98">
        <w:lastRenderedPageBreak/>
        <w:t>podľa ktorého sú všetky zložky prítomné a fungujú; konštatuje, že v rámci hodnotenia bolo identifikovaných päť zásad rámca vnútornej kontroly, v ktorých môžu byť potrebné určité zlepšenia, a to v súvislosti s kontrolným prostredím, kontrolnými činnosťami a informovaním a komunikáciou; ďalej konštatuje, že v roku 2022 sa uskutočnila komplexná identifikácia a hodnotenie rizík zamerané na zlepšenie riadenia rizík v centre, pričom identifikované riziká súviseli s novým mandátom centra a jeho novým obchodným modelom; vyzýva centrum, aby odstránilo všetky nedostatky zistené pri rôznych hodnoteniach vykonaných v roku 2022;</w:t>
      </w:r>
    </w:p>
    <w:p w:rsidR="00004768" w:rsidRPr="00AE7D98" w:rsidRDefault="00004768" w:rsidP="00004768">
      <w:pPr>
        <w:pStyle w:val="Normal12Hanging"/>
      </w:pPr>
      <w:r w:rsidRPr="00AE7D98">
        <w:t>24.</w:t>
      </w:r>
      <w:r w:rsidRPr="00AE7D98">
        <w:tab/>
        <w:t>konštatuje, že centrum prijalo v roku 2021 revidovanú stratégiu boja proti podvodom s tromi strategickými cieľmi a akčným plánom na vykonávanie v roku 2022, ktorý sa do konca roka vo veľkej miere vykonával, pričom len jedno z 12 opatrení bolo stále otvorené;</w:t>
      </w:r>
    </w:p>
    <w:p w:rsidR="00004768" w:rsidRPr="00AE7D98" w:rsidRDefault="00004768" w:rsidP="00004768">
      <w:pPr>
        <w:pStyle w:val="Normal12Hanging"/>
        <w:rPr>
          <w:b/>
          <w:i/>
          <w:szCs w:val="24"/>
        </w:rPr>
      </w:pPr>
      <w:r w:rsidRPr="00AE7D98">
        <w:rPr>
          <w:b/>
          <w:i/>
        </w:rPr>
        <w:t>Ďalšie pripomienky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25.</w:t>
      </w:r>
      <w:r w:rsidRPr="00AE7D98">
        <w:tab/>
        <w:t>vyjadruje centru uznanie za komunikačné úsilie, ktoré bolo zamerané na zabezpečenie vydávania kvalitných publikácií, pričom v roku 2022 bolo vydaných 66 vedeckých a inštitucionálnych publikácií a 16 vedeckých článkov a kapitol v knihách, ktorých autorom alebo spoluautorom bolo centrum a ktoré boli uverejnené v prestížnych časopisoch;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26.</w:t>
      </w:r>
      <w:r w:rsidRPr="00AE7D98">
        <w:tab/>
        <w:t xml:space="preserve">víta výrazný nárast počtu divákov, ktorých centrum oslovilo v roku 2022 prostredníctvom všetkých kanálov; v tejto súvislosti konštatuje, že centrum zaznamenalo približne 2,6 milióna jedinečných návštevníkov na webovom sídle, čo je rekordný počet (nárast o takmer 50 % oproti roku 2021), 1,6 milióna zobrazení svojich videí (nárast o 15 % oproti roku 2021) a nárast </w:t>
      </w:r>
      <w:proofErr w:type="spellStart"/>
      <w:r w:rsidRPr="00AE7D98">
        <w:t>sledovateľov</w:t>
      </w:r>
      <w:proofErr w:type="spellEnd"/>
      <w:r w:rsidRPr="00AE7D98">
        <w:t xml:space="preserve"> na dvoch kľúčových kanáloch sociálnych médií, LinkedIn (+57 %) a </w:t>
      </w:r>
      <w:proofErr w:type="spellStart"/>
      <w:r w:rsidRPr="00AE7D98">
        <w:t>Instagram</w:t>
      </w:r>
      <w:proofErr w:type="spellEnd"/>
      <w:r w:rsidRPr="00AE7D98">
        <w:t xml:space="preserve"> (+37 %);</w:t>
      </w:r>
    </w:p>
    <w:p w:rsidR="00004768" w:rsidRPr="00AE7D98" w:rsidRDefault="00004768" w:rsidP="00004768">
      <w:pPr>
        <w:pStyle w:val="Normal12Hanging"/>
        <w:rPr>
          <w:szCs w:val="24"/>
        </w:rPr>
      </w:pPr>
      <w:r w:rsidRPr="00AE7D98">
        <w:t>27.</w:t>
      </w:r>
      <w:r w:rsidRPr="00AE7D98">
        <w:tab/>
        <w:t>vyzýva centrum, aby sa zameralo na oboznamovanie širokej verejnosti s výsledkami svojho výskumu a aby verejnosť informovala prostredníctvom sociálnych médií a iných médií; v tejto súvislosti víta dostupnosť správ, ktoré centrum vypracovalo, pre používateľov;</w:t>
      </w:r>
    </w:p>
    <w:p w:rsidR="00004768" w:rsidRPr="00AE7D98" w:rsidRDefault="00004768" w:rsidP="00004768">
      <w:pPr>
        <w:pStyle w:val="NormalHanging12a"/>
        <w:rPr>
          <w:szCs w:val="24"/>
        </w:rPr>
      </w:pPr>
      <w:r w:rsidRPr="00AE7D98">
        <w:t>28.</w:t>
      </w:r>
      <w:r w:rsidRPr="00AE7D98">
        <w:tab/>
        <w:t xml:space="preserve">víta internetovú stránku „EMCDDA 4 </w:t>
      </w:r>
      <w:proofErr w:type="spellStart"/>
      <w:r w:rsidRPr="00AE7D98">
        <w:t>Ukraine</w:t>
      </w:r>
      <w:proofErr w:type="spellEnd"/>
      <w:r w:rsidRPr="00AE7D98">
        <w:t>“, ktorá bola vytvorená pre odborníkov pracujúcich v oblasti drog v Európe a poskytujúcich podporu osobám vysídleným z Ukrajiny;</w:t>
      </w:r>
    </w:p>
    <w:p w:rsidR="00004768" w:rsidRPr="00AE7D98" w:rsidRDefault="00004768" w:rsidP="00004768">
      <w:pPr>
        <w:pStyle w:val="NormalCenter12a"/>
      </w:pPr>
      <w:r w:rsidRPr="00AE7D98">
        <w:t>°</w:t>
      </w:r>
    </w:p>
    <w:p w:rsidR="00004768" w:rsidRPr="00AE7D98" w:rsidRDefault="00004768" w:rsidP="00004768">
      <w:pPr>
        <w:pStyle w:val="NormalCenter12a"/>
      </w:pPr>
      <w:r w:rsidRPr="00AE7D98">
        <w:t>°</w:t>
      </w:r>
      <w:r w:rsidRPr="00AE7D98">
        <w:tab/>
        <w:t>°</w:t>
      </w:r>
    </w:p>
    <w:p w:rsidR="00004768" w:rsidRPr="00AE7D98" w:rsidRDefault="00004768" w:rsidP="00004768">
      <w:pPr>
        <w:pStyle w:val="NormalHanging12a"/>
      </w:pPr>
      <w:r w:rsidRPr="00AE7D98">
        <w:t>29.</w:t>
      </w:r>
      <w:r w:rsidRPr="00AE7D98">
        <w:tab/>
        <w:t>pokiaľ ide o ďalšie poznámky horizontálnej povahy, ktoré sú súčasťou rozhodnutia o absolutóriu, odvoláva sa na svoje uznesenie z</w:t>
      </w:r>
      <w:r w:rsidR="00FE1B24" w:rsidRPr="00AE7D98">
        <w:t> 11. apríla</w:t>
      </w:r>
      <w:r w:rsidRPr="00AE7D98">
        <w:t xml:space="preserve"> 2024</w:t>
      </w:r>
      <w:r w:rsidRPr="00AE7D98">
        <w:rPr>
          <w:rStyle w:val="FootnoteReference"/>
        </w:rPr>
        <w:footnoteReference w:id="15"/>
      </w:r>
      <w:r w:rsidRPr="00AE7D98">
        <w:t xml:space="preserve"> o výkonnosti, finančnom hospodárení a kontrole agentúr.</w:t>
      </w:r>
    </w:p>
    <w:p w:rsidR="00004768" w:rsidRPr="00AE7D98" w:rsidRDefault="00004768" w:rsidP="00004768"/>
    <w:p w:rsidR="00E365E1" w:rsidRPr="00AE7D98" w:rsidRDefault="00E365E1" w:rsidP="000D3C4F">
      <w:bookmarkStart w:id="9" w:name="TextBodyEnd"/>
      <w:bookmarkEnd w:id="9"/>
    </w:p>
    <w:sectPr w:rsidR="00E365E1" w:rsidRPr="00AE7D98" w:rsidSect="00CA02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C4F" w:rsidRPr="00CA023D" w:rsidRDefault="000D3C4F">
      <w:r w:rsidRPr="00CA023D">
        <w:separator/>
      </w:r>
    </w:p>
  </w:endnote>
  <w:endnote w:type="continuationSeparator" w:id="0">
    <w:p w:rsidR="000D3C4F" w:rsidRPr="00CA023D" w:rsidRDefault="000D3C4F">
      <w:r w:rsidRPr="00CA02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768" w:rsidRPr="00CA023D" w:rsidRDefault="00004768" w:rsidP="00612B4D">
    <w:pPr>
      <w:pStyle w:val="EPFooter"/>
    </w:pPr>
    <w:r w:rsidRPr="00CA023D">
      <w:t>PE</w:t>
    </w:r>
    <w:r w:rsidRPr="00CA023D">
      <w:rPr>
        <w:rStyle w:val="HideTWBExt"/>
      </w:rPr>
      <w:t>&lt;NoPE&gt;</w:t>
    </w:r>
    <w:r w:rsidRPr="00CA023D">
      <w:t>753.525</w:t>
    </w:r>
    <w:r w:rsidRPr="00CA023D">
      <w:rPr>
        <w:rStyle w:val="HideTWBExt"/>
      </w:rPr>
      <w:t>&lt;/NoPE&gt;&lt;Version&gt;</w:t>
    </w:r>
    <w:r w:rsidRPr="00CA023D">
      <w:t>v02-00</w:t>
    </w:r>
    <w:r w:rsidRPr="00CA023D">
      <w:rPr>
        <w:rStyle w:val="HideTWBExt"/>
      </w:rPr>
      <w:t>&lt;/Version&gt;</w:t>
    </w:r>
    <w:r w:rsidRPr="00CA023D">
      <w:tab/>
    </w:r>
    <w:r w:rsidRPr="00CA023D">
      <w:fldChar w:fldCharType="begin"/>
    </w:r>
    <w:r w:rsidRPr="00CA023D">
      <w:instrText xml:space="preserve"> PAGE  \* MERGEFORMAT </w:instrText>
    </w:r>
    <w:r w:rsidRPr="00CA023D">
      <w:fldChar w:fldCharType="separate"/>
    </w:r>
    <w:r w:rsidRPr="00CA023D">
      <w:rPr>
        <w:noProof/>
      </w:rPr>
      <w:t>4</w:t>
    </w:r>
    <w:r w:rsidRPr="00CA023D">
      <w:fldChar w:fldCharType="end"/>
    </w:r>
    <w:r w:rsidRPr="00CA023D">
      <w:t>/</w:t>
    </w:r>
    <w:fldSimple w:instr=" NUMPAGES  \* MERGEFORMAT ">
      <w:r w:rsidRPr="00CA023D">
        <w:rPr>
          <w:noProof/>
        </w:rPr>
        <w:t>4</w:t>
      </w:r>
    </w:fldSimple>
    <w:r w:rsidRPr="00CA023D">
      <w:tab/>
    </w:r>
    <w:r w:rsidRPr="00CA023D">
      <w:rPr>
        <w:rStyle w:val="HideTWBExt"/>
      </w:rPr>
      <w:t>&lt;PathFdR&gt;</w:t>
    </w:r>
    <w:r w:rsidRPr="00CA023D">
      <w:t>RR\1298782SK.docx</w:t>
    </w:r>
    <w:r w:rsidRPr="00CA023D">
      <w:rPr>
        <w:rStyle w:val="HideTWBExt"/>
      </w:rPr>
      <w:t>&lt;/PathFdR&gt;</w:t>
    </w:r>
  </w:p>
  <w:p w:rsidR="00004768" w:rsidRPr="00CA023D" w:rsidRDefault="00004768" w:rsidP="00612B4D">
    <w:pPr>
      <w:pStyle w:val="EPFooter2"/>
    </w:pPr>
    <w:r w:rsidRPr="00CA023D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768" w:rsidRPr="00CA023D" w:rsidRDefault="00004768" w:rsidP="00612B4D">
    <w:pPr>
      <w:pStyle w:val="EPFooter"/>
    </w:pPr>
    <w:r w:rsidRPr="00CA023D">
      <w:rPr>
        <w:rStyle w:val="HideTWBExt"/>
      </w:rPr>
      <w:t>&lt;PathFdR&gt;</w:t>
    </w:r>
    <w:r w:rsidRPr="00CA023D">
      <w:t>RR\1298782SK.docx</w:t>
    </w:r>
    <w:r w:rsidRPr="00CA023D">
      <w:rPr>
        <w:rStyle w:val="HideTWBExt"/>
      </w:rPr>
      <w:t>&lt;/PathFdR&gt;</w:t>
    </w:r>
    <w:r w:rsidRPr="00CA023D">
      <w:tab/>
    </w:r>
    <w:r w:rsidRPr="00CA023D">
      <w:tab/>
      <w:t>PE</w:t>
    </w:r>
    <w:r w:rsidRPr="00CA023D">
      <w:rPr>
        <w:rStyle w:val="HideTWBExt"/>
      </w:rPr>
      <w:t>&lt;NoPE&gt;</w:t>
    </w:r>
    <w:r w:rsidRPr="00CA023D">
      <w:t>753.525</w:t>
    </w:r>
    <w:r w:rsidRPr="00CA023D">
      <w:rPr>
        <w:rStyle w:val="HideTWBExt"/>
      </w:rPr>
      <w:t>&lt;/NoPE&gt;&lt;Version&gt;</w:t>
    </w:r>
    <w:r w:rsidRPr="00CA023D">
      <w:t>v02-00</w:t>
    </w:r>
    <w:r w:rsidRPr="00CA023D">
      <w:rPr>
        <w:rStyle w:val="HideTWBExt"/>
      </w:rPr>
      <w:t>&lt;/Version&gt;</w:t>
    </w:r>
  </w:p>
  <w:p w:rsidR="00004768" w:rsidRPr="00CA023D" w:rsidRDefault="00004768" w:rsidP="00612B4D">
    <w:pPr>
      <w:pStyle w:val="EPFooter2"/>
    </w:pPr>
    <w:r w:rsidRPr="00CA023D">
      <w:t>SK</w:t>
    </w:r>
    <w:r w:rsidRPr="00CA023D">
      <w:tab/>
    </w:r>
    <w:r w:rsidRPr="00CA023D">
      <w:rPr>
        <w:b w:val="0"/>
        <w:i/>
        <w:color w:val="C0C0C0"/>
        <w:sz w:val="22"/>
      </w:rPr>
      <w:t>Zjednotení v rozmanitosti</w:t>
    </w:r>
    <w:r w:rsidRPr="00CA023D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23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23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2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C4F" w:rsidRPr="00CA023D" w:rsidRDefault="000D3C4F">
      <w:r w:rsidRPr="00CA023D">
        <w:separator/>
      </w:r>
    </w:p>
  </w:footnote>
  <w:footnote w:type="continuationSeparator" w:id="0">
    <w:p w:rsidR="000D3C4F" w:rsidRPr="00CA023D" w:rsidRDefault="000D3C4F">
      <w:r w:rsidRPr="00CA023D">
        <w:continuationSeparator/>
      </w:r>
    </w:p>
  </w:footnote>
  <w:footnote w:id="1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 xml:space="preserve">Ú. v. EÚ </w:t>
      </w:r>
      <w:r w:rsidR="00116113">
        <w:rPr>
          <w:sz w:val="24"/>
          <w:lang w:val="sk-SK"/>
        </w:rPr>
        <w:t xml:space="preserve">C, </w:t>
      </w:r>
      <w:r w:rsidRPr="00CA023D">
        <w:rPr>
          <w:sz w:val="24"/>
          <w:lang w:val="sk-SK"/>
        </w:rPr>
        <w:t>C/2023/594, 27.10.2023.</w:t>
      </w:r>
    </w:p>
  </w:footnote>
  <w:footnote w:id="2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 xml:space="preserve">Ú. v. </w:t>
      </w:r>
      <w:r w:rsidRPr="00CA023D">
        <w:rPr>
          <w:sz w:val="24"/>
          <w:lang w:val="sk-SK"/>
        </w:rPr>
        <w:t xml:space="preserve">EÚ </w:t>
      </w:r>
      <w:r w:rsidR="00116113">
        <w:rPr>
          <w:sz w:val="24"/>
          <w:lang w:val="sk-SK"/>
        </w:rPr>
        <w:t xml:space="preserve">C, </w:t>
      </w:r>
      <w:r w:rsidRPr="00CA023D">
        <w:rPr>
          <w:sz w:val="24"/>
          <w:lang w:val="sk-SK"/>
        </w:rPr>
        <w:t>C/2023/112, 12.10.2023.</w:t>
      </w:r>
    </w:p>
  </w:footnote>
  <w:footnote w:id="3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193, 30.7.2018, s. 1.</w:t>
      </w:r>
    </w:p>
  </w:footnote>
  <w:footnote w:id="4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376, 27.12.2006, s. 1.</w:t>
      </w:r>
    </w:p>
  </w:footnote>
  <w:footnote w:id="5">
    <w:p w:rsidR="00004768" w:rsidRPr="00CA023D" w:rsidRDefault="00004768" w:rsidP="00CA023D">
      <w:pPr>
        <w:pStyle w:val="FootnoteText"/>
        <w:ind w:left="567" w:hanging="567"/>
        <w:rPr>
          <w:sz w:val="24"/>
          <w:szCs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166, 30.6.2023, s. 6.</w:t>
      </w:r>
    </w:p>
  </w:footnote>
  <w:footnote w:id="6">
    <w:p w:rsidR="00004768" w:rsidRPr="00CA023D" w:rsidRDefault="00004768" w:rsidP="00CA023D">
      <w:pPr>
        <w:pStyle w:val="FootnoteText"/>
        <w:ind w:left="567" w:hanging="567"/>
        <w:rPr>
          <w:sz w:val="24"/>
          <w:szCs w:val="24"/>
          <w:lang w:val="sk-SK"/>
        </w:rPr>
      </w:pPr>
      <w:r w:rsidRPr="00CA023D">
        <w:rPr>
          <w:rStyle w:val="FootnoteReference"/>
          <w:sz w:val="24"/>
          <w:szCs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122, 10.5.2019, s. 1.</w:t>
      </w:r>
    </w:p>
  </w:footnote>
  <w:footnote w:id="7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 xml:space="preserve">Ú. v. </w:t>
      </w:r>
      <w:r w:rsidRPr="00CA023D">
        <w:rPr>
          <w:sz w:val="24"/>
          <w:lang w:val="sk-SK"/>
        </w:rPr>
        <w:t xml:space="preserve">EÚ </w:t>
      </w:r>
      <w:r w:rsidR="00116113">
        <w:rPr>
          <w:sz w:val="24"/>
          <w:lang w:val="sk-SK"/>
        </w:rPr>
        <w:t xml:space="preserve">C, </w:t>
      </w:r>
      <w:r w:rsidRPr="00CA023D">
        <w:rPr>
          <w:sz w:val="24"/>
          <w:lang w:val="sk-SK"/>
        </w:rPr>
        <w:t>C/2023/594, 27.10.2023.</w:t>
      </w:r>
    </w:p>
  </w:footnote>
  <w:footnote w:id="8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 xml:space="preserve">Ú. v. </w:t>
      </w:r>
      <w:r w:rsidRPr="00CA023D">
        <w:rPr>
          <w:sz w:val="24"/>
          <w:lang w:val="sk-SK"/>
        </w:rPr>
        <w:t xml:space="preserve">EÚ </w:t>
      </w:r>
      <w:r w:rsidR="00116113">
        <w:rPr>
          <w:sz w:val="24"/>
          <w:lang w:val="sk-SK"/>
        </w:rPr>
        <w:t xml:space="preserve">C, </w:t>
      </w:r>
      <w:bookmarkStart w:id="8" w:name="_GoBack"/>
      <w:bookmarkEnd w:id="8"/>
      <w:r w:rsidRPr="00CA023D">
        <w:rPr>
          <w:sz w:val="24"/>
          <w:lang w:val="sk-SK"/>
        </w:rPr>
        <w:t>C/2023/112, 12.10.2023.</w:t>
      </w:r>
    </w:p>
  </w:footnote>
  <w:footnote w:id="9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193, 30.7.2018, s. 1.</w:t>
      </w:r>
    </w:p>
  </w:footnote>
  <w:footnote w:id="10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376, 27.12.2006, s. 1.</w:t>
      </w:r>
    </w:p>
  </w:footnote>
  <w:footnote w:id="11">
    <w:p w:rsidR="00004768" w:rsidRPr="00CA023D" w:rsidRDefault="00004768" w:rsidP="00CA023D">
      <w:pPr>
        <w:pStyle w:val="FootnoteText"/>
        <w:ind w:left="567" w:hanging="567"/>
        <w:rPr>
          <w:sz w:val="24"/>
          <w:szCs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166, 30.6.2023, s. 6.</w:t>
      </w:r>
    </w:p>
  </w:footnote>
  <w:footnote w:id="12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 v. EÚ L 122, 10.5.2019, s. 1.</w:t>
      </w:r>
    </w:p>
  </w:footnote>
  <w:footnote w:id="13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Ú. v. EÚ C 141/06, 29.3.2022, s. 33.</w:t>
      </w:r>
    </w:p>
  </w:footnote>
  <w:footnote w:id="14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Smernica Európskeho parlamentu a Rady 2008/104/ES z 19. novembra 2008 o dočasnej agentúrnej práci (Ú. v. EÚ L 327, 5.12.2008, s. 9).</w:t>
      </w:r>
    </w:p>
  </w:footnote>
  <w:footnote w:id="15">
    <w:p w:rsidR="00004768" w:rsidRPr="00CA023D" w:rsidRDefault="00004768" w:rsidP="00CA023D">
      <w:pPr>
        <w:pStyle w:val="FootnoteText"/>
        <w:ind w:left="567" w:hanging="567"/>
        <w:rPr>
          <w:sz w:val="24"/>
          <w:lang w:val="sk-SK"/>
        </w:rPr>
      </w:pPr>
      <w:r w:rsidRPr="00CA023D">
        <w:rPr>
          <w:rStyle w:val="FootnoteReference"/>
          <w:sz w:val="24"/>
          <w:lang w:val="sk-SK"/>
        </w:rPr>
        <w:footnoteRef/>
      </w:r>
      <w:r w:rsidR="00CA023D" w:rsidRPr="00CA023D">
        <w:rPr>
          <w:sz w:val="24"/>
          <w:lang w:val="sk-SK"/>
        </w:rPr>
        <w:t xml:space="preserve"> </w:t>
      </w:r>
      <w:r w:rsidR="00CA023D" w:rsidRPr="00CA023D">
        <w:rPr>
          <w:sz w:val="24"/>
          <w:lang w:val="sk-SK"/>
        </w:rPr>
        <w:tab/>
      </w:r>
      <w:r w:rsidRPr="00CA023D">
        <w:rPr>
          <w:sz w:val="24"/>
          <w:lang w:val="sk-SK"/>
        </w:rPr>
        <w:t>Prijaté texty, P9_TA(2024)0</w:t>
      </w:r>
      <w:r w:rsidR="00EB3E96">
        <w:rPr>
          <w:sz w:val="24"/>
          <w:lang w:val="sk-SK"/>
        </w:rPr>
        <w:t>280</w:t>
      </w:r>
      <w:r w:rsidRPr="00CA023D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2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2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2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4/2024"/>
    <w:docVar w:name="dvlangue" w:val="SK"/>
    <w:docVar w:name="dvnumam" w:val="0"/>
    <w:docVar w:name="dvpe" w:val="753.525"/>
    <w:docVar w:name="dvrapporteur" w:val="Spravodajca: "/>
    <w:docVar w:name="dvtitre" w:val="1. Rozhodnutie Európskeho parlamentu z 11. apríla 2024 o absolutóriu za plnenie rozpočtu Európskeho monitorovacieho centra pre drogy a drogovú závislosť za rozpočtový rok 2022(2023/2157(DEC))"/>
  </w:docVars>
  <w:rsids>
    <w:rsidRoot w:val="000D3C4F"/>
    <w:rsid w:val="00002272"/>
    <w:rsid w:val="00004768"/>
    <w:rsid w:val="00064002"/>
    <w:rsid w:val="000677B9"/>
    <w:rsid w:val="000831BA"/>
    <w:rsid w:val="000A42CC"/>
    <w:rsid w:val="000D3C4F"/>
    <w:rsid w:val="000E7DD9"/>
    <w:rsid w:val="0010095E"/>
    <w:rsid w:val="0011611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A56"/>
    <w:rsid w:val="00A1687D"/>
    <w:rsid w:val="00A201CF"/>
    <w:rsid w:val="00A43E52"/>
    <w:rsid w:val="00A4678D"/>
    <w:rsid w:val="00A778C7"/>
    <w:rsid w:val="00AB441E"/>
    <w:rsid w:val="00AB6293"/>
    <w:rsid w:val="00AE0928"/>
    <w:rsid w:val="00AE7D98"/>
    <w:rsid w:val="00AF3B82"/>
    <w:rsid w:val="00B12E95"/>
    <w:rsid w:val="00B22876"/>
    <w:rsid w:val="00B2735F"/>
    <w:rsid w:val="00B546FA"/>
    <w:rsid w:val="00B558F0"/>
    <w:rsid w:val="00BD48FE"/>
    <w:rsid w:val="00BD7BD8"/>
    <w:rsid w:val="00BE6ADC"/>
    <w:rsid w:val="00C05BFE"/>
    <w:rsid w:val="00C23CD4"/>
    <w:rsid w:val="00C61C0C"/>
    <w:rsid w:val="00C941CB"/>
    <w:rsid w:val="00CA023D"/>
    <w:rsid w:val="00CC2357"/>
    <w:rsid w:val="00CF071A"/>
    <w:rsid w:val="00CF373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E9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9C28C"/>
  <w15:chartTrackingRefBased/>
  <w15:docId w15:val="{E1FE1E74-0016-41F7-8B17-D1FDBA33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047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04768"/>
    <w:pPr>
      <w:spacing w:before="480" w:after="240"/>
    </w:pPr>
  </w:style>
  <w:style w:type="paragraph" w:customStyle="1" w:styleId="PageHeading">
    <w:name w:val="PageHeading"/>
    <w:basedOn w:val="Normal"/>
    <w:rsid w:val="000047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04768"/>
    <w:rPr>
      <w:b/>
    </w:rPr>
  </w:style>
  <w:style w:type="paragraph" w:customStyle="1" w:styleId="NormalHanging12a">
    <w:name w:val="NormalHanging12a"/>
    <w:basedOn w:val="Normal"/>
    <w:link w:val="NormalHanging12aChar"/>
    <w:rsid w:val="0000476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04768"/>
    <w:pPr>
      <w:spacing w:after="240"/>
      <w:jc w:val="center"/>
    </w:pPr>
  </w:style>
  <w:style w:type="paragraph" w:styleId="Header">
    <w:name w:val="header"/>
    <w:basedOn w:val="Normal"/>
    <w:link w:val="HeaderChar"/>
    <w:rsid w:val="000047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04768"/>
    <w:rPr>
      <w:sz w:val="24"/>
      <w:lang w:val="sk-SK"/>
    </w:rPr>
  </w:style>
  <w:style w:type="paragraph" w:customStyle="1" w:styleId="EPFooter">
    <w:name w:val="EPFooter"/>
    <w:basedOn w:val="Normal"/>
    <w:rsid w:val="000047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004768"/>
    <w:rPr>
      <w:sz w:val="24"/>
      <w:lang w:val="sk-SK"/>
    </w:rPr>
  </w:style>
  <w:style w:type="paragraph" w:customStyle="1" w:styleId="Normal12Hanging">
    <w:name w:val="Normal12Hanging"/>
    <w:basedOn w:val="Normal"/>
    <w:rsid w:val="00004768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E1B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E1B2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A85E5-5D59-4650-AEDD-DD60E273E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3413</Words>
  <Characters>20432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Karina Pesa</cp:lastModifiedBy>
  <cp:revision>3</cp:revision>
  <cp:lastPrinted>2004-11-19T15:42:00Z</cp:lastPrinted>
  <dcterms:created xsi:type="dcterms:W3CDTF">2024-04-11T11:10:00Z</dcterms:created>
  <dcterms:modified xsi:type="dcterms:W3CDTF">2024-10-31T07:44:00Z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A9-0104/2024</vt:lpwstr>
  </property>
  <property fmtid="{D5CDD505-2E9C-101B-9397-08002B2CF9AE}" pid="4" name="&lt;Type&gt;">
    <vt:lpwstr>RR</vt:lpwstr>
  </property>
</Properties>
</file>