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275" w14:paraId="4482069B" w14:textId="77777777" w:rsidTr="0010095E">
        <w:trPr>
          <w:trHeight w:hRule="exact" w:val="1418"/>
        </w:trPr>
        <w:tc>
          <w:tcPr>
            <w:tcW w:w="6804" w:type="dxa"/>
            <w:shd w:val="clear" w:color="auto" w:fill="auto"/>
            <w:vAlign w:val="center"/>
          </w:tcPr>
          <w:p w14:paraId="2096CA61" w14:textId="77777777" w:rsidR="00751A4A" w:rsidRPr="00985275" w:rsidRDefault="00ED418B" w:rsidP="0010095E">
            <w:pPr>
              <w:pStyle w:val="EPName"/>
            </w:pPr>
            <w:r w:rsidRPr="00985275">
              <w:t>Evropski parlament</w:t>
            </w:r>
          </w:p>
          <w:p w14:paraId="53DEC1A1" w14:textId="77777777" w:rsidR="00751A4A" w:rsidRPr="00985275" w:rsidRDefault="00817416" w:rsidP="00756632">
            <w:pPr>
              <w:pStyle w:val="EPTerm"/>
              <w:rPr>
                <w:rStyle w:val="HideTWBExt"/>
                <w:noProof w:val="0"/>
                <w:vanish w:val="0"/>
                <w:color w:val="auto"/>
              </w:rPr>
            </w:pPr>
            <w:r w:rsidRPr="00985275">
              <w:t>2019-2024</w:t>
            </w:r>
          </w:p>
        </w:tc>
        <w:tc>
          <w:tcPr>
            <w:tcW w:w="2268" w:type="dxa"/>
            <w:shd w:val="clear" w:color="auto" w:fill="auto"/>
          </w:tcPr>
          <w:p w14:paraId="23B727E3" w14:textId="77777777" w:rsidR="00751A4A" w:rsidRPr="00985275" w:rsidRDefault="00187494" w:rsidP="0010095E">
            <w:pPr>
              <w:pStyle w:val="EPLogo"/>
            </w:pPr>
            <w:r w:rsidRPr="00985275">
              <w:rPr>
                <w:noProof/>
                <w:lang w:val="en-GB"/>
              </w:rPr>
              <w:drawing>
                <wp:inline distT="0" distB="0" distL="0" distR="0" wp14:anchorId="1FF1319C" wp14:editId="0308E6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444BAA" w14:textId="77777777" w:rsidR="00D058B8" w:rsidRPr="00985275" w:rsidRDefault="00D058B8" w:rsidP="004C5D52">
      <w:pPr>
        <w:pStyle w:val="LineTop"/>
      </w:pPr>
    </w:p>
    <w:p w14:paraId="16178D0E" w14:textId="77777777" w:rsidR="00680577" w:rsidRPr="00985275" w:rsidRDefault="00ED418B" w:rsidP="00680577">
      <w:pPr>
        <w:pStyle w:val="EPBodyTA1"/>
      </w:pPr>
      <w:r w:rsidRPr="00985275">
        <w:t>SPREJETA BESEDILA</w:t>
      </w:r>
    </w:p>
    <w:p w14:paraId="208B12D4" w14:textId="77777777" w:rsidR="00D058B8" w:rsidRPr="00985275" w:rsidRDefault="00D058B8" w:rsidP="00D058B8">
      <w:pPr>
        <w:pStyle w:val="LineBottom"/>
      </w:pPr>
    </w:p>
    <w:p w14:paraId="125E0019" w14:textId="69498CF0" w:rsidR="00ED418B" w:rsidRPr="00985275" w:rsidRDefault="00ED418B" w:rsidP="00ED418B">
      <w:pPr>
        <w:pStyle w:val="ATHeading1"/>
      </w:pPr>
      <w:bookmarkStart w:id="0" w:name="TANumber"/>
      <w:r w:rsidRPr="00985275">
        <w:t>P9_TA(2024)</w:t>
      </w:r>
      <w:bookmarkEnd w:id="0"/>
      <w:r w:rsidR="00985275" w:rsidRPr="00985275">
        <w:t>0241</w:t>
      </w:r>
    </w:p>
    <w:p w14:paraId="3B367196" w14:textId="77777777" w:rsidR="00ED418B" w:rsidRPr="00985275" w:rsidRDefault="00ED418B" w:rsidP="00ED418B">
      <w:pPr>
        <w:pStyle w:val="ATHeading2"/>
      </w:pPr>
      <w:bookmarkStart w:id="1" w:name="title"/>
      <w:r w:rsidRPr="00985275">
        <w:t>Razrešnica za leto 2022: Evropski center za spremljanje drog in zasvojenosti z drogami</w:t>
      </w:r>
      <w:bookmarkEnd w:id="1"/>
    </w:p>
    <w:p w14:paraId="32B04B4E" w14:textId="77777777" w:rsidR="00ED418B" w:rsidRPr="00985275" w:rsidRDefault="00ED418B" w:rsidP="00ED418B">
      <w:pPr>
        <w:rPr>
          <w:i/>
          <w:vanish/>
        </w:rPr>
      </w:pPr>
      <w:r w:rsidRPr="00985275">
        <w:rPr>
          <w:i/>
        </w:rPr>
        <w:fldChar w:fldCharType="begin"/>
      </w:r>
      <w:r w:rsidRPr="00985275">
        <w:rPr>
          <w:i/>
        </w:rPr>
        <w:instrText xml:space="preserve"> TC"(</w:instrText>
      </w:r>
      <w:bookmarkStart w:id="2" w:name="DocNumber"/>
      <w:r w:rsidRPr="00985275">
        <w:rPr>
          <w:i/>
        </w:rPr>
        <w:instrText>A9-0104/2024</w:instrText>
      </w:r>
      <w:bookmarkEnd w:id="2"/>
      <w:r w:rsidRPr="00985275">
        <w:rPr>
          <w:i/>
        </w:rPr>
        <w:instrText xml:space="preserve"> - Poročevalec: Petri Sarvamaa)"\l3 \n&gt; \* MERGEFORMAT </w:instrText>
      </w:r>
      <w:r w:rsidRPr="00985275">
        <w:rPr>
          <w:i/>
        </w:rPr>
        <w:fldChar w:fldCharType="end"/>
      </w:r>
    </w:p>
    <w:p w14:paraId="3045B193" w14:textId="77777777" w:rsidR="00ED418B" w:rsidRPr="00985275" w:rsidRDefault="00ED418B" w:rsidP="00ED418B">
      <w:pPr>
        <w:rPr>
          <w:vanish/>
        </w:rPr>
      </w:pPr>
      <w:bookmarkStart w:id="3" w:name="Commission"/>
      <w:r w:rsidRPr="00985275">
        <w:rPr>
          <w:vanish/>
        </w:rPr>
        <w:t>Odbor za proračunski nadzor</w:t>
      </w:r>
      <w:bookmarkEnd w:id="3"/>
    </w:p>
    <w:p w14:paraId="7CBA1DC1" w14:textId="77777777" w:rsidR="00ED418B" w:rsidRPr="00985275" w:rsidRDefault="00ED418B" w:rsidP="00ED418B">
      <w:pPr>
        <w:rPr>
          <w:vanish/>
        </w:rPr>
      </w:pPr>
      <w:bookmarkStart w:id="4" w:name="PE"/>
      <w:r w:rsidRPr="00985275">
        <w:rPr>
          <w:vanish/>
        </w:rPr>
        <w:t>PE753.525</w:t>
      </w:r>
      <w:bookmarkEnd w:id="4"/>
    </w:p>
    <w:p w14:paraId="0B146EA7" w14:textId="4F8CD454" w:rsidR="00ED418B" w:rsidRPr="00985275" w:rsidRDefault="000B711C" w:rsidP="00ED418B">
      <w:pPr>
        <w:pStyle w:val="ATHeading3"/>
      </w:pPr>
      <w:bookmarkStart w:id="5" w:name="Sujet"/>
      <w:r w:rsidRPr="00985275">
        <w:t xml:space="preserve">1. </w:t>
      </w:r>
      <w:r w:rsidR="00ED418B" w:rsidRPr="00985275">
        <w:t xml:space="preserve">Sklep Evropskega parlamenta z dne </w:t>
      </w:r>
      <w:r w:rsidRPr="00985275">
        <w:t xml:space="preserve">11. aprila </w:t>
      </w:r>
      <w:r w:rsidR="00ED418B" w:rsidRPr="00985275">
        <w:t>2024 o razrešnici glede izvrševanja proračuna Evropskega centra za spremljanje drog in zasvojenosti z drogami za proračunsko leto 2022</w:t>
      </w:r>
      <w:bookmarkEnd w:id="5"/>
      <w:r w:rsidR="00ED418B" w:rsidRPr="00985275">
        <w:t xml:space="preserve"> </w:t>
      </w:r>
      <w:bookmarkStart w:id="6" w:name="References"/>
      <w:r w:rsidR="00ED418B" w:rsidRPr="00985275">
        <w:t>(2023/2157(DEC))</w:t>
      </w:r>
      <w:bookmarkEnd w:id="6"/>
    </w:p>
    <w:p w14:paraId="29E5A1C2" w14:textId="77777777" w:rsidR="00BA3847" w:rsidRPr="00985275" w:rsidRDefault="00BA3847" w:rsidP="00BA3847">
      <w:pPr>
        <w:pStyle w:val="EPComma"/>
      </w:pPr>
      <w:bookmarkStart w:id="7" w:name="TextBodyBegin"/>
      <w:bookmarkEnd w:id="7"/>
      <w:r w:rsidRPr="00985275">
        <w:rPr>
          <w:i/>
        </w:rPr>
        <w:t>Evropski parlament</w:t>
      </w:r>
      <w:r w:rsidRPr="00985275">
        <w:t>,</w:t>
      </w:r>
    </w:p>
    <w:p w14:paraId="697B65F1" w14:textId="77777777" w:rsidR="00BA3847" w:rsidRPr="00985275" w:rsidRDefault="00BA3847" w:rsidP="00BA3847">
      <w:pPr>
        <w:pStyle w:val="NormalHanging12a"/>
      </w:pPr>
      <w:r w:rsidRPr="00985275">
        <w:t>–</w:t>
      </w:r>
      <w:r w:rsidRPr="00985275">
        <w:tab/>
        <w:t>ob upoštevanju končnega zaključnega računa Evropskega centra za spremljanje drog in zasvojenosti z drogami za proračunsko leto 2022,</w:t>
      </w:r>
    </w:p>
    <w:p w14:paraId="3E02BFEB" w14:textId="77777777" w:rsidR="00BA3847" w:rsidRPr="00985275" w:rsidRDefault="00BA3847" w:rsidP="00BA3847">
      <w:pPr>
        <w:pStyle w:val="NormalHanging12a"/>
      </w:pPr>
      <w:r w:rsidRPr="00985275">
        <w:t>–</w:t>
      </w:r>
      <w:r w:rsidRPr="00985275">
        <w:tab/>
        <w:t>ob upoštevanju letnega poročila Računskega sodišča o agencijah EU za proračunsko leto 2022 skupaj z odgovori agencij</w:t>
      </w:r>
      <w:r w:rsidRPr="00985275">
        <w:rPr>
          <w:rStyle w:val="FootnoteReference"/>
        </w:rPr>
        <w:footnoteReference w:id="1"/>
      </w:r>
      <w:r w:rsidRPr="00985275">
        <w:t>,</w:t>
      </w:r>
    </w:p>
    <w:p w14:paraId="0A896D65" w14:textId="77777777" w:rsidR="00BA3847" w:rsidRPr="00985275" w:rsidRDefault="00BA3847" w:rsidP="00BA3847">
      <w:pPr>
        <w:pStyle w:val="NormalHanging12a"/>
      </w:pPr>
      <w:r w:rsidRPr="00985275">
        <w:t>–</w:t>
      </w:r>
      <w:r w:rsidRPr="00985275">
        <w:tab/>
        <w:t>ob upoštevanju izjave o zanesljivosti</w:t>
      </w:r>
      <w:r w:rsidRPr="00985275">
        <w:rPr>
          <w:rStyle w:val="FootnoteReference"/>
        </w:rPr>
        <w:footnoteReference w:id="2"/>
      </w:r>
      <w:r w:rsidRPr="00985275">
        <w:t xml:space="preserve"> računovodskih izkazov ter zakonitosti in pravilnosti z njimi povezanih transakcij, ki jo je za proračunsko leto 2022 v skladu s členom 287 Pogodbe o delovanju Evropske unije pripravilo Računsko sodišče,</w:t>
      </w:r>
    </w:p>
    <w:p w14:paraId="5536790F" w14:textId="00D6360C" w:rsidR="00BA3847" w:rsidRPr="00985275" w:rsidRDefault="00BA3847" w:rsidP="00BA3847">
      <w:pPr>
        <w:pStyle w:val="NormalHanging12a"/>
      </w:pPr>
      <w:r w:rsidRPr="00985275">
        <w:t>–</w:t>
      </w:r>
      <w:r w:rsidRPr="00985275">
        <w:tab/>
        <w:t>ob upoštevanju priporočila Sveta z dne 22. februarja 2024 o podelitvi razrešnice centru glede izvrševanja proračuna za proračunsko leto 2022 (</w:t>
      </w:r>
      <w:r w:rsidR="00A2461B" w:rsidRPr="00985275">
        <w:t>06180</w:t>
      </w:r>
      <w:r w:rsidRPr="00985275">
        <w:t>/2024 – C9</w:t>
      </w:r>
      <w:r w:rsidRPr="00985275">
        <w:noBreakHyphen/>
      </w:r>
      <w:r w:rsidR="00A2461B" w:rsidRPr="00985275">
        <w:t>0095</w:t>
      </w:r>
      <w:r w:rsidRPr="00985275">
        <w:t>/2024),</w:t>
      </w:r>
    </w:p>
    <w:p w14:paraId="25CF0539" w14:textId="77777777" w:rsidR="00BA3847" w:rsidRPr="00985275" w:rsidRDefault="00BA3847" w:rsidP="00BA3847">
      <w:pPr>
        <w:pStyle w:val="NormalHanging12a"/>
      </w:pPr>
      <w:r w:rsidRPr="00985275">
        <w:t>–</w:t>
      </w:r>
      <w:r w:rsidRPr="00985275">
        <w:tab/>
        <w:t>ob upoštevanju člena 319 Pogodbe o delovanju Evropske unije,</w:t>
      </w:r>
    </w:p>
    <w:p w14:paraId="12082E35" w14:textId="77777777" w:rsidR="00BA3847" w:rsidRPr="00985275" w:rsidRDefault="00BA3847" w:rsidP="00BA3847">
      <w:pPr>
        <w:pStyle w:val="NormalHanging12a"/>
      </w:pPr>
      <w:r w:rsidRPr="00985275">
        <w:t>–</w:t>
      </w:r>
      <w:r w:rsidRPr="00985275">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85275">
        <w:rPr>
          <w:rStyle w:val="FootnoteReference"/>
        </w:rPr>
        <w:footnoteReference w:id="3"/>
      </w:r>
      <w:r w:rsidRPr="00985275">
        <w:t xml:space="preserve"> in zlasti člena 70,</w:t>
      </w:r>
    </w:p>
    <w:p w14:paraId="5EE15A34" w14:textId="77777777" w:rsidR="00BA3847" w:rsidRPr="00985275" w:rsidRDefault="00BA3847" w:rsidP="00BA3847">
      <w:pPr>
        <w:pStyle w:val="NormalHanging12a"/>
      </w:pPr>
      <w:r w:rsidRPr="00985275">
        <w:lastRenderedPageBreak/>
        <w:t>–</w:t>
      </w:r>
      <w:r w:rsidRPr="00985275">
        <w:tab/>
        <w:t>ob upoštevanju Uredbe (ES) št. 1920/2006 Evropskega parlamenta in Sveta z dne 12. decembra 2006 o ustanovitvi Evropskega centra za spremljanje drog in zasvojenosti z drogami</w:t>
      </w:r>
      <w:r w:rsidRPr="00985275">
        <w:rPr>
          <w:rStyle w:val="FootnoteReference"/>
        </w:rPr>
        <w:footnoteReference w:id="4"/>
      </w:r>
      <w:r w:rsidRPr="00985275">
        <w:t xml:space="preserve"> in zlasti člena 15,</w:t>
      </w:r>
    </w:p>
    <w:p w14:paraId="064E6A84" w14:textId="77777777" w:rsidR="00BA3847" w:rsidRPr="00985275" w:rsidRDefault="00BA3847" w:rsidP="00BA3847">
      <w:pPr>
        <w:pStyle w:val="NormalHanging12a"/>
      </w:pPr>
      <w:r w:rsidRPr="00985275">
        <w:t>–</w:t>
      </w:r>
      <w:r w:rsidRPr="00985275">
        <w:tab/>
        <w:t>ob upoštevanju Uredbe (EU) 2023/1322 Evropskega parlamenta in Sveta z dne 27. junija 2023 o Agenciji Evropske unije za droge (EUDA) in razveljavitvi Uredbe (ES) št. 1920/2006</w:t>
      </w:r>
      <w:r w:rsidRPr="00985275">
        <w:rPr>
          <w:rStyle w:val="FootnoteReference"/>
        </w:rPr>
        <w:footnoteReference w:id="5"/>
      </w:r>
      <w:r w:rsidRPr="00985275">
        <w:t xml:space="preserve"> in zlasti člena 41,</w:t>
      </w:r>
    </w:p>
    <w:p w14:paraId="0958F378" w14:textId="77777777" w:rsidR="00BA3847" w:rsidRPr="00985275" w:rsidRDefault="00BA3847" w:rsidP="00BA3847">
      <w:pPr>
        <w:pStyle w:val="NormalHanging12a"/>
      </w:pPr>
      <w:r w:rsidRPr="00985275">
        <w:t>–</w:t>
      </w:r>
      <w:r w:rsidRPr="00985275">
        <w:tab/>
        <w:t>ob upoštevanju Delegirane uredbe Komisije (EU) 2019/715 z dne 18. decembra 2018 o okvirni finančni uredbi za organe, ustanovljene na podlagi PDEU in Pogodbe Euratom, iz člena 70 Uredbe (EU, Euratom) 2018/1046 Evropskega parlamenta in Sveta</w:t>
      </w:r>
      <w:r w:rsidRPr="00985275">
        <w:rPr>
          <w:rStyle w:val="FootnoteReference"/>
        </w:rPr>
        <w:footnoteReference w:id="6"/>
      </w:r>
      <w:r w:rsidRPr="00985275">
        <w:t xml:space="preserve"> in zlasti člena 105,</w:t>
      </w:r>
    </w:p>
    <w:p w14:paraId="3480E7D6" w14:textId="77777777" w:rsidR="00BA3847" w:rsidRPr="00985275" w:rsidRDefault="00BA3847" w:rsidP="00BA3847">
      <w:pPr>
        <w:pStyle w:val="NormalHanging12a"/>
      </w:pPr>
      <w:r w:rsidRPr="00985275">
        <w:t>–</w:t>
      </w:r>
      <w:r w:rsidRPr="00985275">
        <w:tab/>
        <w:t>ob upoštevanju člena 100 in Priloge V Poslovnika,</w:t>
      </w:r>
    </w:p>
    <w:p w14:paraId="504ABAC8" w14:textId="77777777" w:rsidR="00BA3847" w:rsidRPr="00985275" w:rsidRDefault="00BA3847" w:rsidP="00BA3847">
      <w:pPr>
        <w:pStyle w:val="NormalHanging12a"/>
      </w:pPr>
      <w:r w:rsidRPr="00985275">
        <w:t>–</w:t>
      </w:r>
      <w:r w:rsidRPr="00985275">
        <w:tab/>
        <w:t>ob upoštevanju mnenja Odbora za državljanske svoboščine, pravosodje in notranje zadeve,</w:t>
      </w:r>
    </w:p>
    <w:p w14:paraId="5DEC73C7" w14:textId="77777777" w:rsidR="00BA3847" w:rsidRPr="00985275" w:rsidRDefault="00BA3847" w:rsidP="00BA3847">
      <w:pPr>
        <w:pStyle w:val="NormalHanging12a"/>
      </w:pPr>
      <w:r w:rsidRPr="00985275">
        <w:t>–</w:t>
      </w:r>
      <w:r w:rsidRPr="00985275">
        <w:tab/>
        <w:t>ob upoštevanju poročila Odbora za proračunski nadzor (A9</w:t>
      </w:r>
      <w:r w:rsidRPr="00985275">
        <w:noBreakHyphen/>
        <w:t>0104/2024),</w:t>
      </w:r>
    </w:p>
    <w:p w14:paraId="5322936D" w14:textId="77777777" w:rsidR="00BA3847" w:rsidRPr="00985275" w:rsidRDefault="00BA3847" w:rsidP="00BA3847">
      <w:pPr>
        <w:pStyle w:val="NormalHanging12a"/>
      </w:pPr>
      <w:r w:rsidRPr="00985275">
        <w:t>1.</w:t>
      </w:r>
      <w:r w:rsidRPr="00985275">
        <w:tab/>
        <w:t>podeli razrešnico direktorju Evropskega centra za spremljanje drog in zasvojenosti z drogami glede izvrševanja proračuna centra za proračunsko leto 2022;</w:t>
      </w:r>
    </w:p>
    <w:p w14:paraId="707E9948" w14:textId="77777777" w:rsidR="00BA3847" w:rsidRPr="00985275" w:rsidRDefault="00BA3847" w:rsidP="00BA3847">
      <w:pPr>
        <w:pStyle w:val="NormalHanging12a"/>
      </w:pPr>
      <w:r w:rsidRPr="00985275">
        <w:t>2.</w:t>
      </w:r>
      <w:r w:rsidRPr="00985275">
        <w:tab/>
        <w:t>navaja svoje pripombe v spodnji resoluciji;</w:t>
      </w:r>
    </w:p>
    <w:p w14:paraId="43CB5372" w14:textId="77777777" w:rsidR="00BA3847" w:rsidRPr="00985275" w:rsidRDefault="00BA3847" w:rsidP="00BA3847">
      <w:pPr>
        <w:pStyle w:val="NormalHanging12a"/>
      </w:pPr>
      <w:r w:rsidRPr="00985275">
        <w:t>3.</w:t>
      </w:r>
      <w:r w:rsidRPr="00985275">
        <w:tab/>
        <w:t xml:space="preserve">naroči svoji predsednici, naj ta sklep in resolucijo, ki je del sklepa, posreduje direktorju Evropskega centra za spremljanje drog in zasvojenosti z drogami, Svetu, Komisiji in Računskemu sodišču in poskrbi za objavo v </w:t>
      </w:r>
      <w:r w:rsidRPr="00985275">
        <w:rPr>
          <w:i/>
        </w:rPr>
        <w:t>Uradnem listu Evropske unije</w:t>
      </w:r>
      <w:r w:rsidRPr="00985275">
        <w:t xml:space="preserve"> (serija L).</w:t>
      </w:r>
    </w:p>
    <w:p w14:paraId="6A4D12A7" w14:textId="77777777" w:rsidR="00BA3847" w:rsidRPr="00985275" w:rsidRDefault="00BA3847" w:rsidP="00BA3847"/>
    <w:p w14:paraId="29D1937F" w14:textId="77777777" w:rsidR="00BA3847" w:rsidRPr="00985275" w:rsidRDefault="00BA3847" w:rsidP="00BA3847">
      <w:pPr>
        <w:pStyle w:val="PageHeading"/>
        <w:sectPr w:rsidR="00BA3847" w:rsidRPr="00985275" w:rsidSect="00D757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8142828" w14:textId="77777777" w:rsidR="00BA3847" w:rsidRPr="00985275" w:rsidRDefault="00BA3847" w:rsidP="000B711C">
      <w:pPr>
        <w:pStyle w:val="ATHeading3"/>
      </w:pPr>
      <w:bookmarkStart w:id="8" w:name="_Toc161910228"/>
      <w:r w:rsidRPr="00985275">
        <w:lastRenderedPageBreak/>
        <w:t xml:space="preserve">2. </w:t>
      </w:r>
      <w:bookmarkEnd w:id="8"/>
      <w:r w:rsidR="000B711C" w:rsidRPr="00985275">
        <w:t xml:space="preserve">Sklep Evropskega parlamenta z dne 11. aprila 2024 </w:t>
      </w:r>
      <w:r w:rsidRPr="00985275">
        <w:t>o zaključnem računu Evropskega centra za spremljanje drog in zasvojenosti z drogami za proračunsko leto 2022</w:t>
      </w:r>
      <w:r w:rsidR="000B711C" w:rsidRPr="00985275">
        <w:t xml:space="preserve"> (2023</w:t>
      </w:r>
      <w:r w:rsidRPr="00985275">
        <w:t>/2157(DEC))</w:t>
      </w:r>
    </w:p>
    <w:p w14:paraId="68556922" w14:textId="77777777" w:rsidR="00BA3847" w:rsidRPr="00985275" w:rsidRDefault="00BA3847" w:rsidP="00BA3847">
      <w:pPr>
        <w:pStyle w:val="EPComma"/>
      </w:pPr>
      <w:r w:rsidRPr="00985275">
        <w:rPr>
          <w:i/>
        </w:rPr>
        <w:t>Evropski parlament</w:t>
      </w:r>
      <w:r w:rsidRPr="00985275">
        <w:t>,</w:t>
      </w:r>
    </w:p>
    <w:p w14:paraId="2FAF3F0E" w14:textId="77777777" w:rsidR="00BA3847" w:rsidRPr="00985275" w:rsidRDefault="00BA3847" w:rsidP="00BA3847">
      <w:pPr>
        <w:pStyle w:val="NormalHanging12a"/>
      </w:pPr>
      <w:r w:rsidRPr="00985275">
        <w:t>–</w:t>
      </w:r>
      <w:r w:rsidRPr="00985275">
        <w:tab/>
        <w:t>ob upoštevanju končnega zaključnega računa Evropskega centra za spremljanje drog in zasvojenosti z drogami za proračunsko leto 2022,</w:t>
      </w:r>
    </w:p>
    <w:p w14:paraId="7112BFAB" w14:textId="77777777" w:rsidR="00BA3847" w:rsidRPr="00985275" w:rsidRDefault="00BA3847" w:rsidP="00BA3847">
      <w:pPr>
        <w:pStyle w:val="NormalHanging12a"/>
      </w:pPr>
      <w:r w:rsidRPr="00985275">
        <w:t>–</w:t>
      </w:r>
      <w:r w:rsidRPr="00985275">
        <w:tab/>
        <w:t>ob upoštevanju letnega poročila Računskega sodišča o agencijah EU za proračunsko leto 2022 skupaj z odgovori agencij</w:t>
      </w:r>
      <w:r w:rsidRPr="00985275">
        <w:rPr>
          <w:rStyle w:val="FootnoteReference"/>
        </w:rPr>
        <w:footnoteReference w:id="7"/>
      </w:r>
      <w:r w:rsidRPr="00985275">
        <w:t>,</w:t>
      </w:r>
    </w:p>
    <w:p w14:paraId="774FFD2D" w14:textId="77777777" w:rsidR="00BA3847" w:rsidRPr="00985275" w:rsidRDefault="00BA3847" w:rsidP="00BA3847">
      <w:pPr>
        <w:pStyle w:val="NormalHanging12a"/>
      </w:pPr>
      <w:r w:rsidRPr="00985275">
        <w:t>–</w:t>
      </w:r>
      <w:r w:rsidRPr="00985275">
        <w:tab/>
        <w:t>ob upoštevanju izjave o zanesljivosti</w:t>
      </w:r>
      <w:r w:rsidRPr="00985275">
        <w:rPr>
          <w:rStyle w:val="FootnoteReference"/>
        </w:rPr>
        <w:footnoteReference w:id="8"/>
      </w:r>
      <w:r w:rsidRPr="00985275">
        <w:t xml:space="preserve"> računovodskih izkazov ter zakonitosti in pravilnosti z njimi povezanih transakcij, ki jo je za proračunsko leto 2022 v skladu s členom 287 Pogodbe o delovanju Evropske unije pripravilo Računsko sodišče,</w:t>
      </w:r>
    </w:p>
    <w:p w14:paraId="52B0A381" w14:textId="2F4801AF" w:rsidR="00BA3847" w:rsidRPr="00985275" w:rsidRDefault="00BA3847" w:rsidP="00BA3847">
      <w:pPr>
        <w:pStyle w:val="NormalHanging12a"/>
      </w:pPr>
      <w:r w:rsidRPr="00985275">
        <w:t>–</w:t>
      </w:r>
      <w:r w:rsidRPr="00985275">
        <w:tab/>
        <w:t>ob upoštevanju priporočila Sveta z dne 22. februarja 2024 o podelitvi razrešnice centru glede izvrševanja proračuna za proračunsko leto 2022 (</w:t>
      </w:r>
      <w:r w:rsidR="00A2461B" w:rsidRPr="00985275">
        <w:t>06180</w:t>
      </w:r>
      <w:r w:rsidRPr="00985275">
        <w:t>/2024 – C9</w:t>
      </w:r>
      <w:r w:rsidRPr="00985275">
        <w:noBreakHyphen/>
      </w:r>
      <w:r w:rsidR="00A2461B" w:rsidRPr="00985275">
        <w:t>0095</w:t>
      </w:r>
      <w:r w:rsidRPr="00985275">
        <w:t>/2024),</w:t>
      </w:r>
    </w:p>
    <w:p w14:paraId="5D7D64F4" w14:textId="77777777" w:rsidR="00BA3847" w:rsidRPr="00985275" w:rsidRDefault="00BA3847" w:rsidP="00BA3847">
      <w:pPr>
        <w:pStyle w:val="NormalHanging12a"/>
      </w:pPr>
      <w:r w:rsidRPr="00985275">
        <w:t>–</w:t>
      </w:r>
      <w:r w:rsidRPr="00985275">
        <w:tab/>
        <w:t>ob upoštevanju člena 319 Pogodbe o delovanju Evropske unije,</w:t>
      </w:r>
    </w:p>
    <w:p w14:paraId="2E96BD5B" w14:textId="77777777" w:rsidR="00BA3847" w:rsidRPr="00985275" w:rsidRDefault="00BA3847" w:rsidP="00BA3847">
      <w:pPr>
        <w:pStyle w:val="NormalHanging12a"/>
      </w:pPr>
      <w:r w:rsidRPr="00985275">
        <w:t>–</w:t>
      </w:r>
      <w:r w:rsidRPr="00985275">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85275">
        <w:rPr>
          <w:rStyle w:val="FootnoteReference"/>
        </w:rPr>
        <w:footnoteReference w:id="9"/>
      </w:r>
      <w:r w:rsidRPr="00985275">
        <w:t xml:space="preserve"> in zlasti člena 70,</w:t>
      </w:r>
    </w:p>
    <w:p w14:paraId="67EB284B" w14:textId="77777777" w:rsidR="00BA3847" w:rsidRPr="00985275" w:rsidRDefault="00BA3847" w:rsidP="00BA3847">
      <w:pPr>
        <w:pStyle w:val="NormalHanging12a"/>
      </w:pPr>
      <w:r w:rsidRPr="00985275">
        <w:t>–</w:t>
      </w:r>
      <w:r w:rsidRPr="00985275">
        <w:tab/>
        <w:t>ob upoštevanju Uredbe (ES) št. 1920/2006 Evropskega parlamenta in Sveta z dne 12. decembra 2006 o ustanovitvi Evropskega centra za spremljanje drog in zasvojenosti z drogami</w:t>
      </w:r>
      <w:r w:rsidRPr="00985275">
        <w:rPr>
          <w:rStyle w:val="FootnoteReference"/>
        </w:rPr>
        <w:footnoteReference w:id="10"/>
      </w:r>
      <w:r w:rsidRPr="00985275">
        <w:t xml:space="preserve"> in zlasti člena 15,</w:t>
      </w:r>
    </w:p>
    <w:p w14:paraId="4375B617" w14:textId="77777777" w:rsidR="00BA3847" w:rsidRPr="00985275" w:rsidRDefault="00BA3847" w:rsidP="00BA3847">
      <w:pPr>
        <w:pStyle w:val="NormalHanging12a"/>
      </w:pPr>
      <w:r w:rsidRPr="00985275">
        <w:t>–</w:t>
      </w:r>
      <w:r w:rsidRPr="00985275">
        <w:tab/>
        <w:t>ob upoštevanju Uredbe (EU) 2023/1322 Evropskega parlamenta in Sveta z dne 27. junija 2023 o Agenciji Evropske unije za droge (EUDA) in razveljavitvi Uredbe (ES) št. 1920/2006</w:t>
      </w:r>
      <w:r w:rsidRPr="00985275">
        <w:rPr>
          <w:rStyle w:val="FootnoteReference"/>
        </w:rPr>
        <w:footnoteReference w:id="11"/>
      </w:r>
      <w:r w:rsidRPr="00985275">
        <w:t xml:space="preserve"> in zlasti člena 41,</w:t>
      </w:r>
    </w:p>
    <w:p w14:paraId="15D758F7" w14:textId="77777777" w:rsidR="00BA3847" w:rsidRPr="00985275" w:rsidRDefault="00BA3847" w:rsidP="00BA3847">
      <w:pPr>
        <w:pStyle w:val="NormalHanging12a"/>
      </w:pPr>
      <w:r w:rsidRPr="00985275">
        <w:t>–</w:t>
      </w:r>
      <w:r w:rsidRPr="00985275">
        <w:tab/>
        <w:t>ob upoštevanju Delegirane uredbe Komisije (EU) 2019/715 z dne 18. decembra 2018 o okvirni finančni uredbi za organe, ustanovljene na podlagi PDEU in Pogodbe Euratom, iz člena 70 Uredbe (EU, Euratom) 2018/1046 Evropskega parlamenta in Sveta</w:t>
      </w:r>
      <w:r w:rsidRPr="00985275">
        <w:rPr>
          <w:rStyle w:val="FootnoteReference"/>
        </w:rPr>
        <w:footnoteReference w:id="12"/>
      </w:r>
      <w:r w:rsidRPr="00985275">
        <w:t xml:space="preserve"> in zlasti člena 105,</w:t>
      </w:r>
    </w:p>
    <w:p w14:paraId="017CAF96" w14:textId="77777777" w:rsidR="00BA3847" w:rsidRPr="00985275" w:rsidRDefault="00BA3847" w:rsidP="00BA3847">
      <w:pPr>
        <w:pStyle w:val="NormalHanging12a"/>
      </w:pPr>
      <w:r w:rsidRPr="00985275">
        <w:t>–</w:t>
      </w:r>
      <w:r w:rsidRPr="00985275">
        <w:tab/>
        <w:t>ob upoštevanju člena 100 in Priloge V Poslovnika,</w:t>
      </w:r>
    </w:p>
    <w:p w14:paraId="2768B548" w14:textId="77777777" w:rsidR="00BA3847" w:rsidRPr="00985275" w:rsidRDefault="00BA3847" w:rsidP="00BA3847">
      <w:pPr>
        <w:pStyle w:val="NormalHanging12a"/>
      </w:pPr>
      <w:r w:rsidRPr="00985275">
        <w:t>–</w:t>
      </w:r>
      <w:r w:rsidRPr="00985275">
        <w:tab/>
        <w:t>ob upoštevanju mnenja Odbora za državljanske svoboščine, pravosodje in notranje zadeve,</w:t>
      </w:r>
    </w:p>
    <w:p w14:paraId="76FF4FF0" w14:textId="77777777" w:rsidR="00BA3847" w:rsidRPr="00985275" w:rsidRDefault="00BA3847" w:rsidP="00BA3847">
      <w:pPr>
        <w:pStyle w:val="NormalHanging12a"/>
      </w:pPr>
      <w:r w:rsidRPr="00985275">
        <w:t>–</w:t>
      </w:r>
      <w:r w:rsidRPr="00985275">
        <w:tab/>
        <w:t>ob upoštevanju poročila Odbora za proračunski nadzor (A9</w:t>
      </w:r>
      <w:r w:rsidRPr="00985275">
        <w:noBreakHyphen/>
        <w:t>0104/2024),</w:t>
      </w:r>
    </w:p>
    <w:p w14:paraId="3BAAAC27" w14:textId="77777777" w:rsidR="00BA3847" w:rsidRPr="00985275" w:rsidRDefault="00BA3847" w:rsidP="00BA3847">
      <w:pPr>
        <w:pStyle w:val="NormalHanging12a"/>
      </w:pPr>
      <w:r w:rsidRPr="00985275">
        <w:t>1.</w:t>
      </w:r>
      <w:r w:rsidRPr="00985275">
        <w:tab/>
        <w:t>odobri zaključni račun Evropskega centra za spremljanje drog in zasvojenosti z drogami za proračunsko leto 2022;</w:t>
      </w:r>
    </w:p>
    <w:p w14:paraId="1D9B1D13" w14:textId="77777777" w:rsidR="00BA3847" w:rsidRPr="00985275" w:rsidRDefault="00BA3847" w:rsidP="00BA3847">
      <w:pPr>
        <w:pStyle w:val="NormalHanging12a"/>
      </w:pPr>
      <w:r w:rsidRPr="00985275">
        <w:t>2.</w:t>
      </w:r>
      <w:r w:rsidRPr="00985275">
        <w:tab/>
        <w:t xml:space="preserve">naroči svoji predsednici, naj ta sklep posreduje direktorju Evropskega centra za spremljanje drog in zasvojenosti z drogami, Svetu, Komisiji in Računskemu sodišču in poskrbi za objavo v </w:t>
      </w:r>
      <w:r w:rsidRPr="00985275">
        <w:rPr>
          <w:i/>
        </w:rPr>
        <w:t>Uradnem listu Evropske unije</w:t>
      </w:r>
      <w:r w:rsidRPr="00985275">
        <w:t xml:space="preserve"> (serija L).</w:t>
      </w:r>
    </w:p>
    <w:p w14:paraId="62B731A0" w14:textId="77777777" w:rsidR="00BA3847" w:rsidRPr="00985275" w:rsidRDefault="00BA3847" w:rsidP="00BA3847"/>
    <w:p w14:paraId="28F7AB28" w14:textId="77777777" w:rsidR="00BA3847" w:rsidRPr="00985275" w:rsidRDefault="00BA3847" w:rsidP="00BA3847">
      <w:pPr>
        <w:pStyle w:val="PageHeading"/>
        <w:sectPr w:rsidR="00BA3847" w:rsidRPr="00985275" w:rsidSect="00D757A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06DE3D0" w14:textId="77777777" w:rsidR="00BA3847" w:rsidRPr="00985275" w:rsidRDefault="00BA3847" w:rsidP="000B711C">
      <w:pPr>
        <w:pStyle w:val="ATHeading3"/>
      </w:pPr>
      <w:bookmarkStart w:id="9" w:name="_Toc161910229"/>
      <w:r w:rsidRPr="00985275">
        <w:t xml:space="preserve">3. </w:t>
      </w:r>
      <w:bookmarkEnd w:id="9"/>
      <w:r w:rsidR="000B711C" w:rsidRPr="00985275">
        <w:t xml:space="preserve">Resolucija Evropskega parlamenta z dne 11. aprila 2024 </w:t>
      </w:r>
      <w:r w:rsidRPr="00985275">
        <w:t>s pripombami, ki so del sklepa o razrešnici glede izvrševanja proračuna Evropskega centra za spremljanje drog in zasvojenosti z drogami za proračunsko leto 2022</w:t>
      </w:r>
      <w:r w:rsidR="000B711C" w:rsidRPr="00985275">
        <w:t xml:space="preserve"> (2023</w:t>
      </w:r>
      <w:r w:rsidRPr="00985275">
        <w:t>/2157(DEC))</w:t>
      </w:r>
    </w:p>
    <w:p w14:paraId="52C98AF0" w14:textId="77777777" w:rsidR="00BA3847" w:rsidRPr="00985275" w:rsidRDefault="00BA3847" w:rsidP="00BA3847">
      <w:pPr>
        <w:pStyle w:val="EPComma"/>
      </w:pPr>
      <w:r w:rsidRPr="00985275">
        <w:rPr>
          <w:i/>
        </w:rPr>
        <w:t>Evropski parlament</w:t>
      </w:r>
      <w:r w:rsidRPr="00985275">
        <w:t>,</w:t>
      </w:r>
    </w:p>
    <w:p w14:paraId="18E3F401" w14:textId="77777777" w:rsidR="00BA3847" w:rsidRPr="00985275" w:rsidRDefault="00BA3847" w:rsidP="00BA3847">
      <w:pPr>
        <w:pStyle w:val="NormalHanging12a"/>
      </w:pPr>
      <w:r w:rsidRPr="00985275">
        <w:t>–</w:t>
      </w:r>
      <w:r w:rsidRPr="00985275">
        <w:tab/>
        <w:t>ob upoštevanju sklepa o razrešnici glede izvrševanja proračuna Evropskega centra za spremljanje drog in zasvojenosti z drogami za proračunsko leto 2022,</w:t>
      </w:r>
    </w:p>
    <w:p w14:paraId="7C148388" w14:textId="77777777" w:rsidR="00BA3847" w:rsidRPr="00985275" w:rsidRDefault="00BA3847" w:rsidP="00BA3847">
      <w:pPr>
        <w:pStyle w:val="NormalHanging12a"/>
      </w:pPr>
      <w:r w:rsidRPr="00985275">
        <w:t>–</w:t>
      </w:r>
      <w:r w:rsidRPr="00985275">
        <w:tab/>
        <w:t>ob upoštevanju člena 100 in Priloge V Poslovnika,</w:t>
      </w:r>
    </w:p>
    <w:p w14:paraId="3A06E8F3" w14:textId="77777777" w:rsidR="00BA3847" w:rsidRPr="00985275" w:rsidRDefault="00BA3847" w:rsidP="00BA3847">
      <w:pPr>
        <w:pStyle w:val="NormalHanging12a"/>
      </w:pPr>
      <w:r w:rsidRPr="00985275">
        <w:t>–</w:t>
      </w:r>
      <w:r w:rsidRPr="00985275">
        <w:tab/>
        <w:t>ob upoštevanju mnenja Odbora za državljanske svoboščine, pravosodje in notranje zadeve,</w:t>
      </w:r>
    </w:p>
    <w:p w14:paraId="36238586" w14:textId="78755852" w:rsidR="00BA3847" w:rsidRPr="00985275" w:rsidRDefault="00BA3847" w:rsidP="00BA3847">
      <w:pPr>
        <w:pStyle w:val="NormalHanging12a"/>
      </w:pPr>
      <w:r w:rsidRPr="00985275">
        <w:t>–</w:t>
      </w:r>
      <w:r w:rsidRPr="00985275">
        <w:tab/>
        <w:t>ob upoštevanju poročila Odbora za proračunski nadzor (A9</w:t>
      </w:r>
      <w:r w:rsidR="00A2461B" w:rsidRPr="00985275">
        <w:t>-</w:t>
      </w:r>
      <w:r w:rsidRPr="00985275">
        <w:t>0104/2024),</w:t>
      </w:r>
    </w:p>
    <w:p w14:paraId="0BC637F4" w14:textId="77777777" w:rsidR="00BA3847" w:rsidRPr="00985275" w:rsidRDefault="00BA3847" w:rsidP="00BA3847">
      <w:pPr>
        <w:pStyle w:val="Normal12Hanging"/>
        <w:rPr>
          <w:szCs w:val="24"/>
        </w:rPr>
      </w:pPr>
      <w:r w:rsidRPr="00985275">
        <w:t>A.</w:t>
      </w:r>
      <w:r w:rsidRPr="00985275">
        <w:tab/>
        <w:t>ker je iz poročila o prihodkih in odhodkih</w:t>
      </w:r>
      <w:r w:rsidRPr="00985275">
        <w:rPr>
          <w:rStyle w:val="FootnoteReference"/>
          <w:szCs w:val="24"/>
        </w:rPr>
        <w:footnoteReference w:id="13"/>
      </w:r>
      <w:r w:rsidRPr="00985275">
        <w:t xml:space="preserve"> Evropskega centra za spremljanje drog in zasvojenosti z drogami (v nadaljnjem besedilu: center) razvidno, da je njegov končni proračun v proračunskem letu 2022 znašal 18.893.136 EUR, kar je 0,71 % manj kot leta 2021; ker proračun centra izvira v glavnem (94 %) iz proračuna Unije;</w:t>
      </w:r>
    </w:p>
    <w:p w14:paraId="4E5D500D" w14:textId="77777777" w:rsidR="00BA3847" w:rsidRPr="00985275" w:rsidRDefault="00BA3847" w:rsidP="00BA3847">
      <w:pPr>
        <w:pStyle w:val="Normal12Hanging"/>
        <w:rPr>
          <w:szCs w:val="24"/>
        </w:rPr>
      </w:pPr>
      <w:r w:rsidRPr="00985275">
        <w:t>B.</w:t>
      </w:r>
      <w:r w:rsidRPr="00985275">
        <w:tab/>
        <w:t>ker je Računsko sodišče v poročilu o zaključnem računu centra za proračunsko leto 2022 (v nadaljnjem besedilu: poročilo Računskega sodišča) navedlo, da je prejelo razumno zagotovilo o zanesljivosti računovodskih izkazov centra ter o zakonitosti in pravilnosti z njimi povezanih transakcij;</w:t>
      </w:r>
    </w:p>
    <w:p w14:paraId="6CD4D657" w14:textId="77777777" w:rsidR="00BA3847" w:rsidRPr="00985275" w:rsidRDefault="00BA3847" w:rsidP="00BA3847">
      <w:pPr>
        <w:pStyle w:val="Normal12Hanging"/>
        <w:rPr>
          <w:b/>
          <w:i/>
          <w:szCs w:val="24"/>
        </w:rPr>
      </w:pPr>
      <w:r w:rsidRPr="00985275">
        <w:rPr>
          <w:b/>
          <w:i/>
        </w:rPr>
        <w:t>Upravljanje proračuna in finančno poslovodenje</w:t>
      </w:r>
    </w:p>
    <w:p w14:paraId="3C2FBCB8" w14:textId="77777777" w:rsidR="00BA3847" w:rsidRPr="00985275" w:rsidRDefault="00BA3847" w:rsidP="00BA3847">
      <w:pPr>
        <w:pStyle w:val="NormalHanging12a"/>
        <w:rPr>
          <w:szCs w:val="24"/>
        </w:rPr>
      </w:pPr>
      <w:r w:rsidRPr="00985275">
        <w:t>1.</w:t>
      </w:r>
      <w:r w:rsidRPr="00985275">
        <w:tab/>
        <w:t>z zadovoljstvom ugotavlja, da je stopnja izvrševanja proračuna zaradi proračunskega spremljanja v proračunskem letu 2022 znašala 98,78 % (1,22 % manj kot leta 2021); ugotavlja, da je stopnja izvrševanja plačil znašala 96,65 %, kar je nekoliko (0,30 %) več kot leta 2021; ugotavlja tudi, da je stopnja izvrševanja odobritev plačil, ki so bile prenesene iz leta 2021 v leto 2022, znašala 88,98 %;</w:t>
      </w:r>
    </w:p>
    <w:p w14:paraId="0E67B517" w14:textId="77777777" w:rsidR="00BA3847" w:rsidRPr="00985275" w:rsidRDefault="00BA3847" w:rsidP="00BA3847">
      <w:pPr>
        <w:pStyle w:val="NormalHanging12a"/>
      </w:pPr>
      <w:r w:rsidRPr="00985275">
        <w:t>2.</w:t>
      </w:r>
      <w:r w:rsidRPr="00985275">
        <w:tab/>
        <w:t>na podlagi poročila Računskega sodišča ugotavlja, da je za center, čeprav je plačal obresti le za eno zamudo pri plačilu, finančno in računovodsko upravljanje (računovodstvo na podlagi nastanka poslovnega dogodka (ABAC)) centra napačno označilo znatno število plačil kot prepozno (107 od 1595) zaradi nepravilnih parametrov ali nepravilnih vhodnih podatkov ali obojega v zvezi z rokom plačila ali prejemom dokumentov, ki vključujejo obveznost plačila; na podlagi odgovora centra ugotavlja, da nedosledno označevanje zamud pri plačilih ni vplivalo na pravilnost zadevnih operacij; ugotavlja tudi, da je center sprejel nekatere ukrepe za čim večje zmanjšanje navedenega tveganja za „lažno pozitivne rezultate“ in za zagotovitev, da bo njegov sistem ABAC lahko zagotovil jasno in natančno sliko dejanskih zamud pri plačilih; poziva agencijo, naj še naprej spremlja to vprašanje in ublaži morebitna prihodnja tveganja za ugled, povezana s tem vprašanjem;</w:t>
      </w:r>
    </w:p>
    <w:p w14:paraId="3B9AE974" w14:textId="77777777" w:rsidR="00BA3847" w:rsidRPr="00985275" w:rsidRDefault="00BA3847" w:rsidP="00BA3847">
      <w:pPr>
        <w:pStyle w:val="Normal12Hanging"/>
        <w:ind w:left="0" w:firstLine="0"/>
        <w:rPr>
          <w:b/>
          <w:i/>
          <w:szCs w:val="24"/>
        </w:rPr>
      </w:pPr>
      <w:r w:rsidRPr="00985275">
        <w:rPr>
          <w:b/>
          <w:i/>
        </w:rPr>
        <w:t>Uspešnost</w:t>
      </w:r>
    </w:p>
    <w:p w14:paraId="40FAE686" w14:textId="77777777" w:rsidR="00BA3847" w:rsidRPr="00985275" w:rsidRDefault="00BA3847" w:rsidP="00BA3847">
      <w:pPr>
        <w:pStyle w:val="NormalHanging12a"/>
        <w:rPr>
          <w:szCs w:val="24"/>
        </w:rPr>
      </w:pPr>
      <w:r w:rsidRPr="00985275">
        <w:t>3.</w:t>
      </w:r>
      <w:r w:rsidRPr="00985275">
        <w:tab/>
        <w:t>ugotavlja, da je v novem modelu centra za merjenje uspešnosti opredeljeno omejeno število (10) sestavljenih ključnih kazalnikov uspešnosti, ki se uporabljajo za merjenje uspešnosti pri doseganju želenih rezultatov in smotrnosti pri uporabi dodeljenih sredstev, dopolnjujejo pa jih ključni kazalniki uspešnosti višje stopnje, ki se osredotočajo na rezultate in učinke; ugotavlja, da je center za oceno ključnih kazalnikov uspešnosti opredelil 65 letnih ciljev, od katerih jih je bilo leta 2022 doseženih 57 (87 %);</w:t>
      </w:r>
    </w:p>
    <w:p w14:paraId="746A8548" w14:textId="77777777" w:rsidR="00BA3847" w:rsidRPr="00985275" w:rsidRDefault="00BA3847" w:rsidP="00BA3847">
      <w:pPr>
        <w:pStyle w:val="NormalHanging12a"/>
        <w:rPr>
          <w:szCs w:val="24"/>
        </w:rPr>
      </w:pPr>
      <w:r w:rsidRPr="00985275">
        <w:t>4.</w:t>
      </w:r>
      <w:r w:rsidRPr="00985275">
        <w:tab/>
        <w:t>je seznanjen, da je center za delovni program za leto 2022 dosegel 152 od 188 izložkov/rezultatov (81 %), jih delno dosegel 12 % (tj. 23 izložkov/rezultatov, ki so bili odloženi in so bili ob koncu leta 2022 v teku), pri čemer 12 rezultatov (6 %) ni bilo izvedenih, dva rezultata pa nista bila relevantna; je seznanjen z mnenjem centra, da je bila večina zamud ali odpovedi dejavnosti v letu 2022 posledica pomanjkanja sredstev; ugotavlja tudi, da je center za izvajanje svojega novega mandata (ki naj bi se začel uporabljati leta 2024) v letu 2022 začel priprave, ki so vključevale ključne vire in zahtevale nekaj prilagoditev nekaterih njegovih predhodno načrtovanih dejavnosti;</w:t>
      </w:r>
    </w:p>
    <w:p w14:paraId="35881CDC" w14:textId="77777777" w:rsidR="00BA3847" w:rsidRPr="00985275" w:rsidRDefault="00BA3847" w:rsidP="00BA3847">
      <w:pPr>
        <w:pStyle w:val="NormalHanging12a"/>
        <w:rPr>
          <w:szCs w:val="24"/>
        </w:rPr>
      </w:pPr>
      <w:r w:rsidRPr="00985275">
        <w:t>5.</w:t>
      </w:r>
      <w:r w:rsidRPr="00985275">
        <w:tab/>
        <w:t>priznava prizadevanja in napredek centra na treh področjih dela (zdravje, varnost in poslovni dejavniki); zlasti je seznanjen, da je bilo leta 2022 objavljeno novo evropsko poročilo o drogah, ki vsebuje najnovejši pregled stanja na področju drog v Evropi do leta 2022, z vzpostavitvijo platforme za e-učenje PLATO, ki gosti evropski program preventive, ki je namenjen usposabljanju strokovnjakov, ki sodelujejo pri oblikovanju odločitev, mnenj in politik o preventivi v Evropi, z objavo sedmih kratkih priročnikov, ki zajemajo odzive na droge v okolju za preživljanje prostega časa, lokalnih skupnostih, šolah in zaporih ter se odzivajo na potrebe družin in brezdomcev, ter z objavo treh glavnih tem o prostorih za uživanje drog, preverjanju uporabe drog in posredovanju e-zdravja;</w:t>
      </w:r>
    </w:p>
    <w:p w14:paraId="41C7E795" w14:textId="77777777" w:rsidR="00BA3847" w:rsidRPr="00985275" w:rsidRDefault="00BA3847" w:rsidP="00BA3847">
      <w:pPr>
        <w:pStyle w:val="NormalHanging12a"/>
      </w:pPr>
      <w:r w:rsidRPr="00985275">
        <w:t>6.</w:t>
      </w:r>
      <w:r w:rsidRPr="00985275">
        <w:tab/>
        <w:t>z zadovoljstvom ugotavlja, da je center leta 2022 objavil novo hitro študijo ugotavljanja trendov z mešanimi metodami, da bi ocenil začetni odziv storitev na potrebe razseljenih Ukrajincev v sosednjih državah Unije; izreka pohvalo centru za sodelovanje z Europolom pri pripravi četrte izdaje skupne poglobljene analize trgov z drogami v EU, katere ugotovitve so predstavljene v vrsti modulov, pri čemer se vsak osredotoča na trg za določeno drogo in zajema trende vzdolž dobavne verige od proizvodnje in trgovine z ljudmi do distribucije in uporabe; v zvezi s tem izreka pohvalo, da sta bila leta 2022 objavljena prva dva modula o kokainu in metamfetaminu;</w:t>
      </w:r>
    </w:p>
    <w:p w14:paraId="2D0C19CB" w14:textId="77777777" w:rsidR="00BA3847" w:rsidRPr="00985275" w:rsidRDefault="00BA3847" w:rsidP="00BA3847">
      <w:pPr>
        <w:pStyle w:val="NormalHanging12a"/>
        <w:rPr>
          <w:szCs w:val="24"/>
        </w:rPr>
      </w:pPr>
      <w:r w:rsidRPr="00985275">
        <w:t>7.</w:t>
      </w:r>
      <w:r w:rsidRPr="00985275">
        <w:tab/>
        <w:t>je seznanjen, da je center v letu 2022 v sodelovanju s svojimi partnerji še naprej izvajal sistem zgodnjega opozarjanja Evropske unije; v zvezi s tem ugotavlja, da je bil leta 2022 sistem zgodnjega opozarjanja prvič uradno prijavljen za 41 novih psihoaktivnih snovi; ugotavlja tudi, da sta bili dve novi psihoaktivni snovi, za katera je center leta 2021 ocenil tveganje (3-klorometkatinon (3-CMC) in 3-metilmetkatinon (3-MMC)), vključeni v opredelitev pojma „droga“ z delegirano direktivo Komisije iz leta 2022;</w:t>
      </w:r>
    </w:p>
    <w:p w14:paraId="44465258" w14:textId="77777777" w:rsidR="00BA3847" w:rsidRPr="00985275" w:rsidRDefault="00BA3847" w:rsidP="00BA3847">
      <w:pPr>
        <w:pStyle w:val="NormalHanging12a"/>
        <w:rPr>
          <w:szCs w:val="24"/>
        </w:rPr>
      </w:pPr>
      <w:r w:rsidRPr="00985275">
        <w:t>8.</w:t>
      </w:r>
      <w:r w:rsidRPr="00985275">
        <w:tab/>
        <w:t>pozdravlja sodelovanje centra na usposabljanju in pri krepitvi zmogljivosti, povezanih z drogami, pri čemer mu je uspelo prenesti svoje znanje skoraj 950 strokovnjakom, ki delajo na področju drog, tudi uradnikom organov kazenskega pregona in oblikovalcem politik; ugotavlja tudi, da se je približno 1200 strokovnjakov, ki delajo na področju drog po vsem svetu, udeležilo sedmih spletnih seminarjev, ki jih je center organiziral leta 2022; izreka pohvalo centru, ki je skupaj s svojimi partnerji organiziral četrto evropsko konferenco o zasvojenosti in odvisnosti „Lisbon Addictions 2022“, ki je v okviru splošne teme „Global Addictions“ združila rekordno število 1757 udeležencev iz 84 držav;</w:t>
      </w:r>
    </w:p>
    <w:p w14:paraId="58D1CC64" w14:textId="77777777" w:rsidR="00BA3847" w:rsidRPr="00985275" w:rsidRDefault="00BA3847" w:rsidP="00BA3847">
      <w:pPr>
        <w:pStyle w:val="NormalHanging12a"/>
        <w:rPr>
          <w:szCs w:val="24"/>
        </w:rPr>
      </w:pPr>
      <w:r w:rsidRPr="00985275">
        <w:t>9.</w:t>
      </w:r>
      <w:r w:rsidRPr="00985275">
        <w:tab/>
        <w:t>pozdravlja neomajna prizadevanja centra, da bi poudaril socialne vidike in družbeni vpliv drog, spodbujal politike ponovnega vključevanja uporabnikov drog v družbo in obravnaval tematiko drog z večdisciplinarno perspektivo; meni, da je bistveno še naprej ozaveščati o pomenu preprečevanja in inovativnega pristopa k politikam na področju drog, ki temelji na duševnem zdravju;</w:t>
      </w:r>
    </w:p>
    <w:p w14:paraId="039AEAAE" w14:textId="77777777" w:rsidR="00BA3847" w:rsidRPr="00985275" w:rsidRDefault="00BA3847" w:rsidP="00BA3847">
      <w:pPr>
        <w:pStyle w:val="NormalHanging12a"/>
      </w:pPr>
      <w:r w:rsidRPr="00985275">
        <w:t>10.</w:t>
      </w:r>
      <w:r w:rsidRPr="00985275">
        <w:tab/>
        <w:t>pozdravlja napredek, ki ga je center dosegel pri poglobljeni analizi trgov z drogami v EU v sodelovanju z Europolom, z moduli o specifičnih drogah, ki so se objavljali skozi vse leto 2022, objave pa so predvidene tudi v letu 2023; pozdravlja delo, ki je bilo opravljeno v letu 2022 za izboljšanje kakovosti in razpoložljivosti osnovnih podatkov o dobavi v sodelovanju z nacionalnimi kontaktnimi točkami mreže Reitox in Europolom; pozdravlja izvajanje vseh nalog centra v okviru operativnih akcijskih načrtov za večdisciplinarno platformo proti grožnjam kriminala v zvezi s konopljo, kokainom in heroinom;</w:t>
      </w:r>
      <w:r w:rsidRPr="00985275">
        <w:rPr>
          <w:rStyle w:val="FootnoteReference"/>
        </w:rPr>
        <w:t xml:space="preserve"> </w:t>
      </w:r>
      <w:r w:rsidRPr="00985275">
        <w:t>opozarja, da je bil nedovoljen promet s prepovedanimi drogami opredeljen kot glavni vir dobička in kanal za novačenje na področju organiziranega kriminala in terorizma, in poudarja, da center prispeva k varnejši Evropi;</w:t>
      </w:r>
    </w:p>
    <w:p w14:paraId="6929BA39" w14:textId="77777777" w:rsidR="00BA3847" w:rsidRPr="00985275" w:rsidRDefault="00BA3847" w:rsidP="00BA3847">
      <w:pPr>
        <w:pStyle w:val="NormalHanging12a"/>
      </w:pPr>
      <w:r w:rsidRPr="00985275">
        <w:t>11.</w:t>
      </w:r>
      <w:r w:rsidRPr="00985275">
        <w:tab/>
        <w:t>pozdravlja, da center in partnerske države evropske sosedske politike stalno sodelujejo na regionalni ravni v okviru projekta tehnične pomoči EU4MD in pri izvajanju projekta EMCDDA4GE na dvostranski ravni z Gruzijo; pozdravlja vzpostavitev uradnega partnerstva v okviru programa sodelovanja med Latinsko Ameriko, Karibi in Evropsko unijo o politikah na področju drog;</w:t>
      </w:r>
    </w:p>
    <w:p w14:paraId="00DA1293" w14:textId="77777777" w:rsidR="00BA3847" w:rsidRPr="00985275" w:rsidRDefault="00BA3847" w:rsidP="00BA3847">
      <w:pPr>
        <w:pStyle w:val="Normal12Hanging"/>
        <w:rPr>
          <w:b/>
          <w:i/>
          <w:szCs w:val="24"/>
        </w:rPr>
      </w:pPr>
      <w:r w:rsidRPr="00985275">
        <w:rPr>
          <w:b/>
          <w:i/>
        </w:rPr>
        <w:t>Povečanje učinkovitosti</w:t>
      </w:r>
    </w:p>
    <w:p w14:paraId="49073A2A" w14:textId="77777777" w:rsidR="00BA3847" w:rsidRPr="00985275" w:rsidRDefault="00BA3847" w:rsidP="00BA3847">
      <w:pPr>
        <w:pStyle w:val="Normal12Hanging"/>
        <w:rPr>
          <w:szCs w:val="24"/>
        </w:rPr>
      </w:pPr>
      <w:r w:rsidRPr="00985275">
        <w:t>12.</w:t>
      </w:r>
      <w:r w:rsidRPr="00985275">
        <w:tab/>
        <w:t>izreka pohvalo centru za zavezo, da bo nenehno izboljševal uspešnost in učinkovitost svojih dejavnosti ter čim bolj povečal uporabo svojih virov, strokovnega znanja in izkušenj, da bi na koncu prispeval k varnejši in bolj zdravi Evropi, zlasti s sporazumi o sodelovanju z agencijami na področju pravosodja in notranjih zadev ter zdravja; je seznanjen z ukrepi, ki jih je center sprejel, da bi zmanjšal tekoče stroške svojih prostorov, kot so uporaba električnih senčil na steklenih območjih in stikala za nadzor klimatske naprave na oknih; je seznanjen tudi z dogovorom z Evropsko agencijo za pomorsko varnost o souporabi skupnih prostorov (menza, podzemna parkirišča in konferenčni objekti) v stavbi, kjer se nahaja njun sedež, ter s sodelovanjem med obema agencijama pri skupnih javnih naročilih skupnih storitev (med drugim na področju varnosti, čiščenja, gostinskih storitev) in skupne organizacije dejavnosti usposabljanja, ki so v skupnem interesu osebja obeh agencij;</w:t>
      </w:r>
    </w:p>
    <w:p w14:paraId="354F2FE8" w14:textId="77777777" w:rsidR="00BA3847" w:rsidRPr="00985275" w:rsidRDefault="00BA3847" w:rsidP="00BA3847">
      <w:pPr>
        <w:pStyle w:val="Normal12Hanging"/>
      </w:pPr>
      <w:r w:rsidRPr="00985275">
        <w:t>13.</w:t>
      </w:r>
      <w:r w:rsidRPr="00985275">
        <w:tab/>
        <w:t>z zadovoljstvom ugotavlja, da ima center strateški načrt (okoljska strategija za obdobje 2021–2025), da bi postal ogljično nevtralen, in da je v svoje letno poročilo o dejavnostih vključil metriko v zvezi z okoljsko uspešnostjo in ogljičnim odtisom centra, ki se od leta 2014 še izboljšuje; pozdravlja odločitev direktorja centra, sprejeto leta 2022, da bo pridobil certifikat EMAS, katerega proces naj bi bil končan leta 2023;</w:t>
      </w:r>
    </w:p>
    <w:p w14:paraId="39EDA3A2" w14:textId="77777777" w:rsidR="00BA3847" w:rsidRPr="00985275" w:rsidRDefault="00BA3847" w:rsidP="00BA3847">
      <w:pPr>
        <w:pStyle w:val="Normal12Hanging"/>
      </w:pPr>
      <w:r w:rsidRPr="00985275">
        <w:t>14.</w:t>
      </w:r>
      <w:r w:rsidRPr="00985275">
        <w:tab/>
        <w:t>je seznanjen, da je center v letu 2022 izvedel več projektov, namenjenih izboljšanju okoljske učinkovitosti, in sicer z izboljšanjem porabe električne energije, namestitvijo sončnih elektrarn na streho stavbe in namestitvijo postaj za souporabo električnih avtomobilov, da bi vozni park centra nadomestil z električnimi ali hibridnimi vozili;</w:t>
      </w:r>
    </w:p>
    <w:p w14:paraId="6CAB5B36" w14:textId="77777777" w:rsidR="00BA3847" w:rsidRPr="00985275" w:rsidRDefault="00BA3847" w:rsidP="00BA3847">
      <w:pPr>
        <w:pStyle w:val="Normal12Hanging"/>
        <w:rPr>
          <w:b/>
          <w:i/>
          <w:szCs w:val="24"/>
        </w:rPr>
      </w:pPr>
      <w:r w:rsidRPr="00985275">
        <w:rPr>
          <w:b/>
          <w:i/>
        </w:rPr>
        <w:t>Kadrovska politika</w:t>
      </w:r>
    </w:p>
    <w:p w14:paraId="04D70CE6" w14:textId="77777777" w:rsidR="00BA3847" w:rsidRPr="00985275" w:rsidRDefault="00BA3847" w:rsidP="00BA3847">
      <w:pPr>
        <w:pStyle w:val="Normal12Hanging"/>
        <w:rPr>
          <w:szCs w:val="24"/>
        </w:rPr>
      </w:pPr>
      <w:r w:rsidRPr="00985275">
        <w:t>15.</w:t>
      </w:r>
      <w:r w:rsidRPr="00985275">
        <w:tab/>
        <w:t>ugotavlja, da je bil kadrovski načrt 31. decembra 2022 uresničen 97-odstotno, saj je bilo izmed 7 uradnikov in 69 začasnih uslužbencev, odobrenih v proračunu Unije, zaposlenih 6 uradnikov in 68 začasnih uslužbencev (76 odobrenih delovnih mest leta 2022, kar je enako kot leta 2021); ugotavlja, da je v letu 2022 za center delalo tudi 27 pogodbenih uslužbencev; pozdravlja, da je center v letu 2022 opravil kadrovski pregled ter uspešno in učinkovito dodelil sredstva, saj je 72,44 % uslužbencev centra dodeljenih operativnim dejavnostim, 18,20 % upravni podpori in usklajevanju ter 9,35 % nevtralnim operacijam; izreka pohvalo centru za nizko stopnjo fluktuacije zaposlenih (2,9 %) v letu 2022;</w:t>
      </w:r>
    </w:p>
    <w:p w14:paraId="491684C8" w14:textId="77777777" w:rsidR="00BA3847" w:rsidRPr="00985275" w:rsidRDefault="00BA3847" w:rsidP="00BA3847">
      <w:pPr>
        <w:pStyle w:val="NormalHanging12a"/>
      </w:pPr>
      <w:r w:rsidRPr="00985275">
        <w:t>16.</w:t>
      </w:r>
      <w:r w:rsidRPr="00985275">
        <w:tab/>
        <w:t>je seznanjen, da je center poročal, da ima v svojem višjem vodstvu dve ženski (22 %) in 7 moških (78 %), medtem ko ima v upravnem odboru 20 žensk (37 %) in 34 moških (63 %); ugotavlja, da je med vsemi zaposlenimi 36 moških (38 %) in 58 žensk (62 %); opozarja, kako pomembno je zagotoviti uravnoteženo zastopanost spolov med zaposlenimi, in poziva agencijo, naj ta vidik v prihodnje upošteva pri zaposlovanju novih uslužbencev in imenovanjih v višjem vodstvu; poziva Komisijo in države članice, naj se pri imenovanju svojih članov v upravni odbor centra zavedajo pomena uravnotežene zastopanosti spolov;</w:t>
      </w:r>
    </w:p>
    <w:p w14:paraId="7FF0D374" w14:textId="77777777" w:rsidR="00BA3847" w:rsidRPr="00985275" w:rsidRDefault="00BA3847" w:rsidP="00BA3847">
      <w:pPr>
        <w:pStyle w:val="Normal12Hanging"/>
        <w:rPr>
          <w:szCs w:val="24"/>
        </w:rPr>
      </w:pPr>
      <w:r w:rsidRPr="00985275">
        <w:t>17.</w:t>
      </w:r>
      <w:r w:rsidRPr="00985275">
        <w:tab/>
        <w:t>je seznanjen s poročilom centra v zvezi z nadaljnjimi ukrepi, sprejetimi na podlagi razrešnice glede izvrševanja proračuna centra za proračunsko leto 2021 (poročilo centra) za izboljšanje uravnotežene zastopanosti spolov v centru; ugotavlja, da so bili ti ukrepi sprejeti v okviru postopkov centra za zaposlovanje in širjenja informacij o izbirnem procesu centra v državah članicah; izreka pohvalo predsedniku upravnega odbora centra, ker se je obrnil na pristojne organe držav članic, Norveške in Turčije v zvezi z zagotavljanjem uravnotežene zastopanosti spolov pri imenovanju članov upravnega odbora centra; na podlagi poročila centra v zvezi z ugotovitvijo o neuporabi sistema SYSPER ugotavlja tudi, da je center razvil in vzpostavil lastna orodja informacijske in komunikacijske tehnologije za digitalizirano upravljanje človeških virov;</w:t>
      </w:r>
    </w:p>
    <w:p w14:paraId="54ED116F" w14:textId="77777777" w:rsidR="00BA3847" w:rsidRPr="00985275" w:rsidRDefault="00BA3847" w:rsidP="00BA3847">
      <w:pPr>
        <w:pStyle w:val="Normal12Hanging"/>
        <w:rPr>
          <w:szCs w:val="24"/>
        </w:rPr>
      </w:pPr>
      <w:r w:rsidRPr="00985275">
        <w:t>18.</w:t>
      </w:r>
      <w:r w:rsidRPr="00985275">
        <w:tab/>
        <w:t>želi spomniti na ugotovitev iz letnega poročila Računskega sodišča o agencijah Unije za leto 2018 v zvezi z najemanjem agencijskih delavcev prek okvirne pogodbe, ne da bi se pri tem spoštovale zahteve Direktive 2008/104/ES</w:t>
      </w:r>
      <w:r w:rsidRPr="00985275">
        <w:rPr>
          <w:rStyle w:val="FootnoteReference"/>
          <w:szCs w:val="24"/>
        </w:rPr>
        <w:footnoteReference w:id="14"/>
      </w:r>
      <w:r w:rsidRPr="00985275">
        <w:t xml:space="preserve"> in portugalskega delovnega prava; na podlagi poročila Računskega sodišča ugotavlja, da je ta ugotovitev zaključena, medtem ko je zadevna okvirna pogodba potekla marca 2022, zadnje plačilo v zvezi z agencijskimi delavci pa je bilo izvedeno januarja 2022;</w:t>
      </w:r>
    </w:p>
    <w:p w14:paraId="25C2B8C0" w14:textId="77777777" w:rsidR="00BA3847" w:rsidRPr="00985275" w:rsidRDefault="00BA3847" w:rsidP="00BA3847">
      <w:pPr>
        <w:pStyle w:val="Normal12Hanging"/>
        <w:rPr>
          <w:b/>
          <w:i/>
          <w:szCs w:val="24"/>
        </w:rPr>
      </w:pPr>
      <w:r w:rsidRPr="00985275">
        <w:rPr>
          <w:b/>
          <w:i/>
        </w:rPr>
        <w:t>Javna naročila</w:t>
      </w:r>
    </w:p>
    <w:p w14:paraId="3A366708" w14:textId="77777777" w:rsidR="00BA3847" w:rsidRPr="00985275" w:rsidRDefault="00BA3847" w:rsidP="00BA3847">
      <w:pPr>
        <w:pStyle w:val="NormalHanging12a"/>
        <w:rPr>
          <w:szCs w:val="24"/>
        </w:rPr>
      </w:pPr>
      <w:r w:rsidRPr="00985275">
        <w:t>19.</w:t>
      </w:r>
      <w:r w:rsidRPr="00985275">
        <w:tab/>
        <w:t>na podlagi poročila Računskega sodišča ugotavlja, da znesek (75.000 EUR), ki ustreza pogodbi, sklenjeni leta 2022, ni bil v celoti pokrit z ustrezno proračunsko obveznostjo, zaradi česar je nastal primanjkljaj v višini 8.000 EUR; ugotavlja, da je v letu 2021 prišlo do podobnega stanja pri isti vrsti pogodb in da center v obeh primerih po navedbah iz poročila Računskega sodišča ni bil v skladu z zahtevo iz členov 10(3) in 73(2) finančne uredbe centra; vendar na podlagi odgovora centra ugotavlja, da so bili stroški pogodbe razdeljeni v skladu s sporazumi, sklenjenimi z dvema drugima subjektoma, ki uporabljata prostore centra v Lizboni; v zvezi s tem ugotavlja, da je moral center kriti le del skupnih stroškov/odhodkov za pogodbo, ki so temeljili na ustreznih proračunskih obveznostih, medtem ko so preostali stroški temeljili na izravnavanju/klirinških računovodskih operacijah, saj sta te stroške krila druga dva subjekta;</w:t>
      </w:r>
    </w:p>
    <w:p w14:paraId="541B6A1C" w14:textId="77777777" w:rsidR="00BA3847" w:rsidRPr="00985275" w:rsidRDefault="00BA3847" w:rsidP="00BA3847">
      <w:pPr>
        <w:pStyle w:val="Normal12Hanging"/>
        <w:rPr>
          <w:b/>
          <w:i/>
          <w:szCs w:val="24"/>
        </w:rPr>
      </w:pPr>
      <w:r w:rsidRPr="00985275">
        <w:rPr>
          <w:b/>
          <w:i/>
        </w:rPr>
        <w:t>Preprečevanje in obvladovanje nasprotij interesov ter preglednost</w:t>
      </w:r>
    </w:p>
    <w:p w14:paraId="3AC28399" w14:textId="77777777" w:rsidR="00BA3847" w:rsidRPr="00985275" w:rsidRDefault="00BA3847" w:rsidP="00BA3847">
      <w:pPr>
        <w:pStyle w:val="Normal12Hanging"/>
        <w:rPr>
          <w:szCs w:val="24"/>
        </w:rPr>
      </w:pPr>
      <w:r w:rsidRPr="00985275">
        <w:t>20.</w:t>
      </w:r>
      <w:r w:rsidRPr="00985275">
        <w:tab/>
        <w:t>je seznanjen, da je center uvedel ukrepe in da si še naprej prizadeva za preglednost, preprečevanje in obvladovanje nasprotij interesov ter zaščito žvižgačev; ugotavlja, da v letu 2022 ni bil prijavljen, preiskan ali zaključen noben primer nasprotja interesov ali žvižgaštva; pozdravlja, da je center na svojem spletnem mestu objavil izjave o interesih in življenjepise višjega vodstva, članov upravnega odbora in zunanjih strokovnjakov, ki so člani znanstvenega odbora centra; želi spomniti, da je v primeru članov upravnega odbora na spletnem mestu centra na voljo le povzetek njihovih sedanjih poklicnih dejavnosti; je seznanjen z zavezo centra, da bo do konca leta 2023 obravnaval izvedljivost vključitve pretekle poklicne dejavnosti teh članov v objavljene življenjepise;</w:t>
      </w:r>
    </w:p>
    <w:p w14:paraId="533F4CBD" w14:textId="77777777" w:rsidR="00BA3847" w:rsidRPr="00985275" w:rsidRDefault="00BA3847" w:rsidP="00BA3847">
      <w:pPr>
        <w:pStyle w:val="Normal12Hanging"/>
        <w:rPr>
          <w:szCs w:val="24"/>
        </w:rPr>
      </w:pPr>
      <w:r w:rsidRPr="00985275">
        <w:t>21.</w:t>
      </w:r>
      <w:r w:rsidRPr="00985275">
        <w:tab/>
        <w:t>je seznanjen, da se center leta 2022 ni srečal z lobisti; je seznanjen tudi, da je center na podlagi smernic in priporočil, ki sta jih v zvezi s tem pripravila Komisija in Evropski varuh človekovih pravic, sprejel kodeks ravnanja in praktična priporočila/smernice za morebitno interakcijo svojega osebja z zastopniki interesov; ugotavlja tudi, da v primeru takšnih srečanj te smernice priporočajo, da se seja posname in objavi; poziva center, naj upošteva te smernice in ta srečanja nemudoma objavi;</w:t>
      </w:r>
    </w:p>
    <w:p w14:paraId="3E6FC56D" w14:textId="77777777" w:rsidR="00BA3847" w:rsidRPr="00985275" w:rsidRDefault="00BA3847" w:rsidP="00BA3847">
      <w:pPr>
        <w:pStyle w:val="Normal12Hanging"/>
        <w:rPr>
          <w:b/>
          <w:i/>
          <w:szCs w:val="24"/>
        </w:rPr>
      </w:pPr>
      <w:r w:rsidRPr="00985275">
        <w:rPr>
          <w:b/>
          <w:i/>
        </w:rPr>
        <w:t>Notranje kontrole</w:t>
      </w:r>
    </w:p>
    <w:p w14:paraId="60F5CD79" w14:textId="77777777" w:rsidR="00BA3847" w:rsidRPr="00985275" w:rsidRDefault="00BA3847" w:rsidP="00BA3847">
      <w:pPr>
        <w:pStyle w:val="Normal12Hanging"/>
        <w:rPr>
          <w:szCs w:val="24"/>
        </w:rPr>
      </w:pPr>
      <w:r w:rsidRPr="00985275">
        <w:t>22.</w:t>
      </w:r>
      <w:r w:rsidRPr="00985275">
        <w:tab/>
        <w:t>je seznanjen, da je služba za notranjo revizijo leta 2022 za center izvedla dve reviziji, in sicer v zvezi z mednarodnim sodelovanjem ter ustreznostjo usklajevanja in delovnih dogovorov partnerskih generalnih direktoratov in drugih deležnikov ter okvira upravljanja decentraliziranih agencij Unije; ugotavlja, da rezultati revizij za oba revizijska projekta ob koncu leta 2022 še niso bili na voljo, ko ni bilo nerešenih kritičnih tveganj ali priporočil službe za notranjo revizijo, razen enega nerešenega priporočila o notranjem komuniciranju iz revizije upravljanja človeških virov in etike, opravljene leta 2021;</w:t>
      </w:r>
    </w:p>
    <w:p w14:paraId="50D883DB" w14:textId="77777777" w:rsidR="00BA3847" w:rsidRPr="00985275" w:rsidRDefault="00BA3847" w:rsidP="00BA3847">
      <w:pPr>
        <w:pStyle w:val="Normal12Hanging"/>
        <w:rPr>
          <w:szCs w:val="24"/>
        </w:rPr>
      </w:pPr>
      <w:r w:rsidRPr="00985275">
        <w:t>23.</w:t>
      </w:r>
      <w:r w:rsidRPr="00985275">
        <w:tab/>
        <w:t>pozdravlja rezultat ocene učinkovitosti sistemov notranje kontrole centra iz leta 2022, da so prisotne in delujejo vse komponente; ugotavlja, da je bilo v oceni opredeljenih pet načel okvira notranje kontrole, pri katerih bodo morda potrebne nekatere izboljšave v zvezi s kontrolnim okoljem, kontrolnimi dejavnostmi ter obveščanjem in komuniciranjem; ugotavlja tudi, da je bila leta 2022 izvedena celovita opredelitev in ocena tveganja, namenjena izboljšanju obvladovanja tveganja v centru, pri čemer so bila ugotovljena tveganja povezana z novim mandatom centra in njegovim novim poslovnim modelom; poziva center, naj odpravi vse pomanjkljivosti, ki so bile ugotovljene pri različnih ocenah, opravljenih leta 2022;</w:t>
      </w:r>
    </w:p>
    <w:p w14:paraId="1D474DCA" w14:textId="77777777" w:rsidR="00BA3847" w:rsidRPr="00985275" w:rsidRDefault="00BA3847" w:rsidP="00BA3847">
      <w:pPr>
        <w:pStyle w:val="Normal12Hanging"/>
      </w:pPr>
      <w:r w:rsidRPr="00985275">
        <w:t>24.</w:t>
      </w:r>
      <w:r w:rsidRPr="00985275">
        <w:tab/>
        <w:t>je seznanjen, da je center leta 2021 sprejel revidirano strategijo za boj proti goljufijam s tremi strateškimi cilji in akcijskim načrtom za izvajanje v letu 2022, ki se je do konca leta splošno izvajala, pri čemer je bil še vedno odprt le eden od 12 ukrepov;</w:t>
      </w:r>
    </w:p>
    <w:p w14:paraId="53800111" w14:textId="77777777" w:rsidR="00BA3847" w:rsidRPr="00985275" w:rsidRDefault="00BA3847" w:rsidP="00BA3847">
      <w:pPr>
        <w:pStyle w:val="Normal12Hanging"/>
        <w:rPr>
          <w:b/>
          <w:i/>
          <w:szCs w:val="24"/>
        </w:rPr>
      </w:pPr>
      <w:r w:rsidRPr="00985275">
        <w:rPr>
          <w:b/>
          <w:i/>
        </w:rPr>
        <w:t>Druge pripombe</w:t>
      </w:r>
    </w:p>
    <w:p w14:paraId="70B5DC57" w14:textId="77777777" w:rsidR="00BA3847" w:rsidRPr="00985275" w:rsidRDefault="00BA3847" w:rsidP="00BA3847">
      <w:pPr>
        <w:pStyle w:val="Normal12Hanging"/>
        <w:rPr>
          <w:szCs w:val="24"/>
        </w:rPr>
      </w:pPr>
      <w:r w:rsidRPr="00985275">
        <w:t>25.</w:t>
      </w:r>
      <w:r w:rsidRPr="00985275">
        <w:tab/>
        <w:t>izreka pohvalo centru za komunikacijska prizadevanja, ki so bila osredotočena na pripravo visokokakovostnih publikacij, pri čemer je bilo leta 2022 pripravljenih 66 znanstvenih in institucionalnih publikacij, 16 znanstvenih člankov in knjižnih poglavij, pri katerih je bil center avtor ali soavtor in so bila objavljeni v prestižnih revijah;</w:t>
      </w:r>
    </w:p>
    <w:p w14:paraId="0BD2D66B" w14:textId="77777777" w:rsidR="00BA3847" w:rsidRPr="00985275" w:rsidRDefault="00BA3847" w:rsidP="00BA3847">
      <w:pPr>
        <w:pStyle w:val="Normal12Hanging"/>
        <w:rPr>
          <w:szCs w:val="24"/>
        </w:rPr>
      </w:pPr>
      <w:r w:rsidRPr="00985275">
        <w:t>26.</w:t>
      </w:r>
      <w:r w:rsidRPr="00985275">
        <w:tab/>
        <w:t>pozdravlja znatno povečanje občinstva centra, ki je bilo leta 2022 doseženo na vseh kanalih; v zvezi s tem ugotavlja, da je imel center na spletnem mestu približno 2,6 milijona posamičnih obiskovalcev, kar je rekordno število (povečanje za skoraj 50 % v primerjavi z letom 2021), 1,6 milijona ogledov videoposnetkov (15-odstotno povečanje v primerjavi z letom 2021) in povečanje števila sledilcev na dveh ključnih kanalih družbenih medijev, LinkedInu (+57 %) in Instagramu (+37 %);</w:t>
      </w:r>
    </w:p>
    <w:p w14:paraId="32786E0F" w14:textId="77777777" w:rsidR="00BA3847" w:rsidRPr="00985275" w:rsidRDefault="00BA3847" w:rsidP="00BA3847">
      <w:pPr>
        <w:pStyle w:val="Normal12Hanging"/>
        <w:rPr>
          <w:szCs w:val="24"/>
        </w:rPr>
      </w:pPr>
      <w:r w:rsidRPr="00985275">
        <w:t>27.</w:t>
      </w:r>
      <w:r w:rsidRPr="00985275">
        <w:tab/>
        <w:t>poziva center, naj se osredotoči na razširjanje rezultatov svojih raziskav v splošni javnosti in naj slednjo doseže prek družbenih medijev in drugih medijskih kanalov; v zvezi s tem pozdravlja, da so poročila, ki jih je pripravil center, dostopna uporabnikom;</w:t>
      </w:r>
    </w:p>
    <w:p w14:paraId="51230F36" w14:textId="77777777" w:rsidR="00BA3847" w:rsidRPr="00985275" w:rsidRDefault="00BA3847" w:rsidP="00BA3847">
      <w:pPr>
        <w:pStyle w:val="NormalHanging12a"/>
        <w:rPr>
          <w:szCs w:val="24"/>
        </w:rPr>
      </w:pPr>
      <w:r w:rsidRPr="00985275">
        <w:t>28.</w:t>
      </w:r>
      <w:r w:rsidRPr="00985275">
        <w:tab/>
        <w:t>pozdravlja spletno stran z viri EMCDDA 4 Ukraine, namenjeno strokovnjakom, ki delajo na področju drog v Evropi in podpirajo razseljene osebe iz Ukrajine;</w:t>
      </w:r>
    </w:p>
    <w:p w14:paraId="490B7BAF" w14:textId="77777777" w:rsidR="00BA3847" w:rsidRPr="00985275" w:rsidRDefault="00BA3847" w:rsidP="00BA3847">
      <w:pPr>
        <w:pStyle w:val="NormalCenter12a"/>
      </w:pPr>
      <w:r w:rsidRPr="00985275">
        <w:t>°</w:t>
      </w:r>
    </w:p>
    <w:p w14:paraId="5894C615" w14:textId="77777777" w:rsidR="00BA3847" w:rsidRPr="00985275" w:rsidRDefault="00BA3847" w:rsidP="00BA3847">
      <w:pPr>
        <w:pStyle w:val="NormalCenter12a"/>
      </w:pPr>
      <w:r w:rsidRPr="00985275">
        <w:t>°</w:t>
      </w:r>
      <w:r w:rsidRPr="00985275">
        <w:tab/>
        <w:t>°</w:t>
      </w:r>
    </w:p>
    <w:p w14:paraId="70B9B8BE" w14:textId="2B56D44A" w:rsidR="00E365E1" w:rsidRPr="00D757A0" w:rsidRDefault="00BA3847" w:rsidP="00985275">
      <w:pPr>
        <w:pStyle w:val="NormalHanging12a"/>
      </w:pPr>
      <w:r w:rsidRPr="00985275">
        <w:t>29.</w:t>
      </w:r>
      <w:r w:rsidRPr="00985275">
        <w:tab/>
        <w:t xml:space="preserve">sporoča, da so druge ugotovitve horizontalne narave, ki spremljajo sklep o razrešnici, zbrane v resoluciji z dne </w:t>
      </w:r>
      <w:r w:rsidR="00A2461B" w:rsidRPr="00985275">
        <w:t xml:space="preserve">11. aprila </w:t>
      </w:r>
      <w:r w:rsidRPr="00985275">
        <w:t>2024</w:t>
      </w:r>
      <w:r w:rsidRPr="00985275">
        <w:rPr>
          <w:rStyle w:val="FootnoteReference"/>
        </w:rPr>
        <w:footnoteReference w:id="15"/>
      </w:r>
      <w:r w:rsidRPr="00985275">
        <w:t xml:space="preserve"> o uspešnosti, finančnem poslovodenju in nadzoru agencij.</w:t>
      </w:r>
      <w:bookmarkStart w:id="11" w:name="TextBodyEnd"/>
      <w:bookmarkEnd w:id="11"/>
    </w:p>
    <w:sectPr w:rsidR="00E365E1" w:rsidRPr="00D757A0" w:rsidSect="00D757A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93D11" w14:textId="77777777" w:rsidR="00ED418B" w:rsidRPr="00D757A0" w:rsidRDefault="00ED418B">
      <w:r w:rsidRPr="00D757A0">
        <w:separator/>
      </w:r>
    </w:p>
  </w:endnote>
  <w:endnote w:type="continuationSeparator" w:id="0">
    <w:p w14:paraId="27BD135A" w14:textId="77777777" w:rsidR="00ED418B" w:rsidRPr="00D757A0" w:rsidRDefault="00ED418B">
      <w:r w:rsidRPr="00D75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C0068" w14:textId="77777777" w:rsidR="00BA3847" w:rsidRPr="00D757A0" w:rsidRDefault="00BA3847" w:rsidP="004F4DB1">
    <w:pPr>
      <w:pStyle w:val="EPFooter"/>
    </w:pPr>
    <w:r w:rsidRPr="00D757A0">
      <w:t>PE</w:t>
    </w:r>
    <w:r w:rsidRPr="00D757A0">
      <w:rPr>
        <w:rStyle w:val="HideTWBExt"/>
      </w:rPr>
      <w:t>&lt;NoPE&gt;</w:t>
    </w:r>
    <w:r w:rsidRPr="00D757A0">
      <w:t>753.525</w:t>
    </w:r>
    <w:r w:rsidRPr="00D757A0">
      <w:rPr>
        <w:rStyle w:val="HideTWBExt"/>
      </w:rPr>
      <w:t>&lt;/NoPE&gt;&lt;Version&gt;</w:t>
    </w:r>
    <w:r w:rsidRPr="00D757A0">
      <w:t>v02-00</w:t>
    </w:r>
    <w:r w:rsidRPr="00D757A0">
      <w:rPr>
        <w:rStyle w:val="HideTWBExt"/>
      </w:rPr>
      <w:t>&lt;/Version&gt;</w:t>
    </w:r>
    <w:r w:rsidRPr="00D757A0">
      <w:tab/>
    </w:r>
    <w:r w:rsidRPr="00D757A0">
      <w:fldChar w:fldCharType="begin"/>
    </w:r>
    <w:r w:rsidRPr="00D757A0">
      <w:instrText xml:space="preserve"> PAGE  \* MERGEFORMAT </w:instrText>
    </w:r>
    <w:r w:rsidRPr="00D757A0">
      <w:fldChar w:fldCharType="separate"/>
    </w:r>
    <w:r w:rsidR="00D757A0" w:rsidRPr="00D757A0">
      <w:rPr>
        <w:noProof/>
      </w:rPr>
      <w:t>2</w:t>
    </w:r>
    <w:r w:rsidRPr="00D757A0">
      <w:fldChar w:fldCharType="end"/>
    </w:r>
    <w:r w:rsidRPr="00D757A0">
      <w:t>/</w:t>
    </w:r>
    <w:r w:rsidR="00985275">
      <w:fldChar w:fldCharType="begin"/>
    </w:r>
    <w:r w:rsidR="00985275">
      <w:instrText xml:space="preserve"> NUMPAGES  \* MERGEFORMAT </w:instrText>
    </w:r>
    <w:r w:rsidR="00985275">
      <w:fldChar w:fldCharType="separate"/>
    </w:r>
    <w:r w:rsidR="00D757A0" w:rsidRPr="00D757A0">
      <w:rPr>
        <w:noProof/>
      </w:rPr>
      <w:t>4</w:t>
    </w:r>
    <w:r w:rsidR="00985275">
      <w:rPr>
        <w:noProof/>
      </w:rPr>
      <w:fldChar w:fldCharType="end"/>
    </w:r>
    <w:r w:rsidRPr="00D757A0">
      <w:tab/>
    </w:r>
    <w:r w:rsidRPr="00D757A0">
      <w:rPr>
        <w:rStyle w:val="HideTWBExt"/>
      </w:rPr>
      <w:t>&lt;PathFdR&gt;</w:t>
    </w:r>
    <w:r w:rsidRPr="00D757A0">
      <w:t>RR\1298782SL.docx</w:t>
    </w:r>
    <w:r w:rsidRPr="00D757A0">
      <w:rPr>
        <w:rStyle w:val="HideTWBExt"/>
      </w:rPr>
      <w:t>&lt;/PathFdR&gt;</w:t>
    </w:r>
  </w:p>
  <w:p w14:paraId="2018892C" w14:textId="77777777" w:rsidR="00BA3847" w:rsidRPr="00D757A0" w:rsidRDefault="00BA3847" w:rsidP="004F4DB1">
    <w:pPr>
      <w:pStyle w:val="EPFooter2"/>
    </w:pPr>
    <w:r w:rsidRPr="00D757A0">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8A06E" w14:textId="77777777" w:rsidR="00BA3847" w:rsidRPr="00D757A0" w:rsidRDefault="00BA3847" w:rsidP="004F4DB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1371" w14:textId="77777777" w:rsidR="00BA3847" w:rsidRPr="00D757A0" w:rsidRDefault="00BA3847" w:rsidP="004F4DB1">
    <w:pPr>
      <w:pStyle w:val="EPFooter"/>
    </w:pPr>
    <w:r w:rsidRPr="00D757A0">
      <w:rPr>
        <w:rStyle w:val="HideTWBExt"/>
      </w:rPr>
      <w:t>&lt;PathFdR&gt;</w:t>
    </w:r>
    <w:r w:rsidRPr="00D757A0">
      <w:t>RR\1298782SL.docx</w:t>
    </w:r>
    <w:r w:rsidRPr="00D757A0">
      <w:rPr>
        <w:rStyle w:val="HideTWBExt"/>
      </w:rPr>
      <w:t>&lt;/PathFdR&gt;</w:t>
    </w:r>
    <w:r w:rsidRPr="00D757A0">
      <w:tab/>
    </w:r>
    <w:r w:rsidRPr="00D757A0">
      <w:tab/>
      <w:t>PE</w:t>
    </w:r>
    <w:r w:rsidRPr="00D757A0">
      <w:rPr>
        <w:rStyle w:val="HideTWBExt"/>
      </w:rPr>
      <w:t>&lt;NoPE&gt;</w:t>
    </w:r>
    <w:r w:rsidRPr="00D757A0">
      <w:t>753.525</w:t>
    </w:r>
    <w:r w:rsidRPr="00D757A0">
      <w:rPr>
        <w:rStyle w:val="HideTWBExt"/>
      </w:rPr>
      <w:t>&lt;/NoPE&gt;&lt;Version&gt;</w:t>
    </w:r>
    <w:r w:rsidRPr="00D757A0">
      <w:t>v02-00</w:t>
    </w:r>
    <w:r w:rsidRPr="00D757A0">
      <w:rPr>
        <w:rStyle w:val="HideTWBExt"/>
      </w:rPr>
      <w:t>&lt;/Version&gt;</w:t>
    </w:r>
  </w:p>
  <w:p w14:paraId="48C4BD3A" w14:textId="77777777" w:rsidR="00BA3847" w:rsidRPr="00D757A0" w:rsidRDefault="00BA3847" w:rsidP="004F4DB1">
    <w:pPr>
      <w:pStyle w:val="EPFooter2"/>
    </w:pPr>
    <w:r w:rsidRPr="00D757A0">
      <w:t>SL</w:t>
    </w:r>
    <w:r w:rsidRPr="00D757A0">
      <w:tab/>
    </w:r>
    <w:r w:rsidRPr="00D757A0">
      <w:rPr>
        <w:b w:val="0"/>
        <w:i/>
        <w:color w:val="C0C0C0"/>
        <w:sz w:val="22"/>
      </w:rPr>
      <w:t>Združena v raznolikosti</w:t>
    </w:r>
    <w:r w:rsidRPr="00D757A0">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31101" w14:textId="77777777" w:rsidR="00064002" w:rsidRPr="00D757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6AB3" w14:textId="77777777" w:rsidR="00064002" w:rsidRPr="00D757A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F249" w14:textId="77777777" w:rsidR="00064002" w:rsidRPr="00D757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369F5" w14:textId="77777777" w:rsidR="00ED418B" w:rsidRPr="00D757A0" w:rsidRDefault="00ED418B">
      <w:r w:rsidRPr="00D757A0">
        <w:separator/>
      </w:r>
    </w:p>
  </w:footnote>
  <w:footnote w:type="continuationSeparator" w:id="0">
    <w:p w14:paraId="0A5FF263" w14:textId="77777777" w:rsidR="00ED418B" w:rsidRPr="00D757A0" w:rsidRDefault="00ED418B">
      <w:r w:rsidRPr="00D757A0">
        <w:continuationSeparator/>
      </w:r>
    </w:p>
  </w:footnote>
  <w:footnote w:id="1">
    <w:p w14:paraId="491A7925"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C, C/2023/594, 27.10.2023.</w:t>
      </w:r>
    </w:p>
  </w:footnote>
  <w:footnote w:id="2">
    <w:p w14:paraId="17A65F01"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C, C/2023/112, 12.10.2023.</w:t>
      </w:r>
    </w:p>
  </w:footnote>
  <w:footnote w:id="3">
    <w:p w14:paraId="649765AE"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193, 30.7.2018, str. 1.</w:t>
      </w:r>
    </w:p>
  </w:footnote>
  <w:footnote w:id="4">
    <w:p w14:paraId="1F24A685"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376, 27.12.2006, str. 1.</w:t>
      </w:r>
    </w:p>
  </w:footnote>
  <w:footnote w:id="5">
    <w:p w14:paraId="5C14FBC7"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166, 30.6.2023, str. 6.</w:t>
      </w:r>
    </w:p>
  </w:footnote>
  <w:footnote w:id="6">
    <w:p w14:paraId="2C0BFBBA"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122, 10.5.2019, str. 1.</w:t>
      </w:r>
    </w:p>
  </w:footnote>
  <w:footnote w:id="7">
    <w:p w14:paraId="62C4E0C4"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C, C/2023/594, 27.10.2023.</w:t>
      </w:r>
    </w:p>
  </w:footnote>
  <w:footnote w:id="8">
    <w:p w14:paraId="35EFA302"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C, C/2023/112, 12.10.2023.</w:t>
      </w:r>
    </w:p>
  </w:footnote>
  <w:footnote w:id="9">
    <w:p w14:paraId="454D5B78"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193, 30.7.2018, str. 1.</w:t>
      </w:r>
    </w:p>
  </w:footnote>
  <w:footnote w:id="10">
    <w:p w14:paraId="43BAD8F8"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376, 27.12.2006, str. 1.</w:t>
      </w:r>
    </w:p>
  </w:footnote>
  <w:footnote w:id="11">
    <w:p w14:paraId="72227BC8"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166, 30.6.2023, str. 6.</w:t>
      </w:r>
    </w:p>
  </w:footnote>
  <w:footnote w:id="12">
    <w:p w14:paraId="2FF391C2"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L 122, 10.5.2019, str. 1.</w:t>
      </w:r>
    </w:p>
  </w:footnote>
  <w:footnote w:id="13">
    <w:p w14:paraId="2E2B7ABF"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UL C 141/06, 29.3.2022, str. 33.</w:t>
      </w:r>
    </w:p>
  </w:footnote>
  <w:footnote w:id="14">
    <w:p w14:paraId="5510BEDD" w14:textId="77777777"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Direktiva 2008/104/ES Evropskega parlamenta in Sveta z dne 19. novembra 2008 o delu prek agencij za zagotavljanje začasnega dela (UL L 327, 5.12.2008, str. 9).</w:t>
      </w:r>
    </w:p>
  </w:footnote>
  <w:footnote w:id="15">
    <w:p w14:paraId="7E76F714" w14:textId="518E6F51" w:rsidR="00BA3847" w:rsidRPr="00D757A0" w:rsidRDefault="00BA3847" w:rsidP="00D757A0">
      <w:pPr>
        <w:pStyle w:val="FootnoteText"/>
        <w:ind w:left="567" w:hanging="567"/>
        <w:rPr>
          <w:sz w:val="24"/>
          <w:lang w:val="sl-SI"/>
        </w:rPr>
      </w:pPr>
      <w:r w:rsidRPr="00D757A0">
        <w:rPr>
          <w:rStyle w:val="FootnoteReference"/>
          <w:sz w:val="24"/>
          <w:lang w:val="sl-SI"/>
        </w:rPr>
        <w:footnoteRef/>
      </w:r>
      <w:r w:rsidR="00D757A0" w:rsidRPr="00D757A0">
        <w:rPr>
          <w:sz w:val="24"/>
          <w:lang w:val="sl-SI"/>
        </w:rPr>
        <w:t xml:space="preserve"> </w:t>
      </w:r>
      <w:r w:rsidR="00D757A0" w:rsidRPr="00D757A0">
        <w:rPr>
          <w:sz w:val="24"/>
          <w:lang w:val="sl-SI"/>
        </w:rPr>
        <w:tab/>
      </w:r>
      <w:r w:rsidRPr="00D757A0">
        <w:rPr>
          <w:sz w:val="24"/>
          <w:lang w:val="sl-SI"/>
        </w:rPr>
        <w:t>Sprejeta besedila, P9_TA(2024)</w:t>
      </w:r>
      <w:r w:rsidR="00985275">
        <w:rPr>
          <w:sz w:val="24"/>
          <w:lang w:val="sl-SI"/>
        </w:rPr>
        <w:t>0280</w:t>
      </w:r>
      <w:bookmarkStart w:id="10" w:name="_GoBack"/>
      <w:bookmarkEnd w:id="10"/>
      <w:r w:rsidRPr="00D757A0">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CB10E" w14:textId="77777777" w:rsidR="00BA3847" w:rsidRPr="00D757A0" w:rsidRDefault="00BA3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105E" w14:textId="77777777" w:rsidR="00BA3847" w:rsidRPr="00D757A0" w:rsidRDefault="00BA3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F4956" w14:textId="77777777" w:rsidR="00BA3847" w:rsidRPr="00D757A0" w:rsidRDefault="00BA38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9B6E" w14:textId="77777777" w:rsidR="00064002" w:rsidRPr="00D757A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26386" w14:textId="77777777" w:rsidR="00064002" w:rsidRPr="00D757A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50EA7" w14:textId="77777777" w:rsidR="00064002" w:rsidRPr="00D757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SL"/>
    <w:docVar w:name="dvnumam" w:val="0"/>
    <w:docVar w:name="dvpe" w:val="753.525"/>
    <w:docVar w:name="dvrapporteur" w:val="Poročevalec: "/>
    <w:docVar w:name="dvtitre" w:val="Sklep Evropskega parlamenta z dne … 2024 o razrešnici glede izvrševanja proračuna Evropskega centra za spremljanje drog in zasvojenosti z drogami za proračunsko leto 2022(2023/2157(DEC))"/>
  </w:docVars>
  <w:rsids>
    <w:rsidRoot w:val="00ED418B"/>
    <w:rsid w:val="00002272"/>
    <w:rsid w:val="00064002"/>
    <w:rsid w:val="000677B9"/>
    <w:rsid w:val="000831BA"/>
    <w:rsid w:val="000A42CC"/>
    <w:rsid w:val="000B711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105"/>
    <w:rsid w:val="008C2AC6"/>
    <w:rsid w:val="00930C23"/>
    <w:rsid w:val="0093193B"/>
    <w:rsid w:val="009509D8"/>
    <w:rsid w:val="00950B64"/>
    <w:rsid w:val="00981893"/>
    <w:rsid w:val="00985275"/>
    <w:rsid w:val="00A1687D"/>
    <w:rsid w:val="00A2461B"/>
    <w:rsid w:val="00A43E52"/>
    <w:rsid w:val="00A4678D"/>
    <w:rsid w:val="00A778C7"/>
    <w:rsid w:val="00AB441E"/>
    <w:rsid w:val="00AB6293"/>
    <w:rsid w:val="00AE0928"/>
    <w:rsid w:val="00AF3B82"/>
    <w:rsid w:val="00B12E95"/>
    <w:rsid w:val="00B22876"/>
    <w:rsid w:val="00B558F0"/>
    <w:rsid w:val="00BA3847"/>
    <w:rsid w:val="00BD48FE"/>
    <w:rsid w:val="00BD7BD8"/>
    <w:rsid w:val="00BE6ADC"/>
    <w:rsid w:val="00C05BFE"/>
    <w:rsid w:val="00C23CD4"/>
    <w:rsid w:val="00C61C0C"/>
    <w:rsid w:val="00C941CB"/>
    <w:rsid w:val="00CC2357"/>
    <w:rsid w:val="00CF071A"/>
    <w:rsid w:val="00D058B8"/>
    <w:rsid w:val="00D56C11"/>
    <w:rsid w:val="00D757A0"/>
    <w:rsid w:val="00D834A0"/>
    <w:rsid w:val="00D872DF"/>
    <w:rsid w:val="00D91E21"/>
    <w:rsid w:val="00DA7FCD"/>
    <w:rsid w:val="00E365E1"/>
    <w:rsid w:val="00E820A4"/>
    <w:rsid w:val="00EB006A"/>
    <w:rsid w:val="00EB4772"/>
    <w:rsid w:val="00ED169E"/>
    <w:rsid w:val="00ED418B"/>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88D97"/>
  <w15:chartTrackingRefBased/>
  <w15:docId w15:val="{064D8A0D-600D-4CEE-9145-18F19BD7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384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3847"/>
    <w:pPr>
      <w:spacing w:before="480" w:after="240"/>
    </w:pPr>
  </w:style>
  <w:style w:type="paragraph" w:customStyle="1" w:styleId="PageHeading">
    <w:name w:val="PageHeading"/>
    <w:basedOn w:val="Normal"/>
    <w:rsid w:val="00BA3847"/>
    <w:pPr>
      <w:keepNext/>
      <w:spacing w:after="480"/>
      <w:jc w:val="center"/>
    </w:pPr>
    <w:rPr>
      <w:rFonts w:ascii="Arial" w:hAnsi="Arial" w:cs="Arial"/>
      <w:b/>
    </w:rPr>
  </w:style>
  <w:style w:type="paragraph" w:customStyle="1" w:styleId="NormalBold">
    <w:name w:val="NormalBold"/>
    <w:basedOn w:val="Normal"/>
    <w:rsid w:val="00BA3847"/>
    <w:rPr>
      <w:b/>
    </w:rPr>
  </w:style>
  <w:style w:type="paragraph" w:customStyle="1" w:styleId="NormalHanging12a">
    <w:name w:val="NormalHanging12a"/>
    <w:basedOn w:val="Normal"/>
    <w:link w:val="NormalHanging12aChar"/>
    <w:rsid w:val="00BA3847"/>
    <w:pPr>
      <w:spacing w:after="240"/>
      <w:ind w:left="567" w:hanging="567"/>
    </w:pPr>
  </w:style>
  <w:style w:type="paragraph" w:customStyle="1" w:styleId="NormalCenter12a">
    <w:name w:val="NormalCenter12a"/>
    <w:basedOn w:val="Normal"/>
    <w:rsid w:val="00BA3847"/>
    <w:pPr>
      <w:spacing w:after="240"/>
      <w:jc w:val="center"/>
    </w:pPr>
  </w:style>
  <w:style w:type="paragraph" w:styleId="Header">
    <w:name w:val="header"/>
    <w:basedOn w:val="Normal"/>
    <w:link w:val="HeaderChar"/>
    <w:rsid w:val="00BA3847"/>
    <w:pPr>
      <w:tabs>
        <w:tab w:val="center" w:pos="4513"/>
        <w:tab w:val="right" w:pos="9026"/>
      </w:tabs>
    </w:pPr>
  </w:style>
  <w:style w:type="character" w:customStyle="1" w:styleId="HeaderChar">
    <w:name w:val="Header Char"/>
    <w:basedOn w:val="DefaultParagraphFont"/>
    <w:link w:val="Header"/>
    <w:rsid w:val="00BA3847"/>
    <w:rPr>
      <w:sz w:val="24"/>
      <w:lang w:val="sl-SI"/>
    </w:rPr>
  </w:style>
  <w:style w:type="paragraph" w:customStyle="1" w:styleId="EPFooter">
    <w:name w:val="EPFooter"/>
    <w:basedOn w:val="Normal"/>
    <w:rsid w:val="00BA384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A3847"/>
    <w:rPr>
      <w:sz w:val="24"/>
      <w:lang w:val="sl-SI"/>
    </w:rPr>
  </w:style>
  <w:style w:type="paragraph" w:customStyle="1" w:styleId="Normal12Hanging">
    <w:name w:val="Normal12Hanging"/>
    <w:basedOn w:val="Normal"/>
    <w:rsid w:val="00BA3847"/>
    <w:pPr>
      <w:spacing w:after="240"/>
      <w:ind w:left="567" w:hanging="567"/>
    </w:pPr>
  </w:style>
  <w:style w:type="character" w:styleId="CommentReference">
    <w:name w:val="annotation reference"/>
    <w:basedOn w:val="DefaultParagraphFont"/>
    <w:rsid w:val="00A2461B"/>
    <w:rPr>
      <w:sz w:val="16"/>
      <w:szCs w:val="16"/>
    </w:rPr>
  </w:style>
  <w:style w:type="paragraph" w:styleId="CommentText">
    <w:name w:val="annotation text"/>
    <w:basedOn w:val="Normal"/>
    <w:link w:val="CommentTextChar"/>
    <w:rsid w:val="00A2461B"/>
    <w:rPr>
      <w:sz w:val="20"/>
      <w:lang w:val="en-GB"/>
    </w:rPr>
  </w:style>
  <w:style w:type="character" w:customStyle="1" w:styleId="CommentTextChar">
    <w:name w:val="Comment Text Char"/>
    <w:basedOn w:val="DefaultParagraphFont"/>
    <w:link w:val="CommentText"/>
    <w:rsid w:val="00A2461B"/>
  </w:style>
  <w:style w:type="paragraph" w:styleId="BalloonText">
    <w:name w:val="Balloon Text"/>
    <w:basedOn w:val="Normal"/>
    <w:link w:val="BalloonTextChar"/>
    <w:rsid w:val="00A2461B"/>
    <w:rPr>
      <w:rFonts w:ascii="Segoe UI" w:hAnsi="Segoe UI" w:cs="Segoe UI"/>
      <w:sz w:val="18"/>
      <w:szCs w:val="18"/>
    </w:rPr>
  </w:style>
  <w:style w:type="character" w:customStyle="1" w:styleId="BalloonTextChar">
    <w:name w:val="Balloon Text Char"/>
    <w:basedOn w:val="DefaultParagraphFont"/>
    <w:link w:val="BalloonText"/>
    <w:rsid w:val="00A2461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C8F04-4A37-4628-9D57-F55F69575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3509</Words>
  <Characters>20005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2024-04-11T12:51:00Z</dcterms:created>
  <dcterms:modified xsi:type="dcterms:W3CDTF">2024-04-11T12:51:00Z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A9-0104/2024</vt:lpwstr>
  </property>
  <property fmtid="{D5CDD505-2E9C-101B-9397-08002B2CF9AE}" pid="4" name="&lt;Type&gt;">
    <vt:lpwstr>RR</vt:lpwstr>
  </property>
</Properties>
</file>