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754F" w:rsidTr="0010095E">
        <w:trPr>
          <w:trHeight w:hRule="exact" w:val="1418"/>
        </w:trPr>
        <w:tc>
          <w:tcPr>
            <w:tcW w:w="6804" w:type="dxa"/>
            <w:shd w:val="clear" w:color="auto" w:fill="auto"/>
            <w:vAlign w:val="center"/>
          </w:tcPr>
          <w:p w:rsidR="00751A4A" w:rsidRPr="00A4754F" w:rsidRDefault="000F006E" w:rsidP="0010095E">
            <w:pPr>
              <w:pStyle w:val="EPName"/>
            </w:pPr>
            <w:r w:rsidRPr="00A4754F">
              <w:t>Europaparlamentet</w:t>
            </w:r>
          </w:p>
          <w:p w:rsidR="00751A4A" w:rsidRPr="00A4754F" w:rsidRDefault="00817416" w:rsidP="00756632">
            <w:pPr>
              <w:pStyle w:val="EPTerm"/>
              <w:rPr>
                <w:rStyle w:val="HideTWBExt"/>
                <w:noProof w:val="0"/>
                <w:vanish w:val="0"/>
                <w:color w:val="auto"/>
              </w:rPr>
            </w:pPr>
            <w:r w:rsidRPr="00A4754F">
              <w:t>2019-2024</w:t>
            </w:r>
          </w:p>
        </w:tc>
        <w:tc>
          <w:tcPr>
            <w:tcW w:w="2268" w:type="dxa"/>
            <w:shd w:val="clear" w:color="auto" w:fill="auto"/>
          </w:tcPr>
          <w:p w:rsidR="00751A4A" w:rsidRPr="00A4754F" w:rsidRDefault="00187494" w:rsidP="0010095E">
            <w:pPr>
              <w:pStyle w:val="EPLogo"/>
            </w:pPr>
            <w:r w:rsidRPr="00A475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754F" w:rsidRDefault="00D058B8" w:rsidP="004C5D52">
      <w:pPr>
        <w:pStyle w:val="LineTop"/>
      </w:pPr>
    </w:p>
    <w:p w:rsidR="00680577" w:rsidRPr="00A4754F" w:rsidRDefault="000F006E" w:rsidP="00680577">
      <w:pPr>
        <w:pStyle w:val="EPBodyTA1"/>
      </w:pPr>
      <w:r w:rsidRPr="00A4754F">
        <w:t>ANTAGNA TEXTER</w:t>
      </w:r>
    </w:p>
    <w:p w:rsidR="00D058B8" w:rsidRPr="00A4754F" w:rsidRDefault="00D058B8" w:rsidP="00D058B8">
      <w:pPr>
        <w:pStyle w:val="LineBottom"/>
      </w:pPr>
    </w:p>
    <w:p w:rsidR="000F006E" w:rsidRPr="00A4754F" w:rsidRDefault="000F006E" w:rsidP="000F006E">
      <w:pPr>
        <w:pStyle w:val="ATHeading1"/>
      </w:pPr>
      <w:bookmarkStart w:id="0" w:name="TANumber"/>
      <w:r w:rsidRPr="00A4754F">
        <w:t>P9_TA(2024)0</w:t>
      </w:r>
      <w:bookmarkEnd w:id="0"/>
      <w:r w:rsidR="004C2BE9" w:rsidRPr="00A4754F">
        <w:t>241</w:t>
      </w:r>
    </w:p>
    <w:p w:rsidR="000F006E" w:rsidRPr="00A4754F" w:rsidRDefault="000F006E" w:rsidP="000F006E">
      <w:pPr>
        <w:pStyle w:val="ATHeading2"/>
      </w:pPr>
      <w:bookmarkStart w:id="1" w:name="title"/>
      <w:r w:rsidRPr="00A4754F">
        <w:t>Ansvarsfrihet 2022: Europeiska centrumet för kontroll av narkotika och narkotikamissbruk</w:t>
      </w:r>
      <w:bookmarkEnd w:id="1"/>
    </w:p>
    <w:p w:rsidR="000F006E" w:rsidRPr="00A4754F" w:rsidRDefault="000F006E" w:rsidP="000F006E">
      <w:pPr>
        <w:rPr>
          <w:i/>
          <w:vanish/>
        </w:rPr>
      </w:pPr>
      <w:r w:rsidRPr="00A4754F">
        <w:rPr>
          <w:i/>
        </w:rPr>
        <w:fldChar w:fldCharType="begin"/>
      </w:r>
      <w:r w:rsidRPr="00A4754F">
        <w:rPr>
          <w:i/>
        </w:rPr>
        <w:instrText xml:space="preserve"> TC"(</w:instrText>
      </w:r>
      <w:bookmarkStart w:id="2" w:name="DocNumber"/>
      <w:r w:rsidRPr="00A4754F">
        <w:rPr>
          <w:i/>
        </w:rPr>
        <w:instrText>A9-0104/2024</w:instrText>
      </w:r>
      <w:bookmarkEnd w:id="2"/>
      <w:r w:rsidRPr="00A4754F">
        <w:rPr>
          <w:i/>
        </w:rPr>
        <w:instrText xml:space="preserve"> - Föredragande: Petri Sarvamaa)"\l3 \n&gt; \* MERGEFORMAT </w:instrText>
      </w:r>
      <w:r w:rsidRPr="00A4754F">
        <w:rPr>
          <w:i/>
        </w:rPr>
        <w:fldChar w:fldCharType="end"/>
      </w:r>
    </w:p>
    <w:p w:rsidR="000F006E" w:rsidRPr="00A4754F" w:rsidRDefault="000F006E" w:rsidP="000F006E">
      <w:pPr>
        <w:rPr>
          <w:vanish/>
        </w:rPr>
      </w:pPr>
      <w:bookmarkStart w:id="3" w:name="Commission"/>
      <w:r w:rsidRPr="00A4754F">
        <w:rPr>
          <w:vanish/>
        </w:rPr>
        <w:t>Budgetkontrollutskottet</w:t>
      </w:r>
      <w:bookmarkEnd w:id="3"/>
    </w:p>
    <w:p w:rsidR="000F006E" w:rsidRPr="00A4754F" w:rsidRDefault="000F006E" w:rsidP="000F006E">
      <w:pPr>
        <w:rPr>
          <w:vanish/>
        </w:rPr>
      </w:pPr>
      <w:bookmarkStart w:id="4" w:name="PE"/>
      <w:r w:rsidRPr="00A4754F">
        <w:rPr>
          <w:vanish/>
        </w:rPr>
        <w:t>PE753.525</w:t>
      </w:r>
      <w:bookmarkEnd w:id="4"/>
    </w:p>
    <w:p w:rsidR="000F006E" w:rsidRPr="00A4754F" w:rsidRDefault="00C07B59" w:rsidP="000F006E">
      <w:pPr>
        <w:pStyle w:val="ATHeading3"/>
      </w:pPr>
      <w:bookmarkStart w:id="5" w:name="Sujet"/>
      <w:r w:rsidRPr="00A4754F">
        <w:t xml:space="preserve">1. </w:t>
      </w:r>
      <w:r w:rsidR="000F006E" w:rsidRPr="00A4754F">
        <w:t xml:space="preserve">Europaparlamentets beslut av den </w:t>
      </w:r>
      <w:r w:rsidRPr="00A4754F">
        <w:t>11</w:t>
      </w:r>
      <w:r w:rsidR="000F006E" w:rsidRPr="00A4754F">
        <w:t xml:space="preserve"> </w:t>
      </w:r>
      <w:r w:rsidRPr="00A4754F">
        <w:t>april</w:t>
      </w:r>
      <w:r w:rsidR="000F006E" w:rsidRPr="00A4754F">
        <w:t xml:space="preserve"> 2024 om ansvarsfrihet för genomförandet av budgeten för Europeiska centrumet för kontroll av narkotika och narkotikamissbruk för budgetåret 2022</w:t>
      </w:r>
      <w:bookmarkEnd w:id="5"/>
      <w:r w:rsidR="000F006E" w:rsidRPr="00A4754F">
        <w:t xml:space="preserve"> </w:t>
      </w:r>
      <w:bookmarkStart w:id="6" w:name="References"/>
      <w:r w:rsidR="000F006E" w:rsidRPr="00A4754F">
        <w:t>(2023/2157(DEC))</w:t>
      </w:r>
      <w:bookmarkEnd w:id="6"/>
    </w:p>
    <w:p w:rsidR="002F366A" w:rsidRPr="00A4754F" w:rsidRDefault="002F366A" w:rsidP="002F366A">
      <w:pPr>
        <w:pStyle w:val="EPComma"/>
      </w:pPr>
      <w:bookmarkStart w:id="7" w:name="TextBodyBegin"/>
      <w:bookmarkEnd w:id="7"/>
      <w:r w:rsidRPr="00A4754F">
        <w:rPr>
          <w:i/>
        </w:rPr>
        <w:t>Europaparlamentet fattar detta beslut</w:t>
      </w:r>
    </w:p>
    <w:p w:rsidR="002F366A" w:rsidRPr="00A4754F" w:rsidRDefault="002F366A" w:rsidP="002F366A">
      <w:pPr>
        <w:pStyle w:val="NormalHanging12a"/>
      </w:pPr>
      <w:r w:rsidRPr="00A4754F">
        <w:t>–</w:t>
      </w:r>
      <w:r w:rsidRPr="00A4754F">
        <w:tab/>
        <w:t>med beaktande av den slutliga årsredovisningen för Europeiska centrumet för kontroll av narkotika och narkotikamissbruk för budgetåret 2022,</w:t>
      </w:r>
    </w:p>
    <w:p w:rsidR="002F366A" w:rsidRPr="00A4754F" w:rsidRDefault="002F366A" w:rsidP="002F366A">
      <w:pPr>
        <w:pStyle w:val="NormalHanging12a"/>
      </w:pPr>
      <w:r w:rsidRPr="00A4754F">
        <w:t>–</w:t>
      </w:r>
      <w:r w:rsidRPr="00A4754F">
        <w:tab/>
        <w:t>med beaktande av revisionsrättens årsrapport om EU:s byråer för budgetåret 2022, med byråernas svar,</w:t>
      </w:r>
      <w:r w:rsidRPr="00A4754F">
        <w:rPr>
          <w:rStyle w:val="FootnoteReference"/>
        </w:rPr>
        <w:footnoteReference w:id="1"/>
      </w:r>
    </w:p>
    <w:p w:rsidR="002F366A" w:rsidRPr="00A4754F" w:rsidRDefault="002F366A" w:rsidP="002F366A">
      <w:pPr>
        <w:pStyle w:val="NormalHanging12a"/>
      </w:pPr>
      <w:r w:rsidRPr="00A4754F">
        <w:t>–</w:t>
      </w:r>
      <w:r w:rsidRPr="00A4754F">
        <w:tab/>
        <w:t>med beaktande av revisionsförklaringen om räkenskapernas tillförlitlighet och de underliggande transaktionernas laglighet och korrekthet</w:t>
      </w:r>
      <w:r w:rsidRPr="00A4754F">
        <w:rPr>
          <w:rStyle w:val="FootnoteReference"/>
        </w:rPr>
        <w:footnoteReference w:id="2"/>
      </w:r>
      <w:r w:rsidRPr="00A4754F">
        <w:t>, som avgetts av revisionsrätten för budgetåret 2022 i enlighet med artikel 287 i fördraget om Europeiska unionens funktionssätt,</w:t>
      </w:r>
    </w:p>
    <w:p w:rsidR="002F366A" w:rsidRPr="00A4754F" w:rsidRDefault="002F366A" w:rsidP="002F366A">
      <w:pPr>
        <w:pStyle w:val="NormalHanging12a"/>
      </w:pPr>
      <w:r w:rsidRPr="00A4754F">
        <w:t>–</w:t>
      </w:r>
      <w:r w:rsidRPr="00A4754F">
        <w:tab/>
        <w:t>med beaktande av rådets rekommendation av den 22 februari 2024 om att bevilja centrumet ansvarsfrihet för genomförandet av budgeten för budgetåret 2022 (</w:t>
      </w:r>
      <w:r w:rsidR="00AE59ED" w:rsidRPr="00A4754F">
        <w:t>06180</w:t>
      </w:r>
      <w:r w:rsidRPr="00A4754F">
        <w:t>/2024 – C9</w:t>
      </w:r>
      <w:r w:rsidRPr="00A4754F">
        <w:noBreakHyphen/>
        <w:t>00</w:t>
      </w:r>
      <w:r w:rsidR="00AE59ED" w:rsidRPr="00A4754F">
        <w:t>95</w:t>
      </w:r>
      <w:r w:rsidRPr="00A4754F">
        <w:t>/2024),</w:t>
      </w:r>
    </w:p>
    <w:p w:rsidR="002F366A" w:rsidRPr="00A4754F" w:rsidRDefault="002F366A" w:rsidP="002F366A">
      <w:pPr>
        <w:pStyle w:val="NormalHanging12a"/>
      </w:pPr>
      <w:r w:rsidRPr="00A4754F">
        <w:t>–</w:t>
      </w:r>
      <w:r w:rsidRPr="00A4754F">
        <w:tab/>
        <w:t>med beaktande av artikel 319 i fördraget om Europeiska unionens funktionssätt,</w:t>
      </w:r>
    </w:p>
    <w:p w:rsidR="002F366A" w:rsidRPr="00A4754F" w:rsidRDefault="002F366A" w:rsidP="002F366A">
      <w:pPr>
        <w:pStyle w:val="NormalHanging12a"/>
      </w:pPr>
      <w:r w:rsidRPr="00A4754F">
        <w:t>–</w:t>
      </w:r>
      <w:r w:rsidRPr="00A4754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A4754F">
        <w:rPr>
          <w:rStyle w:val="FootnoteReference"/>
        </w:rPr>
        <w:footnoteReference w:id="3"/>
      </w:r>
      <w:r w:rsidRPr="00A4754F">
        <w:t>, särskilt artikel 70,</w:t>
      </w:r>
    </w:p>
    <w:p w:rsidR="002F366A" w:rsidRPr="00A4754F" w:rsidRDefault="002F366A" w:rsidP="002F366A">
      <w:pPr>
        <w:pStyle w:val="NormalHanging12a"/>
      </w:pPr>
      <w:r w:rsidRPr="00A4754F">
        <w:lastRenderedPageBreak/>
        <w:t>–</w:t>
      </w:r>
      <w:r w:rsidRPr="00A4754F">
        <w:tab/>
        <w:t>med beaktande av Europaparlamentets och rådets förordning (EG) nr 1920/2006 av den 12 december 2006 om Europeiska centrumet för kontroll av narkotika och narkotikamissbruk</w:t>
      </w:r>
      <w:r w:rsidRPr="00A4754F">
        <w:rPr>
          <w:rStyle w:val="FootnoteReference"/>
        </w:rPr>
        <w:footnoteReference w:id="4"/>
      </w:r>
      <w:r w:rsidRPr="00A4754F">
        <w:t>, särskilt artikel 15,</w:t>
      </w:r>
    </w:p>
    <w:p w:rsidR="002F366A" w:rsidRPr="00A4754F" w:rsidRDefault="002F366A" w:rsidP="002F366A">
      <w:pPr>
        <w:pStyle w:val="NormalHanging12a"/>
      </w:pPr>
      <w:r w:rsidRPr="00A4754F">
        <w:t>–</w:t>
      </w:r>
      <w:r w:rsidRPr="00A4754F">
        <w:tab/>
        <w:t>med beaktande av Europaparlamentets och rådets förordning (EU) 2023/1322 av den 27 juni 2023 om Europeiska unionens narkotikamyndighet (EUDA) och om upphävande av förordning (EG) nr 1920/2006</w:t>
      </w:r>
      <w:r w:rsidRPr="00A4754F">
        <w:rPr>
          <w:rStyle w:val="FootnoteReference"/>
        </w:rPr>
        <w:footnoteReference w:id="5"/>
      </w:r>
      <w:r w:rsidRPr="00A4754F">
        <w:t>, särskilt artikel 41,</w:t>
      </w:r>
    </w:p>
    <w:p w:rsidR="002F366A" w:rsidRPr="00A4754F" w:rsidRDefault="002F366A" w:rsidP="002F366A">
      <w:pPr>
        <w:pStyle w:val="NormalHanging12a"/>
        <w:keepNext/>
        <w:keepLines/>
        <w:widowControl/>
      </w:pPr>
      <w:r w:rsidRPr="00A4754F">
        <w:t>–</w:t>
      </w:r>
      <w:r w:rsidRPr="00A4754F">
        <w:tab/>
        <w:t>med beaktande av kommissionens delegerade förordning (EU) 2019/715 av den 18 december 2018 med rambudgetförordning för de organ som inrättats enligt EUF</w:t>
      </w:r>
      <w:r w:rsidRPr="00A4754F">
        <w:noBreakHyphen/>
        <w:t>fördraget och Euratomfördraget och som avses i artikel 70 i Europaparlamentets och rådets förordning (EU, Euratom) 2018/1046</w:t>
      </w:r>
      <w:r w:rsidRPr="00A4754F">
        <w:rPr>
          <w:rStyle w:val="FootnoteReference"/>
        </w:rPr>
        <w:footnoteReference w:id="6"/>
      </w:r>
      <w:r w:rsidRPr="00A4754F">
        <w:t>, särskilt artikel 105,</w:t>
      </w:r>
    </w:p>
    <w:p w:rsidR="002F366A" w:rsidRPr="00A4754F" w:rsidRDefault="002F366A" w:rsidP="002F366A">
      <w:pPr>
        <w:pStyle w:val="NormalHanging12a"/>
      </w:pPr>
      <w:r w:rsidRPr="00A4754F">
        <w:t>–</w:t>
      </w:r>
      <w:r w:rsidRPr="00A4754F">
        <w:tab/>
        <w:t>med beaktande av artikel 100 och bilaga V i arbetsordningen,</w:t>
      </w:r>
    </w:p>
    <w:p w:rsidR="002F366A" w:rsidRPr="00A4754F" w:rsidRDefault="002F366A" w:rsidP="002F366A">
      <w:pPr>
        <w:pStyle w:val="NormalHanging12a"/>
      </w:pPr>
      <w:r w:rsidRPr="00A4754F">
        <w:t>–</w:t>
      </w:r>
      <w:r w:rsidRPr="00A4754F">
        <w:tab/>
        <w:t>med beaktande av yttrandet från utskottet för medborgerliga fri- och rättigheter samt rättsliga och inrikes frågor,</w:t>
      </w:r>
    </w:p>
    <w:p w:rsidR="002F366A" w:rsidRPr="00A4754F" w:rsidRDefault="002F366A" w:rsidP="002F366A">
      <w:pPr>
        <w:pStyle w:val="NormalHanging12a"/>
      </w:pPr>
      <w:r w:rsidRPr="00A4754F">
        <w:t>–</w:t>
      </w:r>
      <w:r w:rsidRPr="00A4754F">
        <w:tab/>
        <w:t>med beaktande av betänkandet från budgetkontrollutskottet (A9-0104/2024).</w:t>
      </w:r>
    </w:p>
    <w:p w:rsidR="002F366A" w:rsidRPr="00A4754F" w:rsidRDefault="002F366A" w:rsidP="002F366A">
      <w:pPr>
        <w:pStyle w:val="NormalHanging12a"/>
      </w:pPr>
      <w:r w:rsidRPr="00A4754F">
        <w:t>1.</w:t>
      </w:r>
      <w:r w:rsidRPr="00A4754F">
        <w:tab/>
        <w:t>Europaparlamentet beviljar direktören för Europeiska centrumet för kontroll av narkotika och narkotikamissbruk ansvarsfrihet för genomförandet av centrumets budget för budgetåret 2022.</w:t>
      </w:r>
    </w:p>
    <w:p w:rsidR="002F366A" w:rsidRPr="00A4754F" w:rsidRDefault="002F366A" w:rsidP="002F366A">
      <w:pPr>
        <w:pStyle w:val="NormalHanging12a"/>
      </w:pPr>
      <w:r w:rsidRPr="00A4754F">
        <w:t>2.</w:t>
      </w:r>
      <w:r w:rsidRPr="00A4754F">
        <w:tab/>
        <w:t>Europaparlamentet redovisar sina iakttagelser i resolutionen nedan.</w:t>
      </w:r>
    </w:p>
    <w:p w:rsidR="002F366A" w:rsidRPr="00A4754F" w:rsidRDefault="002F366A" w:rsidP="002F366A">
      <w:pPr>
        <w:pStyle w:val="NormalHanging12a"/>
      </w:pPr>
      <w:r w:rsidRPr="00A4754F">
        <w:t>3.</w:t>
      </w:r>
      <w:r w:rsidRPr="00A4754F">
        <w:tab/>
        <w:t xml:space="preserve">Europaparlamentet uppdrar åt talmannen att översända detta beslut och den resolution som utgör en del av beslutet till direktören för Europeiska centrumet för kontroll av narkotika och narkotikamissbruk, rådet, kommissionen och revisionsrätten samt att se till att de offentliggörs i </w:t>
      </w:r>
      <w:r w:rsidRPr="00A4754F">
        <w:rPr>
          <w:i/>
          <w:iCs/>
        </w:rPr>
        <w:t>Europeiska unionens officiella tidning</w:t>
      </w:r>
      <w:r w:rsidRPr="00A4754F">
        <w:t xml:space="preserve"> (L-serien).</w:t>
      </w:r>
    </w:p>
    <w:p w:rsidR="002F366A" w:rsidRPr="00A4754F" w:rsidRDefault="002F366A" w:rsidP="002F366A"/>
    <w:p w:rsidR="002F366A" w:rsidRPr="00A4754F" w:rsidRDefault="002F366A" w:rsidP="002F366A">
      <w:pPr>
        <w:widowControl/>
        <w:rPr>
          <w:rFonts w:ascii="Arial" w:hAnsi="Arial" w:cs="Arial"/>
          <w:b/>
        </w:rPr>
        <w:sectPr w:rsidR="002F366A" w:rsidRPr="00A4754F" w:rsidSect="00EA29F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F366A" w:rsidRPr="00A4754F" w:rsidRDefault="00C07B59" w:rsidP="00C07B59">
      <w:pPr>
        <w:pStyle w:val="ATHeading3"/>
      </w:pPr>
      <w:r w:rsidRPr="00A4754F">
        <w:lastRenderedPageBreak/>
        <w:t xml:space="preserve">2. Europaparlamentets beslut av den 11 april 2024 </w:t>
      </w:r>
      <w:r w:rsidR="002F366A" w:rsidRPr="00A4754F">
        <w:t>om avslutande av räkenskaperna för Europeiska centrumet för kontroll av narkotika och narkotikamissbruk för budgetåret 2022</w:t>
      </w:r>
      <w:r w:rsidRPr="00A4754F">
        <w:t xml:space="preserve"> </w:t>
      </w:r>
      <w:r w:rsidR="002F366A" w:rsidRPr="00A4754F">
        <w:t>(2023/2157(DEC))</w:t>
      </w:r>
    </w:p>
    <w:p w:rsidR="002F366A" w:rsidRPr="00A4754F" w:rsidRDefault="002F366A" w:rsidP="002F366A">
      <w:pPr>
        <w:pStyle w:val="EPComma"/>
      </w:pPr>
      <w:r w:rsidRPr="00A4754F">
        <w:rPr>
          <w:i/>
        </w:rPr>
        <w:t>Europaparlamentet fattar detta beslut</w:t>
      </w:r>
    </w:p>
    <w:p w:rsidR="002F366A" w:rsidRPr="00A4754F" w:rsidRDefault="002F366A" w:rsidP="002F366A">
      <w:pPr>
        <w:pStyle w:val="NormalHanging12a"/>
      </w:pPr>
      <w:r w:rsidRPr="00A4754F">
        <w:t>–</w:t>
      </w:r>
      <w:r w:rsidRPr="00A4754F">
        <w:tab/>
        <w:t>med beaktande av den slutliga årsredovisningen för Europeiska centrumet för kontroll av narkotika och narkotikamissbruk för budgetåret 2022,</w:t>
      </w:r>
    </w:p>
    <w:p w:rsidR="002F366A" w:rsidRPr="00A4754F" w:rsidRDefault="002F366A" w:rsidP="002F366A">
      <w:pPr>
        <w:pStyle w:val="NormalHanging12a"/>
      </w:pPr>
      <w:r w:rsidRPr="00A4754F">
        <w:t>–</w:t>
      </w:r>
      <w:r w:rsidRPr="00A4754F">
        <w:tab/>
        <w:t>med beaktande av revisionsrättens årsrapport om EU:s byråer för budgetåret 2022, med byråernas svar,</w:t>
      </w:r>
      <w:r w:rsidRPr="00A4754F">
        <w:rPr>
          <w:rStyle w:val="FootnoteReference"/>
        </w:rPr>
        <w:footnoteReference w:id="7"/>
      </w:r>
    </w:p>
    <w:p w:rsidR="002F366A" w:rsidRPr="00A4754F" w:rsidRDefault="002F366A" w:rsidP="002F366A">
      <w:pPr>
        <w:pStyle w:val="NormalHanging12a"/>
      </w:pPr>
      <w:r w:rsidRPr="00A4754F">
        <w:t>–</w:t>
      </w:r>
      <w:r w:rsidRPr="00A4754F">
        <w:tab/>
        <w:t>med beaktande av revisionsförklaringen om räkenskapernas tillförlitlighet och de underliggande transaktionernas laglighet och korrekthet</w:t>
      </w:r>
      <w:r w:rsidRPr="00A4754F">
        <w:rPr>
          <w:rStyle w:val="FootnoteReference"/>
        </w:rPr>
        <w:footnoteReference w:id="8"/>
      </w:r>
      <w:r w:rsidRPr="00A4754F">
        <w:t>, som avgetts av revisionsrätten för budgetåret 2022 i enlighet med artikel 287 i fördraget om Europeiska unionens funktionssätt,</w:t>
      </w:r>
    </w:p>
    <w:p w:rsidR="002F366A" w:rsidRPr="00A4754F" w:rsidRDefault="002F366A" w:rsidP="002F366A">
      <w:pPr>
        <w:pStyle w:val="NormalHanging12a"/>
      </w:pPr>
      <w:r w:rsidRPr="00A4754F">
        <w:t>–</w:t>
      </w:r>
      <w:r w:rsidRPr="00A4754F">
        <w:tab/>
        <w:t>med beaktande av rådets rekommendation av den 22 februari 2024 om att bevilja centrumet ansvarsfrihet för genomförandet av budgeten för budgetåret 2022 (</w:t>
      </w:r>
      <w:r w:rsidR="00AE59ED" w:rsidRPr="00A4754F">
        <w:t>06180</w:t>
      </w:r>
      <w:r w:rsidRPr="00A4754F">
        <w:t>/2024 – C9</w:t>
      </w:r>
      <w:r w:rsidRPr="00A4754F">
        <w:noBreakHyphen/>
        <w:t>00</w:t>
      </w:r>
      <w:r w:rsidR="00AE59ED" w:rsidRPr="00A4754F">
        <w:t>95</w:t>
      </w:r>
      <w:r w:rsidRPr="00A4754F">
        <w:t>/2024),</w:t>
      </w:r>
    </w:p>
    <w:p w:rsidR="002F366A" w:rsidRPr="00A4754F" w:rsidRDefault="002F366A" w:rsidP="002F366A">
      <w:pPr>
        <w:pStyle w:val="NormalHanging12a"/>
      </w:pPr>
      <w:r w:rsidRPr="00A4754F">
        <w:t>–</w:t>
      </w:r>
      <w:r w:rsidRPr="00A4754F">
        <w:tab/>
        <w:t>med beaktande av artikel 319 i fördraget om Europeiska unionens funktionssätt,</w:t>
      </w:r>
    </w:p>
    <w:p w:rsidR="002F366A" w:rsidRPr="00A4754F" w:rsidRDefault="002F366A" w:rsidP="002F366A">
      <w:pPr>
        <w:pStyle w:val="NormalHanging12a"/>
      </w:pPr>
      <w:r w:rsidRPr="00A4754F">
        <w:t>–</w:t>
      </w:r>
      <w:r w:rsidRPr="00A4754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A4754F">
        <w:rPr>
          <w:rStyle w:val="FootnoteReference"/>
        </w:rPr>
        <w:footnoteReference w:id="9"/>
      </w:r>
      <w:r w:rsidRPr="00A4754F">
        <w:t>, särskilt artikel 70,</w:t>
      </w:r>
    </w:p>
    <w:p w:rsidR="002F366A" w:rsidRPr="00A4754F" w:rsidRDefault="002F366A" w:rsidP="002F366A">
      <w:pPr>
        <w:pStyle w:val="NormalHanging12a"/>
      </w:pPr>
      <w:r w:rsidRPr="00A4754F">
        <w:t>–</w:t>
      </w:r>
      <w:r w:rsidRPr="00A4754F">
        <w:tab/>
        <w:t>med beaktande av Europaparlamentets och rådets förordning (EG) nr 1920/2006 av den 12 december 2006 om Europeiska centrumet för kontroll av narkotika och narkotikamissbruk</w:t>
      </w:r>
      <w:r w:rsidRPr="00A4754F">
        <w:rPr>
          <w:rStyle w:val="FootnoteReference"/>
        </w:rPr>
        <w:footnoteReference w:id="10"/>
      </w:r>
      <w:r w:rsidRPr="00A4754F">
        <w:t>, särskilt artikel 15,</w:t>
      </w:r>
    </w:p>
    <w:p w:rsidR="002F366A" w:rsidRPr="00A4754F" w:rsidRDefault="002F366A" w:rsidP="002F366A">
      <w:pPr>
        <w:pStyle w:val="NormalHanging12a"/>
      </w:pPr>
      <w:r w:rsidRPr="00A4754F">
        <w:t>–</w:t>
      </w:r>
      <w:r w:rsidRPr="00A4754F">
        <w:tab/>
        <w:t>med beaktande av Europaparlamentets och rådets förordning (EU) 2023/1322 av den 27 juni 2023 om Europeiska unionens narkotikamyndighet (EUDA) och om upphävande av förordning (EG) nr 1920/2006</w:t>
      </w:r>
      <w:r w:rsidRPr="00A4754F">
        <w:rPr>
          <w:rStyle w:val="FootnoteReference"/>
        </w:rPr>
        <w:footnoteReference w:id="11"/>
      </w:r>
      <w:r w:rsidRPr="00A4754F">
        <w:t>, särskilt artikel 41,</w:t>
      </w:r>
    </w:p>
    <w:p w:rsidR="002F366A" w:rsidRPr="00A4754F" w:rsidRDefault="002F366A" w:rsidP="0021646F">
      <w:pPr>
        <w:pStyle w:val="NormalHanging12a"/>
        <w:widowControl/>
      </w:pPr>
      <w:r w:rsidRPr="00A4754F">
        <w:t>–</w:t>
      </w:r>
      <w:r w:rsidRPr="00A4754F">
        <w:tab/>
        <w:t>med beaktande av kommissionens delegerade förordning (EU) 2019/715 av den 18 december 2018 med rambudgetförordning för de organ som inrättats enligt EUF</w:t>
      </w:r>
      <w:r w:rsidRPr="00A4754F">
        <w:noBreakHyphen/>
        <w:t>fördraget och Euratomfördraget och som avses i artikel 70 i Europaparlamentets och rådets förordning (EU, Euratom) 2018/1046</w:t>
      </w:r>
      <w:r w:rsidRPr="00A4754F">
        <w:rPr>
          <w:rStyle w:val="FootnoteReference"/>
        </w:rPr>
        <w:footnoteReference w:id="12"/>
      </w:r>
      <w:r w:rsidRPr="00A4754F">
        <w:t>, särskilt artikel 105,</w:t>
      </w:r>
    </w:p>
    <w:p w:rsidR="002F366A" w:rsidRPr="00A4754F" w:rsidRDefault="002F366A" w:rsidP="002F366A">
      <w:pPr>
        <w:pStyle w:val="NormalHanging12a"/>
      </w:pPr>
      <w:r w:rsidRPr="00A4754F">
        <w:lastRenderedPageBreak/>
        <w:t>–</w:t>
      </w:r>
      <w:r w:rsidRPr="00A4754F">
        <w:tab/>
        <w:t>med beaktande av artikel 100 och bilaga V i arbetsordningen,</w:t>
      </w:r>
    </w:p>
    <w:p w:rsidR="002F366A" w:rsidRPr="00A4754F" w:rsidRDefault="002F366A" w:rsidP="002F366A">
      <w:pPr>
        <w:pStyle w:val="NormalHanging12a"/>
      </w:pPr>
      <w:r w:rsidRPr="00A4754F">
        <w:t>–</w:t>
      </w:r>
      <w:r w:rsidRPr="00A4754F">
        <w:tab/>
        <w:t>med beaktande av yttrandet från utskottet för medborgerliga fri- och rättigheter samt rättsliga och inrikes frågor,</w:t>
      </w:r>
    </w:p>
    <w:p w:rsidR="002F366A" w:rsidRPr="00A4754F" w:rsidRDefault="002F366A" w:rsidP="002F366A">
      <w:pPr>
        <w:pStyle w:val="NormalHanging12a"/>
      </w:pPr>
      <w:r w:rsidRPr="00A4754F">
        <w:t>–</w:t>
      </w:r>
      <w:r w:rsidRPr="00A4754F">
        <w:tab/>
        <w:t>med beaktande av betänkandet från budgetkontrollutskottet (A9-0104/2024).</w:t>
      </w:r>
    </w:p>
    <w:p w:rsidR="002F366A" w:rsidRPr="00A4754F" w:rsidRDefault="002F366A" w:rsidP="002F366A">
      <w:pPr>
        <w:pStyle w:val="NormalHanging12a"/>
      </w:pPr>
      <w:r w:rsidRPr="00A4754F">
        <w:t>1.</w:t>
      </w:r>
      <w:r w:rsidRPr="00A4754F">
        <w:tab/>
        <w:t>Europaparlamentet godkänner avslutandet av räkenskaperna för Europeiska centrumet för kontroll av narkotika och narkotikamissbruk för budgetåret 2022.</w:t>
      </w:r>
    </w:p>
    <w:p w:rsidR="002F366A" w:rsidRPr="00A4754F" w:rsidRDefault="002F366A" w:rsidP="002F366A">
      <w:pPr>
        <w:pStyle w:val="NormalHanging12a"/>
      </w:pPr>
      <w:r w:rsidRPr="00A4754F">
        <w:t>2.</w:t>
      </w:r>
      <w:r w:rsidRPr="00A4754F">
        <w:tab/>
        <w:t>Europaparlamentet uppdrar åt talmannen att översända detta beslut till direktören för Europeiska centrumet för kontroll av narkotika och narkotikamissbruk, rådet, kommissionen och revisionsrätten samt att se till att det offentliggörs i </w:t>
      </w:r>
      <w:r w:rsidRPr="00A4754F">
        <w:rPr>
          <w:i/>
          <w:iCs/>
        </w:rPr>
        <w:t>Europeiska unionens officiella tidning</w:t>
      </w:r>
      <w:r w:rsidRPr="00A4754F">
        <w:t xml:space="preserve"> (L-serien).</w:t>
      </w:r>
    </w:p>
    <w:p w:rsidR="002F366A" w:rsidRPr="00A4754F" w:rsidRDefault="002F366A" w:rsidP="002F366A"/>
    <w:p w:rsidR="002F366A" w:rsidRPr="00A4754F" w:rsidRDefault="002F366A" w:rsidP="002F366A">
      <w:pPr>
        <w:widowControl/>
        <w:rPr>
          <w:rFonts w:ascii="Arial" w:hAnsi="Arial" w:cs="Arial"/>
          <w:b/>
        </w:rPr>
        <w:sectPr w:rsidR="002F366A" w:rsidRPr="00A4754F" w:rsidSect="00EA29F5">
          <w:footnotePr>
            <w:numRestart w:val="eachPage"/>
          </w:footnotePr>
          <w:endnotePr>
            <w:numFmt w:val="decimal"/>
          </w:endnotePr>
          <w:pgSz w:w="11906" w:h="16838"/>
          <w:pgMar w:top="1134" w:right="1418" w:bottom="1418" w:left="1418" w:header="567" w:footer="567" w:gutter="0"/>
          <w:cols w:space="720"/>
          <w:docGrid w:linePitch="326"/>
        </w:sectPr>
      </w:pPr>
    </w:p>
    <w:p w:rsidR="002F366A" w:rsidRPr="00A4754F" w:rsidRDefault="00C07B59" w:rsidP="00C07B59">
      <w:pPr>
        <w:pStyle w:val="ATHeading3"/>
      </w:pPr>
      <w:r w:rsidRPr="00A4754F">
        <w:lastRenderedPageBreak/>
        <w:t xml:space="preserve">3. Europaparlamentets resolution av den 11 april 2024 </w:t>
      </w:r>
      <w:r w:rsidR="002F366A" w:rsidRPr="00A4754F">
        <w:t>med de iakttagelser som utgör en del av beslutet om ansvarsfrihet för genomförandet av budgeten för Europeiska centrumet för kontroll av narkotika och narkotikamissbruk för budgetåret 2022</w:t>
      </w:r>
      <w:r w:rsidRPr="00A4754F">
        <w:t xml:space="preserve"> </w:t>
      </w:r>
      <w:r w:rsidR="002F366A" w:rsidRPr="00A4754F">
        <w:t>(2023/2157(DEC))</w:t>
      </w:r>
    </w:p>
    <w:p w:rsidR="002F366A" w:rsidRPr="00A4754F" w:rsidRDefault="002F366A" w:rsidP="002F366A">
      <w:pPr>
        <w:pStyle w:val="EPComma"/>
      </w:pPr>
      <w:r w:rsidRPr="00A4754F">
        <w:rPr>
          <w:i/>
        </w:rPr>
        <w:t>Europaparlamentet utfärdar denna resolution</w:t>
      </w:r>
    </w:p>
    <w:p w:rsidR="002F366A" w:rsidRPr="00A4754F" w:rsidRDefault="002F366A" w:rsidP="002F366A">
      <w:pPr>
        <w:pStyle w:val="NormalHanging12a"/>
      </w:pPr>
      <w:r w:rsidRPr="00A4754F">
        <w:t>–</w:t>
      </w:r>
      <w:r w:rsidRPr="00A4754F">
        <w:tab/>
        <w:t>med beaktande av sitt beslut om ansvarsfrihet för genomförandet av budgeten för Europeiska centrumet för kontroll av narkotika och narkotikamissbruk för budgetåret 2022,</w:t>
      </w:r>
    </w:p>
    <w:p w:rsidR="002F366A" w:rsidRPr="00A4754F" w:rsidRDefault="002F366A" w:rsidP="002F366A">
      <w:pPr>
        <w:pStyle w:val="NormalHanging12a"/>
      </w:pPr>
      <w:r w:rsidRPr="00A4754F">
        <w:t>–</w:t>
      </w:r>
      <w:r w:rsidRPr="00A4754F">
        <w:tab/>
        <w:t>med beaktande av artikel 100 och bilaga V i arbetsordningen,</w:t>
      </w:r>
    </w:p>
    <w:p w:rsidR="002F366A" w:rsidRPr="00A4754F" w:rsidRDefault="002F366A" w:rsidP="002F366A">
      <w:pPr>
        <w:pStyle w:val="NormalHanging12a"/>
      </w:pPr>
      <w:r w:rsidRPr="00A4754F">
        <w:t>–</w:t>
      </w:r>
      <w:r w:rsidRPr="00A4754F">
        <w:tab/>
        <w:t>med beaktande av yttrandet från utskottet för medborgerliga fri- och rättigheter samt rättsliga och inrikes frågor,</w:t>
      </w:r>
    </w:p>
    <w:p w:rsidR="002F366A" w:rsidRPr="00A4754F" w:rsidRDefault="002F366A" w:rsidP="002F366A">
      <w:pPr>
        <w:pStyle w:val="NormalHanging12a"/>
      </w:pPr>
      <w:r w:rsidRPr="00A4754F">
        <w:t>–</w:t>
      </w:r>
      <w:r w:rsidRPr="00A4754F">
        <w:tab/>
        <w:t>med beaktande av betänkandet från budgetkontrollutskottet (A9-0104/2024), och av följande skäl:</w:t>
      </w:r>
    </w:p>
    <w:p w:rsidR="002F366A" w:rsidRPr="00A4754F" w:rsidRDefault="002F366A" w:rsidP="002F366A">
      <w:pPr>
        <w:pStyle w:val="Normal12Hanging"/>
        <w:rPr>
          <w:szCs w:val="24"/>
        </w:rPr>
      </w:pPr>
      <w:r w:rsidRPr="00A4754F">
        <w:t>A.</w:t>
      </w:r>
      <w:r w:rsidRPr="00A4754F">
        <w:tab/>
        <w:t>Enligt inkomst- och utgiftsberäkningen för Europeiska centrumet för kontroll av narkotika och narkotikamissbruk</w:t>
      </w:r>
      <w:r w:rsidRPr="00A4754F">
        <w:rPr>
          <w:rStyle w:val="FootnoteReference"/>
          <w:szCs w:val="24"/>
        </w:rPr>
        <w:footnoteReference w:id="13"/>
      </w:r>
      <w:r w:rsidRPr="00A4754F">
        <w:t xml:space="preserve"> (</w:t>
      </w:r>
      <w:r w:rsidRPr="00A4754F">
        <w:rPr>
          <w:i/>
          <w:iCs/>
        </w:rPr>
        <w:t>centrumet</w:t>
      </w:r>
      <w:r w:rsidRPr="00A4754F">
        <w:t>) för budgetåret 2022 uppgick den slutliga budgeten till 18 893 136 EUR, vilket utgör en ökning med 0,71 % jämfört med 2021. Centrumets budget kommer i huvudsak (94 %) från unionsbudgeten.</w:t>
      </w:r>
    </w:p>
    <w:p w:rsidR="002F366A" w:rsidRPr="00A4754F" w:rsidRDefault="002F366A" w:rsidP="002F366A">
      <w:pPr>
        <w:pStyle w:val="Normal12Hanging"/>
        <w:rPr>
          <w:szCs w:val="24"/>
        </w:rPr>
      </w:pPr>
      <w:r w:rsidRPr="00A4754F">
        <w:t>B.</w:t>
      </w:r>
      <w:r w:rsidRPr="00A4754F">
        <w:tab/>
        <w:t>Revisionsrätten har i sin rapport om centrumets årsredovisning för budgetåret 2022 förklarat att man har uppnått en rimlig säkerhet om att centrumets räkenskaper är tillförlitliga och att de underliggande transaktionerna är lagliga och korrekta.</w:t>
      </w:r>
    </w:p>
    <w:p w:rsidR="002F366A" w:rsidRPr="00A4754F" w:rsidRDefault="002F366A" w:rsidP="002F366A">
      <w:pPr>
        <w:pStyle w:val="Normal12Hanging"/>
        <w:rPr>
          <w:b/>
          <w:i/>
          <w:szCs w:val="24"/>
        </w:rPr>
      </w:pPr>
      <w:r w:rsidRPr="00A4754F">
        <w:rPr>
          <w:b/>
          <w:i/>
        </w:rPr>
        <w:t>Budgetförvaltning och ekonomisk förvaltning</w:t>
      </w:r>
    </w:p>
    <w:p w:rsidR="002F366A" w:rsidRPr="00A4754F" w:rsidRDefault="002F366A" w:rsidP="002F366A">
      <w:pPr>
        <w:pStyle w:val="NormalHanging12a"/>
        <w:rPr>
          <w:szCs w:val="24"/>
        </w:rPr>
      </w:pPr>
      <w:r w:rsidRPr="00A4754F">
        <w:t>1.</w:t>
      </w:r>
      <w:r w:rsidRPr="00A4754F">
        <w:tab/>
        <w:t>Europaparlamentet noterar med tillfredsställelse att insatserna för uppföljning av budgeten under budgetåret 2022 resulterade i ett budgetgenomförande på 98,78 % (en minskning med 1,22 % jämfört med 2021). Parlamentet noterar att genomförandegraden för betalningsbemyndigandena var 96,65 %, vilket är en liten ökning med 0,30 % jämfört med 2021. Parlamentet noterar vidare att genomförandegraden för betalningsbemyndiganden som fördes över från 2021 till 2022 var 88,98 %.</w:t>
      </w:r>
    </w:p>
    <w:p w:rsidR="002F366A" w:rsidRPr="00A4754F" w:rsidRDefault="002F366A" w:rsidP="0021646F">
      <w:pPr>
        <w:pStyle w:val="NormalHanging12a"/>
        <w:widowControl/>
      </w:pPr>
      <w:r w:rsidRPr="00A4754F">
        <w:t>2.</w:t>
      </w:r>
      <w:r w:rsidRPr="00A4754F">
        <w:tab/>
        <w:t xml:space="preserve">Europaparlamentet noterar från revisionsrättens rapport att centrumet, även om det betalade ränta för endast en sen betalning, hade ett betydande antal betalningar som felaktigt flaggades som sena (107 av 1 595) av centrumets ekonomi- och redovisningsförvaltning (periodiserad redovisning (ABAC)) på grund av antingen felaktiga parametriseringar eller felaktig inmatning av uppgifter, eller bådadera, om förfallodagen för betalningen eller mottagandet av de dokument som medför en betalningsskyldighet. Parlamentet noterar utifrån centrumets svar att den inkonsekventa flaggningen av sena betalningar inte påverkade de berörda transaktionernas korrekthet. Parlamentet noterar vidare att centrumet har vidtagit vissa åtgärder för att minimera den angivna risken för felaktigt positiva resultat och för att </w:t>
      </w:r>
      <w:r w:rsidRPr="00A4754F">
        <w:lastRenderedPageBreak/>
        <w:t>ytterligare säkerställa att dess system för ekonomi-och redovisningsförvaltning kan ge en tydlig och korrekt bild av de faktiska sena betalningarna. Parlamentet uppmanar centrumet att fortsätta att övervaka detta och minska eventuella framtida anseenderisker i samband med detta.</w:t>
      </w:r>
    </w:p>
    <w:p w:rsidR="002F366A" w:rsidRPr="00A4754F" w:rsidRDefault="002F366A" w:rsidP="002F366A">
      <w:pPr>
        <w:pStyle w:val="Normal12Hanging"/>
        <w:ind w:left="0" w:firstLine="0"/>
        <w:rPr>
          <w:b/>
          <w:i/>
          <w:szCs w:val="24"/>
        </w:rPr>
      </w:pPr>
      <w:r w:rsidRPr="00A4754F">
        <w:rPr>
          <w:b/>
          <w:i/>
        </w:rPr>
        <w:t>Prestation</w:t>
      </w:r>
    </w:p>
    <w:p w:rsidR="002F366A" w:rsidRPr="00A4754F" w:rsidRDefault="002F366A" w:rsidP="002F366A">
      <w:pPr>
        <w:pStyle w:val="NormalHanging12a"/>
        <w:rPr>
          <w:szCs w:val="24"/>
        </w:rPr>
      </w:pPr>
      <w:r w:rsidRPr="00A4754F">
        <w:t>3.</w:t>
      </w:r>
      <w:r w:rsidRPr="00A4754F">
        <w:tab/>
        <w:t>Europaparlamentet noterar att centrumets nya modell för prestationsmätning identifierar ett begränsat antal (10) sammansatta nyckelprestationsindikatorer, som används för att mäta effektiviteten när det gäller uppnåendet av önskade resultat och användningen av avsatta resurser, och som kompletteras med nyckelprestationsindikatorer på högre nivå som är inriktade på utfall och effekter. Parlamentet noterar att för bedömningen av nyckerprestationsindikatorerna fastställde centrumet 65 årliga mål, varav 57 mål (87 %) uppnåddes 2022.</w:t>
      </w:r>
    </w:p>
    <w:p w:rsidR="002F366A" w:rsidRPr="00A4754F" w:rsidRDefault="002F366A" w:rsidP="002F366A">
      <w:pPr>
        <w:pStyle w:val="NormalHanging12a"/>
        <w:rPr>
          <w:szCs w:val="24"/>
        </w:rPr>
      </w:pPr>
      <w:r w:rsidRPr="00A4754F">
        <w:t>4.</w:t>
      </w:r>
      <w:r w:rsidRPr="00A4754F">
        <w:tab/>
        <w:t>Europaparlamentet konstaterar att centrumet för arbetsprogrammet 2022 uppnådde 152 av 188 resultat (81 %), delvis uppnådde 12 % av dem (dvs. 23 resultat som försenades och pågick i slutet av 2022), medan 12 resultat (6 %) inte genomfördes och två resultat inte var tillämpliga. Parlamentet noterar centrumets åsikt att de flesta förseningar eller inställda verksamheter under 2022 orsakades av resursbrist. Parlamentet noterar vidare att centrumet för genomförandet av sitt nya mandat (som förväntas gälla från och med 2024) inledde förberedelserna 2022, som omfattade viktiga resurser och krävde vissa anpassningar av viss tidigare planerad verksamhet.</w:t>
      </w:r>
    </w:p>
    <w:p w:rsidR="002F366A" w:rsidRPr="00A4754F" w:rsidRDefault="002F366A" w:rsidP="002F366A">
      <w:pPr>
        <w:pStyle w:val="NormalHanging12a"/>
        <w:rPr>
          <w:szCs w:val="24"/>
        </w:rPr>
      </w:pPr>
      <w:r w:rsidRPr="00A4754F">
        <w:t>5.</w:t>
      </w:r>
      <w:r w:rsidRPr="00A4754F">
        <w:tab/>
        <w:t>Europaparlamentet erkänner de insatser och framsteg som centrumet gjort på sina tre arbetsområden (hälso- och sjukvård, säkerhet och affärsdrivande faktorer). Parlamentet noterar särskilt lanseringen 2022 av den nya europeiska narkotikarapporten, som ger den senaste översikten över narkotikasituationen i Europa fram till 2022, lanseringen av e-lärandeplattformen PLATO som innehåller den europeiska kursplanen för prevention, som är utformad för att utbilda yrkesverksamma som deltar i utformningen av beslut, åsikter och policyer för prevention i Europa, lanseringen av sju miniguider som täcker insatser mot droger i fritidsmiljöer, lokalsamhällen, skolor och fängelser, samt tillgodoser behoven hos familjer och hemlösa, och publiceringen av tre spotlight-initiativ om konsumtionsrum för droger, drogkontroller och e</w:t>
      </w:r>
      <w:r w:rsidRPr="00A4754F">
        <w:noBreakHyphen/>
        <w:t>hälsoinsatser.</w:t>
      </w:r>
    </w:p>
    <w:p w:rsidR="002F366A" w:rsidRPr="00A4754F" w:rsidRDefault="002F366A" w:rsidP="0021646F">
      <w:pPr>
        <w:pStyle w:val="NormalHanging12a"/>
        <w:widowControl/>
      </w:pPr>
      <w:r w:rsidRPr="00A4754F">
        <w:t>6.</w:t>
      </w:r>
      <w:r w:rsidRPr="00A4754F">
        <w:tab/>
        <w:t>Europaparlamentet noterar med tillfredsställelse att centrumet år 2022 offentliggjorde en ny snabb trendstudie med blandade metoder för att bedöma de inledande insatserna för att tillgodose behoven hos fördrivna ukrainare i grannländer inom unionen. Parlamentet lovordar centrumet för samarbetet med Europol om utarbetandet av den fjärde upplagan av EU Drug Markets: In-Depth analysis, vars resultat presenteras i en rad moduler som var och en fokuserar på marknaden för en viss typ av narkotika och omfattar trender längs leveranskedjan från produktion och handel till distribution och användning. Parlamentet lovordar i detta sammanhang lanseringen 2022 av de två första modulerna om kokain och metamfetamin.</w:t>
      </w:r>
    </w:p>
    <w:p w:rsidR="002F366A" w:rsidRPr="00A4754F" w:rsidRDefault="002F366A" w:rsidP="002F366A">
      <w:pPr>
        <w:pStyle w:val="NormalHanging12a"/>
        <w:rPr>
          <w:szCs w:val="24"/>
        </w:rPr>
      </w:pPr>
      <w:r w:rsidRPr="00A4754F">
        <w:t>7.</w:t>
      </w:r>
      <w:r w:rsidRPr="00A4754F">
        <w:tab/>
        <w:t xml:space="preserve">Europaparlamentet noterar att centrumet under 2022 fortsatte att genomföra Europeiska unionens system för tidig varning i samarbete med sina partner. Parlamentet noterar i samma sammanhang att systemet för tidig varning formellt underrättades om 41 nya psykoaktiva substanser 2022. Parlamentet noterar vidare att två nya psykoaktiva substanser som hade riskbedömts av centrumet 2021 </w:t>
      </w:r>
      <w:r w:rsidRPr="00A4754F">
        <w:lastRenderedPageBreak/>
        <w:t>(3</w:t>
      </w:r>
      <w:r w:rsidRPr="00A4754F">
        <w:noBreakHyphen/>
        <w:t>klormetkatinon (3-CMC) och 3-metylmetakatinon (3-MMC)) inkluderades i definitionen av narkotika genom kommissionens delegerade direktiv 2022.</w:t>
      </w:r>
    </w:p>
    <w:p w:rsidR="002F366A" w:rsidRPr="00A4754F" w:rsidRDefault="002F366A" w:rsidP="002F366A">
      <w:pPr>
        <w:pStyle w:val="NormalHanging12a"/>
        <w:rPr>
          <w:szCs w:val="24"/>
        </w:rPr>
      </w:pPr>
      <w:r w:rsidRPr="00A4754F">
        <w:t>8.</w:t>
      </w:r>
      <w:r w:rsidRPr="00A4754F">
        <w:tab/>
        <w:t>Europaparlamentet välkomnar centrumets deltagande i narkotikarelaterade utbildningsarrangemang och kapacitetsuppbyggnad, där man lyckades överföra sina kunskaper till nästan 950 yrkesverksamma på narkotikaområdet, inklusive tjänstemän inom brottsbekämpning och beslutsfattare. Parlamentet noterar dessutom att omkring 1 200 yrkesverksamma inom narkotikaområdet över hela världen deltog i de sju webbseminarier som anordnades av centrumet 2022. Parlamentet lovordar centrumet för att det tillsammans med sina partner har organiserat den fjärde europeiska konferensen om missbruksbeteenden och beroenden: Lisbon Addictions 2022, som under det övergripande temat ”globala beroenden” samlade 1 757 deltagare från 84 länder.</w:t>
      </w:r>
    </w:p>
    <w:p w:rsidR="002F366A" w:rsidRPr="00A4754F" w:rsidRDefault="002F366A" w:rsidP="002F366A">
      <w:pPr>
        <w:pStyle w:val="NormalHanging12a"/>
        <w:rPr>
          <w:szCs w:val="24"/>
        </w:rPr>
      </w:pPr>
      <w:r w:rsidRPr="00A4754F">
        <w:t>9.</w:t>
      </w:r>
      <w:r w:rsidRPr="00A4754F">
        <w:tab/>
        <w:t>Europaparlamentet välkomnar centrumets oförtröttliga insatser för att lyfta fram de sociala aspekterna och samhällseffekterna av narkotika, främja strategier för återintegrering i samhället för narkotikamissbrukare och ta itu med narkotikafrågan med ett tvärvetenskapligt perspektiv. Parlamentet anser att det är mycket viktigt att fortsätta att öka medvetenheten om vikten av förebyggande åtgärder och en innovativ strategi baserad på psykisk hälsa inom ramen för narkotikapolitiken.</w:t>
      </w:r>
    </w:p>
    <w:p w:rsidR="002F366A" w:rsidRPr="00A4754F" w:rsidRDefault="002F366A" w:rsidP="002F366A">
      <w:pPr>
        <w:pStyle w:val="NormalHanging12a"/>
      </w:pPr>
      <w:r w:rsidRPr="00A4754F">
        <w:t>10.</w:t>
      </w:r>
      <w:r w:rsidRPr="00A4754F">
        <w:tab/>
        <w:t>Europaparlamentet välkomnar de framsteg som centrumet har gjort när det gäller EU:s rapport om narkotikamarknaderna (EU Drug Markets: In-depth analysis), i samarbete med Europol, med moduler om specifika substanser som offentliggjorts under 2022 och andra som planeras för 2023. Parlamentet välkomnar det arbete som gjorts under 2022 för att förbättra kvaliteten på och tillgången till grundläggande uppgifter om leveranser i samarbete med Reitox National Focus Points och Europol. Parlamentet gläder sig över att centrumet genomfört alla sina uppgifter inom ramen för de operativa handlingsplanerna för den sektorsövergripande plattformen mot brottshot i förbindelse med cannabis, kokain och heroin.</w:t>
      </w:r>
      <w:r w:rsidRPr="00A4754F">
        <w:rPr>
          <w:rStyle w:val="FootnoteReference"/>
        </w:rPr>
        <w:t xml:space="preserve"> </w:t>
      </w:r>
      <w:r w:rsidRPr="00A4754F">
        <w:t>Parlamentet påminner om att narkotikahandel har identifierats som en av de viktigaste inkomstkällorna och som en rekryteringskanal för organiserad brottslighet och terrorism, och framhåller centrumets bidrag till ett säkrare Europa.</w:t>
      </w:r>
    </w:p>
    <w:p w:rsidR="002F366A" w:rsidRPr="00A4754F" w:rsidRDefault="002F366A" w:rsidP="002F366A">
      <w:pPr>
        <w:pStyle w:val="NormalHanging12a"/>
      </w:pPr>
      <w:r w:rsidRPr="00A4754F">
        <w:t>11.</w:t>
      </w:r>
      <w:r w:rsidRPr="00A4754F">
        <w:tab/>
        <w:t>Europaparlamentet välkomnar det fortsatta samarbetet på regional nivå mellan centrumet och de partnerländer som omfattas av den europeiska grannskapspolitiken, inom ramen för projektet EU4MD för tekniskt bistånd, samt det pågående genomförandet av det bilaterala projektet med Georgien (EMCDDA4GE). Parlamentet välkomnar inrättandet av ett officiellt partnerskap inom ramen för samarbetsprogrammet mellan Latinamerika, Västindien och Europeiska unionen om narkotika.</w:t>
      </w:r>
    </w:p>
    <w:p w:rsidR="002F366A" w:rsidRPr="00A4754F" w:rsidRDefault="002F366A" w:rsidP="002F366A">
      <w:pPr>
        <w:pStyle w:val="Normal12Hanging"/>
        <w:rPr>
          <w:b/>
          <w:i/>
          <w:szCs w:val="24"/>
        </w:rPr>
      </w:pPr>
      <w:r w:rsidRPr="00A4754F">
        <w:rPr>
          <w:b/>
          <w:i/>
        </w:rPr>
        <w:t>Effektivitet och vinster</w:t>
      </w:r>
    </w:p>
    <w:p w:rsidR="002F366A" w:rsidRPr="00A4754F" w:rsidRDefault="002F366A" w:rsidP="002F366A">
      <w:pPr>
        <w:pStyle w:val="Normal12Hanging"/>
        <w:rPr>
          <w:szCs w:val="24"/>
        </w:rPr>
      </w:pPr>
      <w:r w:rsidRPr="00A4754F">
        <w:t>12.</w:t>
      </w:r>
      <w:r w:rsidRPr="00A4754F">
        <w:tab/>
        <w:t xml:space="preserve">Europaparlamentet berömmer centrumet för dess åtagande att ständigt förbättra effektiviteten i sin verksamhet och maximera användningen av sina resurser, sin expertis och sitt kunnande för att i slutändan bidra till ett säkrare och friskare Europa, särskilt genom samarbetsarrangemang med organ inom områdena rättsliga och inrikes frågor samt hälsa. Parlamentet noterar de åtgärder som centrumet har vidtagit för att minska driftskostnaderna för sina lokaler, såsom användningen av solskydd på glasytor och klimatomkopplare på fönster. Parlamentet noterar vidare avtalet med </w:t>
      </w:r>
      <w:r w:rsidRPr="00A4754F">
        <w:lastRenderedPageBreak/>
        <w:t>Europeiska sjösäkerhetsbyrån om delad användning av gemensamma utrymmen (matsal, underjordisk parkeringsplats och konferensanläggningar) i den anläggning där deras huvudkontor är beläget och samarbetet mellan de två byråerna om gemensam upphandling av gemensamma tjänster (t.ex. säkerhet, städning, catering m.m.) och gemensam organisation av utbildningsverksamhet av gemensamt intresse för personalen vid de båda byråerna.</w:t>
      </w:r>
    </w:p>
    <w:p w:rsidR="002F366A" w:rsidRPr="00A4754F" w:rsidRDefault="002F366A" w:rsidP="002F366A">
      <w:pPr>
        <w:pStyle w:val="Normal12Hanging"/>
      </w:pPr>
      <w:r w:rsidRPr="00A4754F">
        <w:t>13.</w:t>
      </w:r>
      <w:r w:rsidRPr="00A4754F">
        <w:tab/>
        <w:t>Europaparlamentet noterar med tillfredsställelse att centrumet har en strategisk plan (miljöstrategi 2021–2025) för att bli koldioxidneutralt och att det i sin årliga verksamhetsrapport har inkluderat mått för centrumets miljöprestanda och koldioxidavtryck, med ständigt förbättrade årliga resultat sedan 2014. Parlamentet välkomnar det beslut som centrumets direktör fattade 2022 om att erhålla Emas</w:t>
      </w:r>
      <w:r w:rsidRPr="00A4754F">
        <w:noBreakHyphen/>
        <w:t>certifiering, vars process förväntades vara avslutad 2023.</w:t>
      </w:r>
    </w:p>
    <w:p w:rsidR="002F366A" w:rsidRPr="00A4754F" w:rsidRDefault="002F366A" w:rsidP="002F366A">
      <w:pPr>
        <w:pStyle w:val="Normal12Hanging"/>
      </w:pPr>
      <w:r w:rsidRPr="00A4754F">
        <w:t>14.</w:t>
      </w:r>
      <w:r w:rsidRPr="00A4754F">
        <w:tab/>
        <w:t>Europaparlamentet noterar att centrumet under 2022 genomförde flera projekt för att förbättra miljöprestandan genom att förbättra elförbrukningen, installera solenergiceller på taket i byggnaden samt installera bilpooler med elbilar i syfte att ersätta centrumets fordonspark med el- eller hybridfordon.</w:t>
      </w:r>
    </w:p>
    <w:p w:rsidR="002F366A" w:rsidRPr="00A4754F" w:rsidRDefault="002F366A" w:rsidP="002F366A">
      <w:pPr>
        <w:pStyle w:val="Normal12Hanging"/>
        <w:rPr>
          <w:b/>
          <w:i/>
          <w:szCs w:val="24"/>
        </w:rPr>
      </w:pPr>
      <w:r w:rsidRPr="00A4754F">
        <w:rPr>
          <w:b/>
          <w:i/>
        </w:rPr>
        <w:t>Personalpolitik</w:t>
      </w:r>
    </w:p>
    <w:p w:rsidR="002F366A" w:rsidRPr="00A4754F" w:rsidRDefault="002F366A" w:rsidP="002F366A">
      <w:pPr>
        <w:pStyle w:val="Normal12Hanging"/>
        <w:rPr>
          <w:szCs w:val="24"/>
        </w:rPr>
      </w:pPr>
      <w:r w:rsidRPr="00A4754F">
        <w:t>15.</w:t>
      </w:r>
      <w:r w:rsidRPr="00A4754F">
        <w:tab/>
        <w:t>Europaparlamentet noterar att tjänsteförteckningen den 31 december 2022 genomfördes till 97 %, med sex tillsatta tjänster för tjänstemän och 68 tillsatta tjänster för tillfälligt anställda av de sju tjänster för tjänstemän och 69 tjänster för tillfälligt anställda som hade godkänts enligt unionens budget (76 godkända tjänster 2022, samma som 2021). Parlamentet noterar dessutom att 27 kontraktsanställda arbetade för centrumet 2022. Parlamentet välkomnar centrumets personalscreening 2022 och den ändamålsenliga och effektiva fördelningen av dess resurser, där 72,44 % av centrumets personal gick till operativa uppgifter, 18,20 % till administrativt stöd och samordning och 9,35 % till neutrala åtgärder. Parlamentet lovordar centrumet för dess låga personalomsättning (2,9 %) 2022.</w:t>
      </w:r>
    </w:p>
    <w:p w:rsidR="002F366A" w:rsidRPr="00A4754F" w:rsidRDefault="002F366A" w:rsidP="002F366A">
      <w:pPr>
        <w:pStyle w:val="NormalHanging12a"/>
        <w:keepNext/>
        <w:keepLines/>
        <w:widowControl/>
      </w:pPr>
      <w:r w:rsidRPr="00A4754F">
        <w:t>16.</w:t>
      </w:r>
      <w:r w:rsidRPr="00A4754F">
        <w:tab/>
        <w:t>Europaparlamentet noterar med oro att centrumet rapporterade att det hade två kvinnor (22 %) och sju män (78 %) i sin högsta ledning, medan det hade 20 kvinnor (38 %) och 34 män (62 %) i sin styrelse. Parlamentet noterar att den totala personalstyrkan består av 36 män (38 %) och 58 kvinnor (62 %). Parlamentet påminner om vikten av att säkerställa en jämn könsfördelning bland personalen och uppmanar centrumet att ta hänsyn till denna aspekt vid framtida rekrytering av personal och utnämningar av högre chefer. Parlamentet uppmanar kommissionen och medlemsstaterna att beakta vikten av att säkerställa en jämn könsfördelning när de nominerar sina ledamöter till centrumets styrelse.</w:t>
      </w:r>
    </w:p>
    <w:p w:rsidR="002F366A" w:rsidRPr="00A4754F" w:rsidRDefault="002F366A" w:rsidP="002F366A">
      <w:pPr>
        <w:pStyle w:val="Normal12Hanging"/>
        <w:rPr>
          <w:szCs w:val="24"/>
        </w:rPr>
      </w:pPr>
      <w:r w:rsidRPr="00A4754F">
        <w:t>17.</w:t>
      </w:r>
      <w:r w:rsidRPr="00A4754F">
        <w:tab/>
        <w:t xml:space="preserve">Europaparlamentet noterar i centrumets rapport vilka uppföljningsåtgärder som vidtagits för att förbättra jämställdheten inom centrumet, mot bakgrund av ansvarsfriheten för genomförandet av centrumets budget för budgetåret 2021. Parlamentet noterar att sådana åtgärder vidtogs inom ramen för centrumets rekryteringsförfaranden och spridning i medlemsstaterna av information om centrumets urvalsprocess. Parlamentet lovordar centrumets styrelseordförande för att ha vänt sig till berörda myndigheter i medlemsstaterna, Norge och Turkiet när det gäller att säkerställa en jämn könsfördelning vid nomineringen av deras medlemmar i centrumets styrelse. Parlamentet noterar vidare från centrumets rapport om iakttagelsen att Sysper </w:t>
      </w:r>
      <w:r w:rsidRPr="00A4754F">
        <w:lastRenderedPageBreak/>
        <w:t>inte har använts och att centrumet har utvecklat och infört egna informations- och kommunikationstekniska verktyg för digitaliserad personalförvaltning.</w:t>
      </w:r>
    </w:p>
    <w:p w:rsidR="002F366A" w:rsidRPr="00A4754F" w:rsidRDefault="002F366A" w:rsidP="002F366A">
      <w:pPr>
        <w:pStyle w:val="Normal12Hanging"/>
        <w:rPr>
          <w:szCs w:val="24"/>
        </w:rPr>
      </w:pPr>
      <w:r w:rsidRPr="00A4754F">
        <w:t>18.</w:t>
      </w:r>
      <w:r w:rsidRPr="00A4754F">
        <w:tab/>
        <w:t>Europaparlamentet påminner om att revisionsrätten i sin årsrapport om unionsbyråer för 2018 har en iakttagelse om anställning av tillfälligt anställda genom ett ramavtal utan att kraven i direktiv 2008/104/EG</w:t>
      </w:r>
      <w:r w:rsidRPr="00A4754F">
        <w:rPr>
          <w:rStyle w:val="FootnoteReference"/>
          <w:szCs w:val="24"/>
        </w:rPr>
        <w:footnoteReference w:id="14"/>
      </w:r>
      <w:r w:rsidRPr="00A4754F">
        <w:t xml:space="preserve"> och den portugisiska arbetsrätten uppfylls. Parlamentet noterar från revisionsrättens rapport att denna iakttagelse är avslutad, medan ramavtalet i fråga löpte ut i mars 2022, och den sista betalningen för tillfälligt anställda ägde rum i januari 2022.</w:t>
      </w:r>
    </w:p>
    <w:p w:rsidR="002F366A" w:rsidRPr="00A4754F" w:rsidRDefault="002F366A" w:rsidP="002F366A">
      <w:pPr>
        <w:pStyle w:val="Normal12Hanging"/>
        <w:rPr>
          <w:b/>
          <w:i/>
          <w:szCs w:val="24"/>
        </w:rPr>
      </w:pPr>
      <w:r w:rsidRPr="00A4754F">
        <w:rPr>
          <w:b/>
          <w:i/>
        </w:rPr>
        <w:t>Upphandling</w:t>
      </w:r>
    </w:p>
    <w:p w:rsidR="002F366A" w:rsidRPr="00A4754F" w:rsidRDefault="002F366A" w:rsidP="002F366A">
      <w:pPr>
        <w:pStyle w:val="NormalHanging12a"/>
        <w:rPr>
          <w:szCs w:val="24"/>
        </w:rPr>
      </w:pPr>
      <w:r w:rsidRPr="00A4754F">
        <w:t>19.</w:t>
      </w:r>
      <w:r w:rsidRPr="00A4754F">
        <w:tab/>
        <w:t>Europaparlamentet noterar från revisionsrättens rapport att det belopp (75 000 euro) som motsvarar ett kontrakt som ingicks 2022 inte helt täcktes av ett motsvarande budgetåtagande, vilket ledde till ett underskott på 8 000 euro. Parlamentet noterar att en liknande situation uppstod 2021 för samma typ av kontrakt och att centrumet i båda fallen, enligt revisionsrättens rapport, inte uppfyllde kraven i artiklarna 10.3 och 73.2 i centrumets budgetförordning. Parlamentet erkänner dock utifrån centrumets svar att kostnaden för kontraktet delades i enlighet med de avtal som ingåtts med två andra enheter som använder centrumets lokaler i Lissabon Parlamentet konstaterar i detta sammanhang att centrumet endast fick bära en del av de totala kostnaderna/utgifterna för kontraktet som berodde på motsvarande budgetåtaganden, medan de återstående kostnaderna berodde på kvittning/avräkning av räkenskaper, eftersom dessa kostnader bars av de två andra enheterna.</w:t>
      </w:r>
    </w:p>
    <w:p w:rsidR="002F366A" w:rsidRPr="00A4754F" w:rsidRDefault="002F366A" w:rsidP="0021646F">
      <w:pPr>
        <w:pStyle w:val="Normal12Hanging"/>
        <w:widowControl/>
        <w:rPr>
          <w:b/>
          <w:i/>
          <w:szCs w:val="24"/>
        </w:rPr>
      </w:pPr>
      <w:r w:rsidRPr="00A4754F">
        <w:rPr>
          <w:b/>
          <w:i/>
        </w:rPr>
        <w:t>Förebyggande och hantering av intressekonflikter samt transparens</w:t>
      </w:r>
    </w:p>
    <w:p w:rsidR="002F366A" w:rsidRPr="00A4754F" w:rsidRDefault="002F366A" w:rsidP="0021646F">
      <w:pPr>
        <w:pStyle w:val="Normal12Hanging"/>
        <w:widowControl/>
        <w:rPr>
          <w:szCs w:val="24"/>
        </w:rPr>
      </w:pPr>
      <w:r w:rsidRPr="00A4754F">
        <w:t>20.</w:t>
      </w:r>
      <w:r w:rsidRPr="00A4754F">
        <w:tab/>
        <w:t>Europaparlamentet noterar centrumets befintliga åtgärder och pågående insatser för att säkerställa transparens, förebygga och hantera intressekonflikter samt skydda visselblåsare. Parlamentet noterar vidare att inga fall av intressekonflikter eller visselblåsning rapporterades, utreddes eller avslutades 2022. Parlamentet välkomnar att centrumet på sin webbplats offentliggjort intresseförklaringar och meritförteckningar för styrelsens ledamöter, direktören och de externa experter som är medlemmar i centrumets vetenskapliga kommitté. Parlamentet påminner om att när det gäller styrelseledamöter finns endast en sammanfattning av deras nuvarande yrkesverksamhet tillgänglig på centrumets webbplats. Parlamentet noterar centrumets åtagande att före utgången av 2023 undersöka möjligheten att i de offentliggjorda meritförteckningarna även ta med dessa ledamöters tidigare yrkesverksamhet.</w:t>
      </w:r>
    </w:p>
    <w:p w:rsidR="002F366A" w:rsidRPr="00A4754F" w:rsidRDefault="002F366A" w:rsidP="002F366A">
      <w:pPr>
        <w:pStyle w:val="Normal12Hanging"/>
        <w:rPr>
          <w:szCs w:val="24"/>
        </w:rPr>
      </w:pPr>
      <w:r w:rsidRPr="00A4754F">
        <w:t>21.</w:t>
      </w:r>
      <w:r w:rsidRPr="00A4754F">
        <w:tab/>
        <w:t>Europaparlamentet noterar att centrumet inte träffade lobbyister 2022. Parlamentet konstaterar vidare att centrumet, på grundval av kommissionens och Europeiska ombudsmannens riktlinjer och rekommendationer i denna fråga, har antagit en uppförandekod och praktiska rekommendationer/riktlinjer för en eventuell samverkan mellan sin personal och företrädare för intressegrupper. Parlamentet noterar vidare att om sådana möten äger rum rekommenderas enligt dessa riktlinjer att mötet registreras och offentliggörs. Parlamentet uppmanar centrumet att följa dessa riktlinjer och utan dröjsmål offentliggöra sådana möten.</w:t>
      </w:r>
    </w:p>
    <w:p w:rsidR="002F366A" w:rsidRPr="00A4754F" w:rsidRDefault="002F366A" w:rsidP="002F366A">
      <w:pPr>
        <w:pStyle w:val="Normal12Hanging"/>
        <w:rPr>
          <w:b/>
          <w:i/>
          <w:szCs w:val="24"/>
        </w:rPr>
      </w:pPr>
      <w:r w:rsidRPr="00A4754F">
        <w:rPr>
          <w:b/>
          <w:i/>
        </w:rPr>
        <w:lastRenderedPageBreak/>
        <w:t>Internkontroll</w:t>
      </w:r>
    </w:p>
    <w:p w:rsidR="002F366A" w:rsidRPr="00A4754F" w:rsidRDefault="002F366A" w:rsidP="002F366A">
      <w:pPr>
        <w:pStyle w:val="Normal12Hanging"/>
        <w:rPr>
          <w:szCs w:val="24"/>
        </w:rPr>
      </w:pPr>
      <w:r w:rsidRPr="00A4754F">
        <w:t>22.</w:t>
      </w:r>
      <w:r w:rsidRPr="00A4754F">
        <w:tab/>
        <w:t>Europaparlamentet noterar att tjänsten för internrevision (IAS) under 2022 utförde två revisioner för centrumet, närmare bestämt om internationellt samarbete och om lämpligheten i samordningen av och arbetsformerna för partnergeneraldirektoraten och andra intressenter samt om unionens ram för styrning av decentraliserade byråer Parlamentet noterar att revisionsresultaten för båda revisionsprojekten ännu inte fanns tillgängliga i slutet av 2022, då det inte fanns några utestående kritiska risker eller rekommendationer från IAS, utom för en utestående rekommendation om intern kommunikation, från en revision av personalförvaltning och etik som genomfördes 2021.</w:t>
      </w:r>
    </w:p>
    <w:p w:rsidR="002F366A" w:rsidRPr="00A4754F" w:rsidRDefault="002F366A" w:rsidP="002F366A">
      <w:pPr>
        <w:pStyle w:val="Normal12Hanging"/>
        <w:rPr>
          <w:szCs w:val="24"/>
        </w:rPr>
      </w:pPr>
      <w:r w:rsidRPr="00A4754F">
        <w:t>23.</w:t>
      </w:r>
      <w:r w:rsidRPr="00A4754F">
        <w:tab/>
        <w:t>Europaparlamentet välkomnar resultatet av 2022 års bedömning av effektiviteten i centrumets interna kontrollsystem, vilket är att alla komponenter finns och fungerar Parlamentet noterar att man i bedömningen identifierade fem principer för ramen för intern kontroll, där vissa förbättringar kan behövas när det gäller kontrollmiljö, kontrollverksamhet samt information och kommunikation. Parlamentet noterar vidare att en omfattande riskidentifiering och riskbedömning i syfte att förbättra riskhanteringen vid centrumet genomfördes 2022, med identifierade risker kopplade till centrumets nya mandat och dess nya affärsmodell. Parlamentet uppmanar centrumet att ta itu med alla brister som identifierats i samband med de olika bedömningar som gjordes 2022.</w:t>
      </w:r>
    </w:p>
    <w:p w:rsidR="002F366A" w:rsidRPr="00A4754F" w:rsidRDefault="002F366A" w:rsidP="0021646F">
      <w:pPr>
        <w:pStyle w:val="Normal12Hanging"/>
        <w:widowControl/>
      </w:pPr>
      <w:r w:rsidRPr="00A4754F">
        <w:t>24.</w:t>
      </w:r>
      <w:r w:rsidRPr="00A4754F">
        <w:tab/>
        <w:t>Europaparlamentet noterar att centrumet antog en reviderad strategi för bedrägeribekämpning 2021, med tre strategiska mål och en handlingsplan för genomförandet 2022, som vid årets slut genomfördes i stor utsträckning, och att endast en av tolv åtgärder fortfarande var öppen.</w:t>
      </w:r>
    </w:p>
    <w:p w:rsidR="002F366A" w:rsidRPr="00A4754F" w:rsidRDefault="002F366A" w:rsidP="002F366A">
      <w:pPr>
        <w:pStyle w:val="Normal12Hanging"/>
        <w:rPr>
          <w:b/>
          <w:i/>
          <w:szCs w:val="24"/>
        </w:rPr>
      </w:pPr>
      <w:r w:rsidRPr="00A4754F">
        <w:rPr>
          <w:b/>
          <w:i/>
        </w:rPr>
        <w:t>Övriga synpunkter</w:t>
      </w:r>
    </w:p>
    <w:p w:rsidR="002F366A" w:rsidRPr="00A4754F" w:rsidRDefault="002F366A" w:rsidP="002F366A">
      <w:pPr>
        <w:pStyle w:val="Normal12Hanging"/>
        <w:rPr>
          <w:szCs w:val="24"/>
        </w:rPr>
      </w:pPr>
      <w:r w:rsidRPr="00A4754F">
        <w:t>25.</w:t>
      </w:r>
      <w:r w:rsidRPr="00A4754F">
        <w:tab/>
        <w:t>Europaparlamentet lovordar centrumet för de kommunikationsinsatser som var inriktade på att säkerställa produktionen av högkvalitativa publikationer, med 66 vetenskapliga och institutionella publikationer som producerades 2022, och 16 vetenskapliga artiklar och bokkapitel som centrumet författat eller varit medförfattare till och som publicerats i prestigefyllda tidskrifter.</w:t>
      </w:r>
    </w:p>
    <w:p w:rsidR="002F366A" w:rsidRPr="00A4754F" w:rsidRDefault="002F366A" w:rsidP="002F366A">
      <w:pPr>
        <w:pStyle w:val="Normal12Hanging"/>
        <w:rPr>
          <w:szCs w:val="24"/>
        </w:rPr>
      </w:pPr>
      <w:r w:rsidRPr="00A4754F">
        <w:t>26.</w:t>
      </w:r>
      <w:r w:rsidRPr="00A4754F">
        <w:tab/>
        <w:t>Europaparlamentet välkomnar den betydande ökningen av centrumets publik som nåddes 2022 via alla kanaler. Parlamentet noterar i detta sammanhang att centrumet hade omkring 2,6 miljoner unika besökare på webbplatsen, ett rekord (en ökning med nästan 50 % från 2021), 1,6 miljoner visningar av sina videor (en ökning med 15 % jämfört med 2021) och fler följare på två viktiga sociala medier, LinkedIn (+57 %) och Instagram (+37 %).</w:t>
      </w:r>
    </w:p>
    <w:p w:rsidR="002F366A" w:rsidRPr="00A4754F" w:rsidRDefault="002F366A" w:rsidP="002F366A">
      <w:pPr>
        <w:pStyle w:val="Normal12Hanging"/>
        <w:rPr>
          <w:szCs w:val="24"/>
        </w:rPr>
      </w:pPr>
      <w:r w:rsidRPr="00A4754F">
        <w:t>27.</w:t>
      </w:r>
      <w:r w:rsidRPr="00A4754F">
        <w:tab/>
        <w:t>Europaparlamentet uppmanar centrumet att inrikta sig på att sprida resultaten av sin forskning till allmänheten och att nå ut till allmänheten via sociala medier och andra medier. Parlamentet välkomnar i detta avseende användartillgängligheten till de rapporter som skapats av centrumet.</w:t>
      </w:r>
    </w:p>
    <w:p w:rsidR="002F366A" w:rsidRPr="00A4754F" w:rsidRDefault="002F366A" w:rsidP="002F366A">
      <w:pPr>
        <w:pStyle w:val="NormalHanging12a"/>
        <w:rPr>
          <w:szCs w:val="24"/>
        </w:rPr>
      </w:pPr>
      <w:r w:rsidRPr="00A4754F">
        <w:t>28.</w:t>
      </w:r>
      <w:r w:rsidRPr="00A4754F">
        <w:tab/>
        <w:t>Europaparlamentet välkomnar inrättandet av webbplatsen EMCDDA 4 Ukraine, som omfattar resurser för yrkesverksamma på narkotikaområdet i Europa som arbetar för att stödja människor som fördrivits från Ukraina.</w:t>
      </w:r>
    </w:p>
    <w:p w:rsidR="002F366A" w:rsidRPr="00A4754F" w:rsidRDefault="002F366A" w:rsidP="002F366A">
      <w:pPr>
        <w:pStyle w:val="NormalCenter12a"/>
      </w:pPr>
      <w:r w:rsidRPr="00A4754F">
        <w:lastRenderedPageBreak/>
        <w:t>°</w:t>
      </w:r>
    </w:p>
    <w:p w:rsidR="002F366A" w:rsidRPr="00A4754F" w:rsidRDefault="002F366A" w:rsidP="002F366A">
      <w:pPr>
        <w:pStyle w:val="NormalCenter12a"/>
      </w:pPr>
      <w:r w:rsidRPr="00A4754F">
        <w:t>°</w:t>
      </w:r>
      <w:r w:rsidRPr="00A4754F">
        <w:tab/>
        <w:t>°</w:t>
      </w:r>
    </w:p>
    <w:p w:rsidR="002F366A" w:rsidRPr="00EA29F5" w:rsidRDefault="002F366A" w:rsidP="002F366A">
      <w:pPr>
        <w:pStyle w:val="NormalHanging12a"/>
      </w:pPr>
      <w:r w:rsidRPr="00A4754F">
        <w:t>29.</w:t>
      </w:r>
      <w:r w:rsidRPr="00A4754F">
        <w:tab/>
        <w:t xml:space="preserve">När det gäller andra övergripande iakttagelser som utgör en del av beslutet om ansvarsfrihet hänvisar Europaparlamentet till sin resolution av den </w:t>
      </w:r>
      <w:r w:rsidR="00634CA8" w:rsidRPr="00A4754F">
        <w:t>11 april</w:t>
      </w:r>
      <w:r w:rsidRPr="00A4754F">
        <w:t xml:space="preserve"> 2024</w:t>
      </w:r>
      <w:r w:rsidRPr="00A4754F">
        <w:rPr>
          <w:rStyle w:val="FootnoteReference"/>
        </w:rPr>
        <w:footnoteReference w:id="15"/>
      </w:r>
      <w:r w:rsidRPr="00A4754F">
        <w:t xml:space="preserve"> om byråernas verksamhetsresultat, ekonomiska förvaltning och kontroll.</w:t>
      </w:r>
    </w:p>
    <w:p w:rsidR="00E365E1" w:rsidRPr="00EA29F5" w:rsidRDefault="00E365E1" w:rsidP="000F006E">
      <w:bookmarkStart w:id="8" w:name="TextBodyEnd"/>
      <w:bookmarkStart w:id="9" w:name="_GoBack"/>
      <w:bookmarkEnd w:id="8"/>
      <w:bookmarkEnd w:id="9"/>
    </w:p>
    <w:sectPr w:rsidR="00E365E1" w:rsidRPr="00EA29F5" w:rsidSect="00EA29F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6E" w:rsidRPr="00EA29F5" w:rsidRDefault="000F006E">
      <w:r w:rsidRPr="00EA29F5">
        <w:separator/>
      </w:r>
    </w:p>
  </w:endnote>
  <w:endnote w:type="continuationSeparator" w:id="0">
    <w:p w:rsidR="000F006E" w:rsidRPr="00EA29F5" w:rsidRDefault="000F006E">
      <w:r w:rsidRPr="00EA29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66A" w:rsidRPr="00EA29F5" w:rsidRDefault="002F366A" w:rsidP="00224F07">
    <w:pPr>
      <w:pStyle w:val="EPFooter"/>
    </w:pPr>
    <w:r w:rsidRPr="00EA29F5">
      <w:t>PE</w:t>
    </w:r>
    <w:r w:rsidRPr="00EA29F5">
      <w:rPr>
        <w:rStyle w:val="HideTWBExt"/>
      </w:rPr>
      <w:t>&lt;NoPE&gt;</w:t>
    </w:r>
    <w:r w:rsidRPr="00EA29F5">
      <w:t>753.525</w:t>
    </w:r>
    <w:r w:rsidRPr="00EA29F5">
      <w:rPr>
        <w:rStyle w:val="HideTWBExt"/>
      </w:rPr>
      <w:t>&lt;/NoPE&gt;&lt;Version&gt;</w:t>
    </w:r>
    <w:r w:rsidRPr="00EA29F5">
      <w:t>v02-00</w:t>
    </w:r>
    <w:r w:rsidRPr="00EA29F5">
      <w:rPr>
        <w:rStyle w:val="HideTWBExt"/>
      </w:rPr>
      <w:t>&lt;/Version&gt;</w:t>
    </w:r>
    <w:r w:rsidRPr="00EA29F5">
      <w:tab/>
    </w:r>
    <w:r w:rsidRPr="00EA29F5">
      <w:fldChar w:fldCharType="begin"/>
    </w:r>
    <w:r w:rsidRPr="00EA29F5">
      <w:instrText xml:space="preserve"> PAGE  \* MERGEFORMAT </w:instrText>
    </w:r>
    <w:r w:rsidRPr="00EA29F5">
      <w:fldChar w:fldCharType="separate"/>
    </w:r>
    <w:r w:rsidRPr="00EA29F5">
      <w:rPr>
        <w:noProof/>
      </w:rPr>
      <w:t>10</w:t>
    </w:r>
    <w:r w:rsidRPr="00EA29F5">
      <w:fldChar w:fldCharType="end"/>
    </w:r>
    <w:r w:rsidRPr="00EA29F5">
      <w:t>/</w:t>
    </w:r>
    <w:r w:rsidR="00A4754F">
      <w:fldChar w:fldCharType="begin"/>
    </w:r>
    <w:r w:rsidR="00A4754F">
      <w:instrText xml:space="preserve"> NUMPAGES  \* MERGEFORMAT </w:instrText>
    </w:r>
    <w:r w:rsidR="00A4754F">
      <w:fldChar w:fldCharType="separate"/>
    </w:r>
    <w:r w:rsidRPr="00EA29F5">
      <w:rPr>
        <w:noProof/>
      </w:rPr>
      <w:t>10</w:t>
    </w:r>
    <w:r w:rsidR="00A4754F">
      <w:rPr>
        <w:noProof/>
      </w:rPr>
      <w:fldChar w:fldCharType="end"/>
    </w:r>
    <w:r w:rsidRPr="00EA29F5">
      <w:tab/>
    </w:r>
    <w:r w:rsidRPr="00EA29F5">
      <w:rPr>
        <w:rStyle w:val="HideTWBExt"/>
      </w:rPr>
      <w:t>&lt;PathFdR&gt;</w:t>
    </w:r>
    <w:r w:rsidRPr="00EA29F5">
      <w:t>RR\1298782SV.docx</w:t>
    </w:r>
    <w:r w:rsidRPr="00EA29F5">
      <w:rPr>
        <w:rStyle w:val="HideTWBExt"/>
      </w:rPr>
      <w:t>&lt;/PathFdR&gt;</w:t>
    </w:r>
  </w:p>
  <w:p w:rsidR="002F366A" w:rsidRPr="00EA29F5" w:rsidRDefault="002F366A" w:rsidP="00224F07">
    <w:pPr>
      <w:pStyle w:val="EPFooter2"/>
    </w:pPr>
    <w:r w:rsidRPr="00EA29F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66A" w:rsidRPr="00EA29F5" w:rsidRDefault="002F366A" w:rsidP="00224F07">
    <w:pPr>
      <w:pStyle w:val="EPFooter"/>
    </w:pPr>
    <w:r w:rsidRPr="00EA29F5">
      <w:rPr>
        <w:rStyle w:val="HideTWBExt"/>
      </w:rPr>
      <w:t>&lt;PathFdR&gt;</w:t>
    </w:r>
    <w:r w:rsidRPr="00EA29F5">
      <w:t>RR\1298782SV.docx</w:t>
    </w:r>
    <w:r w:rsidRPr="00EA29F5">
      <w:rPr>
        <w:rStyle w:val="HideTWBExt"/>
      </w:rPr>
      <w:t>&lt;/PathFdR&gt;</w:t>
    </w:r>
    <w:r w:rsidRPr="00EA29F5">
      <w:tab/>
    </w:r>
    <w:r w:rsidRPr="00EA29F5">
      <w:tab/>
      <w:t>PE</w:t>
    </w:r>
    <w:r w:rsidRPr="00EA29F5">
      <w:rPr>
        <w:rStyle w:val="HideTWBExt"/>
      </w:rPr>
      <w:t>&lt;NoPE&gt;</w:t>
    </w:r>
    <w:r w:rsidRPr="00EA29F5">
      <w:t>753.525</w:t>
    </w:r>
    <w:r w:rsidRPr="00EA29F5">
      <w:rPr>
        <w:rStyle w:val="HideTWBExt"/>
      </w:rPr>
      <w:t>&lt;/NoPE&gt;&lt;Version&gt;</w:t>
    </w:r>
    <w:r w:rsidRPr="00EA29F5">
      <w:t>v02-00</w:t>
    </w:r>
    <w:r w:rsidRPr="00EA29F5">
      <w:rPr>
        <w:rStyle w:val="HideTWBExt"/>
      </w:rPr>
      <w:t>&lt;/Version&gt;</w:t>
    </w:r>
  </w:p>
  <w:p w:rsidR="002F366A" w:rsidRPr="00EA29F5" w:rsidRDefault="002F366A" w:rsidP="00224F07">
    <w:pPr>
      <w:pStyle w:val="EPFooter2"/>
    </w:pPr>
    <w:r w:rsidRPr="00EA29F5">
      <w:t>SV</w:t>
    </w:r>
    <w:r w:rsidRPr="00EA29F5">
      <w:tab/>
    </w:r>
    <w:r w:rsidRPr="00EA29F5">
      <w:rPr>
        <w:b w:val="0"/>
        <w:i/>
        <w:color w:val="C0C0C0"/>
        <w:sz w:val="22"/>
      </w:rPr>
      <w:t>Förenade i mångfalden</w:t>
    </w:r>
    <w:r w:rsidRPr="00EA29F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6E" w:rsidRPr="00EA29F5" w:rsidRDefault="000F006E">
      <w:r w:rsidRPr="00EA29F5">
        <w:separator/>
      </w:r>
    </w:p>
  </w:footnote>
  <w:footnote w:type="continuationSeparator" w:id="0">
    <w:p w:rsidR="000F006E" w:rsidRPr="00EA29F5" w:rsidRDefault="000F006E">
      <w:r w:rsidRPr="00EA29F5">
        <w:continuationSeparator/>
      </w:r>
    </w:p>
  </w:footnote>
  <w:footnote w:id="1">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C, C/2023/594, 27.10.2023.</w:t>
      </w:r>
    </w:p>
  </w:footnote>
  <w:footnote w:id="2">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C, C/2023/112, 12.10.2023.</w:t>
      </w:r>
    </w:p>
  </w:footnote>
  <w:footnote w:id="3">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193, 30.7.2018, s. 1.</w:t>
      </w:r>
    </w:p>
  </w:footnote>
  <w:footnote w:id="4">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376, 27.12.2006, s. 1.</w:t>
      </w:r>
    </w:p>
  </w:footnote>
  <w:footnote w:id="5">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166, 30.6.2023, s. 6.</w:t>
      </w:r>
    </w:p>
  </w:footnote>
  <w:footnote w:id="6">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122, 10.5.2019, s. 1.</w:t>
      </w:r>
    </w:p>
  </w:footnote>
  <w:footnote w:id="7">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C, C/2023/594, 27.10.2023.</w:t>
      </w:r>
    </w:p>
  </w:footnote>
  <w:footnote w:id="8">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C, C/2023/112, 12.10.2023.</w:t>
      </w:r>
    </w:p>
  </w:footnote>
  <w:footnote w:id="9">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193, 30.7.2018, s. 1.</w:t>
      </w:r>
    </w:p>
  </w:footnote>
  <w:footnote w:id="10">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376, 27.12.2006, s. 1.</w:t>
      </w:r>
    </w:p>
  </w:footnote>
  <w:footnote w:id="11">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166, 30.6.2023, s. 6.</w:t>
      </w:r>
    </w:p>
  </w:footnote>
  <w:footnote w:id="12">
    <w:p w:rsidR="002F366A" w:rsidRPr="00A4754F" w:rsidRDefault="002F366A" w:rsidP="00EA29F5">
      <w:pPr>
        <w:pStyle w:val="FootnoteText"/>
        <w:ind w:left="567" w:hanging="567"/>
        <w:rPr>
          <w:sz w:val="24"/>
          <w:szCs w:val="24"/>
        </w:rPr>
      </w:pPr>
      <w:r w:rsidRPr="00A4754F">
        <w:rPr>
          <w:rStyle w:val="FootnoteReference"/>
          <w:sz w:val="24"/>
          <w:szCs w:val="24"/>
          <w:lang w:val="sv-SE"/>
        </w:rPr>
        <w:footnoteRef/>
      </w:r>
      <w:r w:rsidR="00EA29F5" w:rsidRPr="00A4754F">
        <w:rPr>
          <w:sz w:val="24"/>
          <w:szCs w:val="24"/>
        </w:rPr>
        <w:t xml:space="preserve"> </w:t>
      </w:r>
      <w:r w:rsidR="00EA29F5" w:rsidRPr="00A4754F">
        <w:rPr>
          <w:sz w:val="24"/>
          <w:szCs w:val="24"/>
        </w:rPr>
        <w:tab/>
      </w:r>
      <w:r w:rsidRPr="00A4754F">
        <w:rPr>
          <w:sz w:val="24"/>
          <w:szCs w:val="24"/>
        </w:rPr>
        <w:t>EUT L 122, 10.5.2019, s. 1.</w:t>
      </w:r>
    </w:p>
  </w:footnote>
  <w:footnote w:id="13">
    <w:p w:rsidR="002F366A" w:rsidRPr="00A4754F" w:rsidRDefault="002F366A" w:rsidP="00EA29F5">
      <w:pPr>
        <w:pStyle w:val="FootnoteText"/>
        <w:ind w:left="567" w:hanging="567"/>
        <w:rPr>
          <w:sz w:val="24"/>
          <w:szCs w:val="24"/>
          <w:lang w:val="sv-SE"/>
        </w:rPr>
      </w:pPr>
      <w:r w:rsidRPr="00A4754F">
        <w:rPr>
          <w:rStyle w:val="FootnoteReference"/>
          <w:sz w:val="24"/>
          <w:szCs w:val="24"/>
          <w:lang w:val="sv-SE"/>
        </w:rPr>
        <w:footnoteRef/>
      </w:r>
      <w:r w:rsidR="00EA29F5" w:rsidRPr="00A4754F">
        <w:rPr>
          <w:sz w:val="24"/>
          <w:szCs w:val="24"/>
          <w:lang w:val="sv-SE"/>
        </w:rPr>
        <w:t xml:space="preserve"> </w:t>
      </w:r>
      <w:r w:rsidR="00EA29F5" w:rsidRPr="00A4754F">
        <w:rPr>
          <w:sz w:val="24"/>
          <w:szCs w:val="24"/>
          <w:lang w:val="sv-SE"/>
        </w:rPr>
        <w:tab/>
      </w:r>
      <w:r w:rsidRPr="00A4754F">
        <w:rPr>
          <w:sz w:val="24"/>
          <w:szCs w:val="24"/>
          <w:lang w:val="sv-SE"/>
        </w:rPr>
        <w:t>EUT C 141/06, 29.3.2022, s. 33.</w:t>
      </w:r>
    </w:p>
  </w:footnote>
  <w:footnote w:id="14">
    <w:p w:rsidR="002F366A" w:rsidRPr="00A4754F" w:rsidRDefault="002F366A" w:rsidP="00EA29F5">
      <w:pPr>
        <w:pStyle w:val="FootnoteText"/>
        <w:ind w:left="567" w:hanging="567"/>
        <w:rPr>
          <w:sz w:val="24"/>
          <w:szCs w:val="24"/>
          <w:lang w:val="sv-SE"/>
        </w:rPr>
      </w:pPr>
      <w:r w:rsidRPr="00A4754F">
        <w:rPr>
          <w:rStyle w:val="FootnoteReference"/>
          <w:sz w:val="24"/>
          <w:szCs w:val="24"/>
          <w:lang w:val="sv-SE"/>
        </w:rPr>
        <w:footnoteRef/>
      </w:r>
      <w:r w:rsidR="00EA29F5" w:rsidRPr="00A4754F">
        <w:rPr>
          <w:sz w:val="24"/>
          <w:szCs w:val="24"/>
          <w:lang w:val="sv-SE"/>
        </w:rPr>
        <w:t xml:space="preserve"> </w:t>
      </w:r>
      <w:r w:rsidR="00EA29F5" w:rsidRPr="00A4754F">
        <w:rPr>
          <w:sz w:val="24"/>
          <w:szCs w:val="24"/>
          <w:lang w:val="sv-SE"/>
        </w:rPr>
        <w:tab/>
      </w:r>
      <w:r w:rsidRPr="00A4754F">
        <w:rPr>
          <w:sz w:val="24"/>
          <w:szCs w:val="24"/>
          <w:lang w:val="sv-SE"/>
        </w:rPr>
        <w:t>Europaparlamentets och rådets direktiv 2008/104/EG av den 19 november 2008 om arbetstagare som hyrs ut av bemanningsföretag (EUT L 327, 5.12.2008, s. 9).</w:t>
      </w:r>
    </w:p>
  </w:footnote>
  <w:footnote w:id="15">
    <w:p w:rsidR="002F366A" w:rsidRPr="0067029B" w:rsidRDefault="002F366A" w:rsidP="00EA29F5">
      <w:pPr>
        <w:pStyle w:val="FootnoteText"/>
        <w:ind w:left="567" w:hanging="567"/>
        <w:rPr>
          <w:sz w:val="24"/>
          <w:szCs w:val="24"/>
          <w:lang w:val="sv-SE"/>
        </w:rPr>
      </w:pPr>
      <w:r w:rsidRPr="00A4754F">
        <w:rPr>
          <w:rStyle w:val="FootnoteReference"/>
          <w:sz w:val="24"/>
          <w:szCs w:val="24"/>
          <w:lang w:val="sv-SE"/>
        </w:rPr>
        <w:footnoteRef/>
      </w:r>
      <w:r w:rsidR="00EA29F5" w:rsidRPr="00A4754F">
        <w:rPr>
          <w:sz w:val="24"/>
          <w:szCs w:val="24"/>
          <w:lang w:val="sv-SE"/>
        </w:rPr>
        <w:t xml:space="preserve"> </w:t>
      </w:r>
      <w:r w:rsidR="00EA29F5" w:rsidRPr="00A4754F">
        <w:rPr>
          <w:sz w:val="24"/>
          <w:szCs w:val="24"/>
          <w:lang w:val="sv-SE"/>
        </w:rPr>
        <w:tab/>
      </w:r>
      <w:r w:rsidRPr="00A4754F">
        <w:rPr>
          <w:sz w:val="24"/>
          <w:szCs w:val="24"/>
          <w:lang w:val="sv-SE"/>
        </w:rPr>
        <w:t>Antagna texter, P9_TA(2024)0</w:t>
      </w:r>
      <w:r w:rsidR="004C2BE9" w:rsidRPr="00A4754F">
        <w:rPr>
          <w:sz w:val="24"/>
          <w:szCs w:val="24"/>
          <w:lang w:val="sv-SE"/>
        </w:rPr>
        <w:t>280</w:t>
      </w:r>
      <w:r w:rsidRPr="00A4754F">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9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SV"/>
    <w:docVar w:name="dvnumam" w:val="0"/>
    <w:docVar w:name="dvpe" w:val="753.525"/>
    <w:docVar w:name="dvrapporteur" w:val="Föredragande: "/>
    <w:docVar w:name="dvtitre" w:val="Europaparlamentets beslut av den xx xx 2024 om ansvarsfrihet för genomförandet av budgeten för Europeiska centrumet för kontroll av narkotika och narkotikamissbruk för budgetåret 2022(2023/2157(DEC))"/>
  </w:docVars>
  <w:rsids>
    <w:rsidRoot w:val="000F006E"/>
    <w:rsid w:val="00002272"/>
    <w:rsid w:val="00064002"/>
    <w:rsid w:val="000677B9"/>
    <w:rsid w:val="000831BA"/>
    <w:rsid w:val="000A42CC"/>
    <w:rsid w:val="000E7DD9"/>
    <w:rsid w:val="000F006E"/>
    <w:rsid w:val="0010095E"/>
    <w:rsid w:val="00125B37"/>
    <w:rsid w:val="00187494"/>
    <w:rsid w:val="001F32AE"/>
    <w:rsid w:val="0021646F"/>
    <w:rsid w:val="002767FF"/>
    <w:rsid w:val="002B18FE"/>
    <w:rsid w:val="002B5493"/>
    <w:rsid w:val="002F366A"/>
    <w:rsid w:val="00343214"/>
    <w:rsid w:val="003455FD"/>
    <w:rsid w:val="00361C00"/>
    <w:rsid w:val="00395FA1"/>
    <w:rsid w:val="003E15D4"/>
    <w:rsid w:val="00411CCE"/>
    <w:rsid w:val="0041666E"/>
    <w:rsid w:val="00421060"/>
    <w:rsid w:val="00471C19"/>
    <w:rsid w:val="004867E3"/>
    <w:rsid w:val="00494A28"/>
    <w:rsid w:val="004C0004"/>
    <w:rsid w:val="004C2BE9"/>
    <w:rsid w:val="004C5D52"/>
    <w:rsid w:val="0050519A"/>
    <w:rsid w:val="005072A1"/>
    <w:rsid w:val="00514517"/>
    <w:rsid w:val="00545827"/>
    <w:rsid w:val="00560270"/>
    <w:rsid w:val="005C2568"/>
    <w:rsid w:val="006037C0"/>
    <w:rsid w:val="00634CA8"/>
    <w:rsid w:val="006631B6"/>
    <w:rsid w:val="0067029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54F"/>
    <w:rsid w:val="00A778C7"/>
    <w:rsid w:val="00AB441E"/>
    <w:rsid w:val="00AB6293"/>
    <w:rsid w:val="00AE0928"/>
    <w:rsid w:val="00AE59ED"/>
    <w:rsid w:val="00AF3B82"/>
    <w:rsid w:val="00B12E95"/>
    <w:rsid w:val="00B22876"/>
    <w:rsid w:val="00B558F0"/>
    <w:rsid w:val="00BD48FE"/>
    <w:rsid w:val="00BD7BD8"/>
    <w:rsid w:val="00BE6ADC"/>
    <w:rsid w:val="00C05BFE"/>
    <w:rsid w:val="00C07B59"/>
    <w:rsid w:val="00C23CD4"/>
    <w:rsid w:val="00C61C0C"/>
    <w:rsid w:val="00C941CB"/>
    <w:rsid w:val="00CC2357"/>
    <w:rsid w:val="00CF071A"/>
    <w:rsid w:val="00D058B8"/>
    <w:rsid w:val="00D56C11"/>
    <w:rsid w:val="00D834A0"/>
    <w:rsid w:val="00D872DF"/>
    <w:rsid w:val="00D91E21"/>
    <w:rsid w:val="00DA7FCD"/>
    <w:rsid w:val="00E02F75"/>
    <w:rsid w:val="00E365E1"/>
    <w:rsid w:val="00E400AD"/>
    <w:rsid w:val="00E820A4"/>
    <w:rsid w:val="00EA29F5"/>
    <w:rsid w:val="00EB006A"/>
    <w:rsid w:val="00EB4772"/>
    <w:rsid w:val="00ED169E"/>
    <w:rsid w:val="00ED4235"/>
    <w:rsid w:val="00F04346"/>
    <w:rsid w:val="00F075DC"/>
    <w:rsid w:val="00F149E9"/>
    <w:rsid w:val="00F5134D"/>
    <w:rsid w:val="00F74202"/>
    <w:rsid w:val="00F87713"/>
    <w:rsid w:val="00FB4360"/>
    <w:rsid w:val="00FD0C70"/>
    <w:rsid w:val="00FD59F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A0114"/>
  <w15:chartTrackingRefBased/>
  <w15:docId w15:val="{11BCE336-6D45-4DC5-A96A-94AA3DA1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36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366A"/>
    <w:pPr>
      <w:spacing w:before="480" w:after="240"/>
    </w:pPr>
  </w:style>
  <w:style w:type="paragraph" w:customStyle="1" w:styleId="PageHeading">
    <w:name w:val="PageHeading"/>
    <w:basedOn w:val="Normal"/>
    <w:rsid w:val="002F366A"/>
    <w:pPr>
      <w:keepNext/>
      <w:spacing w:after="480"/>
      <w:jc w:val="center"/>
    </w:pPr>
    <w:rPr>
      <w:rFonts w:ascii="Arial" w:hAnsi="Arial" w:cs="Arial"/>
      <w:b/>
    </w:rPr>
  </w:style>
  <w:style w:type="paragraph" w:customStyle="1" w:styleId="NormalBold">
    <w:name w:val="NormalBold"/>
    <w:basedOn w:val="Normal"/>
    <w:rsid w:val="002F366A"/>
    <w:rPr>
      <w:b/>
    </w:rPr>
  </w:style>
  <w:style w:type="paragraph" w:customStyle="1" w:styleId="NormalHanging12a">
    <w:name w:val="NormalHanging12a"/>
    <w:basedOn w:val="Normal"/>
    <w:link w:val="NormalHanging12aChar"/>
    <w:rsid w:val="002F366A"/>
    <w:pPr>
      <w:spacing w:after="240"/>
      <w:ind w:left="567" w:hanging="567"/>
    </w:pPr>
  </w:style>
  <w:style w:type="paragraph" w:customStyle="1" w:styleId="NormalCenter12a">
    <w:name w:val="NormalCenter12a"/>
    <w:basedOn w:val="Normal"/>
    <w:rsid w:val="002F366A"/>
    <w:pPr>
      <w:spacing w:after="240"/>
      <w:jc w:val="center"/>
    </w:pPr>
  </w:style>
  <w:style w:type="paragraph" w:styleId="Header">
    <w:name w:val="header"/>
    <w:basedOn w:val="Normal"/>
    <w:link w:val="HeaderChar"/>
    <w:rsid w:val="002F366A"/>
    <w:pPr>
      <w:tabs>
        <w:tab w:val="center" w:pos="4513"/>
        <w:tab w:val="right" w:pos="9026"/>
      </w:tabs>
    </w:pPr>
  </w:style>
  <w:style w:type="character" w:customStyle="1" w:styleId="HeaderChar">
    <w:name w:val="Header Char"/>
    <w:basedOn w:val="DefaultParagraphFont"/>
    <w:link w:val="Header"/>
    <w:rsid w:val="002F366A"/>
    <w:rPr>
      <w:sz w:val="24"/>
      <w:lang w:val="sv-SE"/>
    </w:rPr>
  </w:style>
  <w:style w:type="paragraph" w:customStyle="1" w:styleId="EPFooter">
    <w:name w:val="EPFooter"/>
    <w:basedOn w:val="Normal"/>
    <w:rsid w:val="002F366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F366A"/>
    <w:rPr>
      <w:sz w:val="24"/>
      <w:lang w:val="sv-SE"/>
    </w:rPr>
  </w:style>
  <w:style w:type="paragraph" w:customStyle="1" w:styleId="Normal12Hanging">
    <w:name w:val="Normal12Hanging"/>
    <w:basedOn w:val="Normal"/>
    <w:rsid w:val="002F366A"/>
    <w:pPr>
      <w:spacing w:after="240"/>
      <w:ind w:left="567" w:hanging="567"/>
    </w:pPr>
  </w:style>
  <w:style w:type="paragraph" w:styleId="BalloonText">
    <w:name w:val="Balloon Text"/>
    <w:basedOn w:val="Normal"/>
    <w:link w:val="BalloonTextChar"/>
    <w:rsid w:val="00E400AD"/>
    <w:rPr>
      <w:rFonts w:ascii="Segoe UI" w:hAnsi="Segoe UI" w:cs="Segoe UI"/>
      <w:sz w:val="18"/>
      <w:szCs w:val="18"/>
    </w:rPr>
  </w:style>
  <w:style w:type="character" w:customStyle="1" w:styleId="BalloonTextChar">
    <w:name w:val="Balloon Text Char"/>
    <w:basedOn w:val="DefaultParagraphFont"/>
    <w:link w:val="BalloonText"/>
    <w:rsid w:val="00E400A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3EB54-A270-4A55-9F8C-D101263E3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3379</Words>
  <Characters>22153</Characters>
  <Application>Microsoft Office Word</Application>
  <DocSecurity>0</DocSecurity>
  <Lines>452</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2024-04-11T12:29:00Z</dcterms:created>
  <dcterms:modified xsi:type="dcterms:W3CDTF">2024-04-11T12:29:00Z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A9-0104/2024</vt:lpwstr>
  </property>
  <property fmtid="{D5CDD505-2E9C-101B-9397-08002B2CF9AE}" pid="4" name="&lt;Type&gt;">
    <vt:lpwstr>RR</vt:lpwstr>
  </property>
</Properties>
</file>