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19E9" w:rsidTr="0010095E">
        <w:trPr>
          <w:trHeight w:hRule="exact" w:val="1418"/>
        </w:trPr>
        <w:tc>
          <w:tcPr>
            <w:tcW w:w="6804" w:type="dxa"/>
            <w:shd w:val="clear" w:color="auto" w:fill="auto"/>
            <w:vAlign w:val="center"/>
          </w:tcPr>
          <w:p w:rsidR="00751A4A" w:rsidRPr="004F19E9" w:rsidRDefault="00947C45" w:rsidP="0010095E">
            <w:pPr>
              <w:pStyle w:val="EPName"/>
            </w:pPr>
            <w:r w:rsidRPr="004F19E9">
              <w:t>Ευρωπαϊκό Κοινοβούλιο</w:t>
            </w:r>
          </w:p>
          <w:p w:rsidR="00751A4A" w:rsidRPr="004F19E9" w:rsidRDefault="00817416" w:rsidP="00756632">
            <w:pPr>
              <w:pStyle w:val="EPTerm"/>
              <w:rPr>
                <w:rStyle w:val="HideTWBExt"/>
                <w:noProof w:val="0"/>
                <w:vanish w:val="0"/>
                <w:color w:val="auto"/>
              </w:rPr>
            </w:pPr>
            <w:r w:rsidRPr="004F19E9">
              <w:t>2019-2024</w:t>
            </w:r>
          </w:p>
        </w:tc>
        <w:tc>
          <w:tcPr>
            <w:tcW w:w="2268" w:type="dxa"/>
            <w:shd w:val="clear" w:color="auto" w:fill="auto"/>
          </w:tcPr>
          <w:p w:rsidR="00751A4A" w:rsidRPr="004F19E9" w:rsidRDefault="00187494" w:rsidP="0010095E">
            <w:pPr>
              <w:pStyle w:val="EPLogo"/>
            </w:pPr>
            <w:r w:rsidRPr="004F19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19E9" w:rsidRDefault="00D058B8" w:rsidP="004C5D52">
      <w:pPr>
        <w:pStyle w:val="LineTop"/>
      </w:pPr>
    </w:p>
    <w:p w:rsidR="00680577" w:rsidRPr="004F19E9" w:rsidRDefault="00947C45" w:rsidP="00680577">
      <w:pPr>
        <w:pStyle w:val="EPBodyTA1"/>
      </w:pPr>
      <w:r w:rsidRPr="004F19E9">
        <w:t>ΚΕΙΜΕΝΑ ΠΟΥ ΕΓΚΡΙΘΗΚΑΝ</w:t>
      </w:r>
    </w:p>
    <w:p w:rsidR="00D058B8" w:rsidRPr="004F19E9" w:rsidRDefault="00D058B8" w:rsidP="00D058B8">
      <w:pPr>
        <w:pStyle w:val="LineBottom"/>
      </w:pPr>
    </w:p>
    <w:p w:rsidR="00947C45" w:rsidRPr="004F19E9" w:rsidRDefault="00947C45" w:rsidP="00947C45">
      <w:pPr>
        <w:pStyle w:val="ATHeading1"/>
      </w:pPr>
      <w:bookmarkStart w:id="0" w:name="TANumber"/>
      <w:r w:rsidRPr="004F19E9">
        <w:t>P9_TA(2024)</w:t>
      </w:r>
      <w:bookmarkEnd w:id="0"/>
      <w:r w:rsidR="00BB5799" w:rsidRPr="004F19E9">
        <w:t>0</w:t>
      </w:r>
      <w:r w:rsidR="00BB5799">
        <w:t>242</w:t>
      </w:r>
    </w:p>
    <w:p w:rsidR="00947C45" w:rsidRPr="004F19E9" w:rsidRDefault="00947C45" w:rsidP="00947C45">
      <w:pPr>
        <w:pStyle w:val="ATHeading2"/>
      </w:pPr>
      <w:bookmarkStart w:id="1" w:name="title"/>
      <w:r w:rsidRPr="004F19E9">
        <w:t>Απαλλαγή 2022: Ευρωπαϊκός Οργανισμός Περιβάλλοντος</w:t>
      </w:r>
      <w:bookmarkEnd w:id="1"/>
    </w:p>
    <w:p w:rsidR="00947C45" w:rsidRPr="004F19E9" w:rsidRDefault="00947C45" w:rsidP="00947C45">
      <w:pPr>
        <w:rPr>
          <w:i/>
          <w:vanish/>
        </w:rPr>
      </w:pPr>
      <w:r w:rsidRPr="004F19E9">
        <w:rPr>
          <w:i/>
        </w:rPr>
        <w:fldChar w:fldCharType="begin"/>
      </w:r>
      <w:r w:rsidRPr="004F19E9">
        <w:rPr>
          <w:i/>
        </w:rPr>
        <w:instrText xml:space="preserve"> TC"(</w:instrText>
      </w:r>
      <w:bookmarkStart w:id="2" w:name="DocNumber"/>
      <w:r w:rsidRPr="004F19E9">
        <w:rPr>
          <w:i/>
        </w:rPr>
        <w:instrText>A9-0130/2024</w:instrText>
      </w:r>
      <w:bookmarkEnd w:id="2"/>
      <w:r w:rsidRPr="004F19E9">
        <w:rPr>
          <w:i/>
        </w:rPr>
        <w:instrText xml:space="preserve"> - Εισηγητής: </w:instrText>
      </w:r>
      <w:proofErr w:type="spellStart"/>
      <w:r w:rsidRPr="004F19E9">
        <w:rPr>
          <w:i/>
        </w:rPr>
        <w:instrText>Petri</w:instrText>
      </w:r>
      <w:proofErr w:type="spellEnd"/>
      <w:r w:rsidRPr="004F19E9">
        <w:rPr>
          <w:i/>
        </w:rPr>
        <w:instrText xml:space="preserve"> </w:instrText>
      </w:r>
      <w:proofErr w:type="spellStart"/>
      <w:r w:rsidRPr="004F19E9">
        <w:rPr>
          <w:i/>
        </w:rPr>
        <w:instrText>Sarvamaa</w:instrText>
      </w:r>
      <w:proofErr w:type="spellEnd"/>
      <w:r w:rsidRPr="004F19E9">
        <w:rPr>
          <w:i/>
        </w:rPr>
        <w:instrText xml:space="preserve">)"\l3 \n&gt; \* MERGEFORMAT </w:instrText>
      </w:r>
      <w:r w:rsidRPr="004F19E9">
        <w:rPr>
          <w:i/>
        </w:rPr>
        <w:fldChar w:fldCharType="end"/>
      </w:r>
    </w:p>
    <w:p w:rsidR="00947C45" w:rsidRPr="004F19E9" w:rsidRDefault="00947C45" w:rsidP="00947C45">
      <w:pPr>
        <w:rPr>
          <w:vanish/>
        </w:rPr>
      </w:pPr>
      <w:bookmarkStart w:id="3" w:name="Commission"/>
      <w:r w:rsidRPr="004F19E9">
        <w:rPr>
          <w:vanish/>
        </w:rPr>
        <w:t>Επιτροπή Ελέγχου του Προϋπολογισμού</w:t>
      </w:r>
      <w:bookmarkEnd w:id="3"/>
    </w:p>
    <w:p w:rsidR="00947C45" w:rsidRPr="004F19E9" w:rsidRDefault="00947C45" w:rsidP="00947C45">
      <w:pPr>
        <w:rPr>
          <w:vanish/>
        </w:rPr>
      </w:pPr>
      <w:bookmarkStart w:id="4" w:name="PE"/>
      <w:r w:rsidRPr="004F19E9">
        <w:rPr>
          <w:vanish/>
        </w:rPr>
        <w:t>PE753.517</w:t>
      </w:r>
      <w:bookmarkEnd w:id="4"/>
    </w:p>
    <w:p w:rsidR="00947C45" w:rsidRPr="004F19E9" w:rsidRDefault="006F265C" w:rsidP="00947C45">
      <w:pPr>
        <w:pStyle w:val="ATHeading3"/>
      </w:pPr>
      <w:bookmarkStart w:id="5" w:name="Sujet"/>
      <w:r>
        <w:t xml:space="preserve">1. </w:t>
      </w:r>
      <w:r w:rsidR="00947C45" w:rsidRPr="004F19E9">
        <w:t>Απόφαση του Ευρωπαϊκού Κοινοβουλίου</w:t>
      </w:r>
      <w:r w:rsidR="000859F5">
        <w:t xml:space="preserve"> της 11ης Απριλίου 2024</w:t>
      </w:r>
      <w:r w:rsidR="00947C45" w:rsidRPr="004F19E9">
        <w:t xml:space="preserve"> σχετικά με την απαλλαγή όσον αφορά την εκτέλεση του προϋπολογισμού του Ευρωπαϊκού Οργανισμού Περιβάλλοντος για το οικονομικό έτος 2022</w:t>
      </w:r>
      <w:bookmarkEnd w:id="5"/>
      <w:r w:rsidR="00947C45" w:rsidRPr="004F19E9">
        <w:t xml:space="preserve"> </w:t>
      </w:r>
      <w:bookmarkStart w:id="6" w:name="References"/>
      <w:r w:rsidR="00947C45" w:rsidRPr="004F19E9">
        <w:t>(2023/2149(DEC))</w:t>
      </w:r>
      <w:bookmarkEnd w:id="6"/>
    </w:p>
    <w:p w:rsidR="00AA2954" w:rsidRPr="004F19E9" w:rsidRDefault="00AA2954" w:rsidP="00AA2954">
      <w:pPr>
        <w:pStyle w:val="EPComma"/>
      </w:pPr>
      <w:bookmarkStart w:id="7" w:name="TextBodyBegin"/>
      <w:bookmarkEnd w:id="7"/>
      <w:r w:rsidRPr="004F19E9">
        <w:rPr>
          <w:i/>
        </w:rPr>
        <w:t>Το Ευρωπαϊκό Κοινοβούλιο</w:t>
      </w:r>
      <w:r w:rsidRPr="004F19E9">
        <w:t>,</w:t>
      </w:r>
    </w:p>
    <w:p w:rsidR="00AA2954" w:rsidRPr="004F19E9" w:rsidRDefault="00AA2954" w:rsidP="00AA2954">
      <w:pPr>
        <w:pStyle w:val="NormalHanging12a"/>
      </w:pPr>
      <w:r w:rsidRPr="004F19E9">
        <w:t>–</w:t>
      </w:r>
      <w:r w:rsidRPr="004F19E9">
        <w:tab/>
        <w:t>έχοντας υπόψη τους οριστικούς ετήσιους λογαριασμούς του Ευρωπαϊκού Οργανισμού Περιβάλλοντος για το οικονομικό έτος 2022,</w:t>
      </w:r>
    </w:p>
    <w:p w:rsidR="00AA2954" w:rsidRPr="004F19E9" w:rsidRDefault="00AA2954" w:rsidP="00AA2954">
      <w:pPr>
        <w:pStyle w:val="NormalHanging12a"/>
      </w:pPr>
      <w:r w:rsidRPr="004F19E9">
        <w:t>–</w:t>
      </w:r>
      <w:r w:rsidRPr="004F19E9">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4F19E9">
        <w:rPr>
          <w:rStyle w:val="FootnoteReference"/>
        </w:rPr>
        <w:footnoteReference w:id="1"/>
      </w:r>
      <w:r w:rsidRPr="004F19E9">
        <w:t>,</w:t>
      </w:r>
    </w:p>
    <w:p w:rsidR="00AA2954" w:rsidRPr="004F19E9" w:rsidRDefault="00AA2954" w:rsidP="00AA2954">
      <w:pPr>
        <w:pStyle w:val="NormalHanging12a"/>
      </w:pPr>
      <w:r w:rsidRPr="004F19E9">
        <w:t>–</w:t>
      </w:r>
      <w:r w:rsidRPr="004F19E9">
        <w:tab/>
        <w:t>έχοντας υπόψη τη δήλωση αξιοπιστίας</w:t>
      </w:r>
      <w:r w:rsidRPr="004F19E9">
        <w:rPr>
          <w:rStyle w:val="FootnoteReference"/>
        </w:rPr>
        <w:footnoteReference w:id="2"/>
      </w:r>
      <w:r w:rsidRPr="004F19E9">
        <w:t xml:space="preserve"> σχετικά με την ακρίβεια των λογαριασμών και τη νομιμότητα και κανονικότητα των σχετικών πράξεων, την οποία </w:t>
      </w:r>
      <w:proofErr w:type="spellStart"/>
      <w:r w:rsidRPr="004F19E9">
        <w:t>ενεχείρισε</w:t>
      </w:r>
      <w:proofErr w:type="spellEnd"/>
      <w:r w:rsidRPr="004F19E9">
        <w:t xml:space="preserve"> το Ελεγκτικό Συνέδριο για το οικονομικό έτος 2022, σύμφωνα με το άρθρο 287 της Συνθήκης για τη λειτουργία της Ευρωπαϊκής Ένωσης,</w:t>
      </w:r>
    </w:p>
    <w:p w:rsidR="00AA2954" w:rsidRPr="004F19E9" w:rsidRDefault="00AA2954" w:rsidP="00AA2954">
      <w:pPr>
        <w:pStyle w:val="NormalHanging12a"/>
      </w:pPr>
      <w:r w:rsidRPr="004F19E9">
        <w:t>–</w:t>
      </w:r>
      <w:r w:rsidRPr="004F19E9">
        <w:tab/>
        <w:t>έχοντας υπόψη τη σύσταση του Συμβουλίου, της 22ας Φεβρουαρίου 2024, σχετικά με την απαλλαγή της Υπηρεσίας όσον αφορά την εκτέλεση του προϋπολογισμού για το οικονομικό έτος 2022 (</w:t>
      </w:r>
      <w:r w:rsidR="001C6E7E" w:rsidRPr="004F19E9">
        <w:t>0</w:t>
      </w:r>
      <w:r w:rsidR="001C6E7E">
        <w:t>6180</w:t>
      </w:r>
      <w:r w:rsidRPr="004F19E9">
        <w:t>/2024 – C9</w:t>
      </w:r>
      <w:r w:rsidRPr="004F19E9">
        <w:noBreakHyphen/>
        <w:t>00</w:t>
      </w:r>
      <w:r w:rsidR="001C6E7E">
        <w:t>87</w:t>
      </w:r>
      <w:r w:rsidRPr="004F19E9">
        <w:t>/2024),</w:t>
      </w:r>
    </w:p>
    <w:p w:rsidR="00AA2954" w:rsidRPr="004F19E9" w:rsidRDefault="00AA2954" w:rsidP="00AA2954">
      <w:pPr>
        <w:pStyle w:val="NormalHanging12a"/>
      </w:pPr>
      <w:r w:rsidRPr="004F19E9">
        <w:t>–</w:t>
      </w:r>
      <w:r w:rsidRPr="004F19E9">
        <w:tab/>
        <w:t>έχοντας υπόψη το άρθρο 319 της Συνθήκης για τη λειτουργία της Ευρωπαϊκής Ένωσης,</w:t>
      </w:r>
    </w:p>
    <w:p w:rsidR="00AA2954" w:rsidRPr="004F19E9" w:rsidRDefault="00AA2954" w:rsidP="00AA2954">
      <w:pPr>
        <w:pStyle w:val="NormalHanging12a"/>
      </w:pPr>
      <w:r w:rsidRPr="004F19E9">
        <w:t>–</w:t>
      </w:r>
      <w:r w:rsidRPr="004F19E9">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4F19E9">
        <w:rPr>
          <w:rStyle w:val="FootnoteReference"/>
        </w:rPr>
        <w:footnoteReference w:id="3"/>
      </w:r>
      <w:r w:rsidRPr="004F19E9">
        <w:t>, και ιδίως το άρθρο 70,</w:t>
      </w:r>
    </w:p>
    <w:p w:rsidR="00AA2954" w:rsidRPr="004F19E9" w:rsidRDefault="00AA2954" w:rsidP="00AA2954">
      <w:pPr>
        <w:pStyle w:val="NormalHanging12a"/>
      </w:pPr>
      <w:r w:rsidRPr="004F19E9">
        <w:lastRenderedPageBreak/>
        <w:t>–</w:t>
      </w:r>
      <w:r w:rsidRPr="004F19E9">
        <w:tab/>
        <w:t>έχοντας υπόψη τον κανονισμό (ΕΚ) αριθ. 401/2009 του Ευρωπαϊκού Κοινοβουλίου και του Συμβουλίου, της 23ης Απριλίου 2009, για τον ευρωπαϊκό οργανισμό περιβάλλοντος και το ευρωπαϊκό δίκτυο πληροφοριών και παρατηρήσεων σχετικά με το περιβάλλον</w:t>
      </w:r>
      <w:r w:rsidRPr="004F19E9">
        <w:rPr>
          <w:rStyle w:val="FootnoteReference"/>
        </w:rPr>
        <w:footnoteReference w:id="4"/>
      </w:r>
      <w:r w:rsidRPr="004F19E9">
        <w:t>, και ιδίως το άρθρο 13,</w:t>
      </w:r>
    </w:p>
    <w:p w:rsidR="00AA2954" w:rsidRPr="004F19E9" w:rsidRDefault="00AA2954" w:rsidP="00AA2954">
      <w:pPr>
        <w:pStyle w:val="NormalHanging12a"/>
      </w:pPr>
      <w:r w:rsidRPr="004F19E9">
        <w:t>–</w:t>
      </w:r>
      <w:r w:rsidRPr="004F19E9">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4F19E9">
        <w:rPr>
          <w:rStyle w:val="FootnoteReference"/>
        </w:rPr>
        <w:footnoteReference w:id="5"/>
      </w:r>
      <w:r w:rsidRPr="004F19E9">
        <w:t>, και ιδίως το άρθρο 105,</w:t>
      </w:r>
    </w:p>
    <w:p w:rsidR="00AA2954" w:rsidRPr="004F19E9" w:rsidRDefault="00AA2954" w:rsidP="00AA2954">
      <w:pPr>
        <w:pStyle w:val="NormalHanging12a"/>
      </w:pPr>
      <w:r w:rsidRPr="004F19E9">
        <w:t>–</w:t>
      </w:r>
      <w:r w:rsidRPr="004F19E9">
        <w:tab/>
        <w:t>έχοντας υπόψη το άρθρο 100 και το παράρτημα V του Κανονισμού του,</w:t>
      </w:r>
    </w:p>
    <w:p w:rsidR="00AA2954" w:rsidRPr="004F19E9" w:rsidRDefault="00AA2954" w:rsidP="00AA2954">
      <w:pPr>
        <w:pStyle w:val="NormalHanging12a"/>
      </w:pPr>
      <w:r w:rsidRPr="004F19E9">
        <w:t>–</w:t>
      </w:r>
      <w:r w:rsidRPr="004F19E9">
        <w:tab/>
        <w:t>έχοντας υπόψη τη γνωμοδότηση της Επιτροπής Περιβάλλοντος, Δημόσιας Υγείας και Ασφάλειας των Τροφίμων,</w:t>
      </w:r>
    </w:p>
    <w:p w:rsidR="00AA2954" w:rsidRPr="004F19E9" w:rsidRDefault="00AA2954" w:rsidP="00AA2954">
      <w:pPr>
        <w:pStyle w:val="NormalHanging12a"/>
      </w:pPr>
      <w:r w:rsidRPr="004F19E9">
        <w:t>–</w:t>
      </w:r>
      <w:r w:rsidRPr="004F19E9">
        <w:tab/>
        <w:t>έχοντας υπόψη την έκθεση της Επιτροπής Ελέγχου του Προϋπολογισμού (A9-0130/2024),</w:t>
      </w:r>
    </w:p>
    <w:p w:rsidR="00AA2954" w:rsidRPr="004F19E9" w:rsidRDefault="00BB5799" w:rsidP="00BB5799">
      <w:pPr>
        <w:pStyle w:val="NormalHanging12a"/>
        <w:ind w:hanging="570"/>
      </w:pPr>
      <w:r w:rsidRPr="004F19E9">
        <w:t>1.</w:t>
      </w:r>
      <w:r w:rsidRPr="004F19E9">
        <w:tab/>
      </w:r>
      <w:r w:rsidR="00AA2954" w:rsidRPr="004F19E9">
        <w:t>χορηγεί απαλλαγή στην εκτελεστική διευθύντρια του Ευρωπαϊκού Οργανισμού Περιβάλλοντος όσον αφορά την εκτέλεση του προϋπολογισμού του Οργανισμού για το οικονομικό έτος 2022·</w:t>
      </w:r>
    </w:p>
    <w:p w:rsidR="00AA2954" w:rsidRPr="004F19E9" w:rsidRDefault="00BB5799" w:rsidP="00BB5799">
      <w:pPr>
        <w:pStyle w:val="NormalHanging12a"/>
        <w:ind w:hanging="570"/>
      </w:pPr>
      <w:r w:rsidRPr="004F19E9">
        <w:t>2.</w:t>
      </w:r>
      <w:r w:rsidRPr="004F19E9">
        <w:tab/>
      </w:r>
      <w:r w:rsidR="00AA2954" w:rsidRPr="004F19E9">
        <w:t>εκθέτει τις παρατηρήσεις του στο ψήφισμα που ακολουθεί·</w:t>
      </w:r>
    </w:p>
    <w:p w:rsidR="00AA2954" w:rsidRPr="004F19E9" w:rsidRDefault="00BB5799" w:rsidP="00BB5799">
      <w:pPr>
        <w:pStyle w:val="NormalHanging12a"/>
        <w:ind w:hanging="570"/>
      </w:pPr>
      <w:r w:rsidRPr="004F19E9">
        <w:t>3.</w:t>
      </w:r>
      <w:r w:rsidRPr="004F19E9">
        <w:tab/>
      </w:r>
      <w:r w:rsidR="00AA2954" w:rsidRPr="004F19E9">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Περιβάλλοντος, στο Συμβούλιο, στην Επιτροπή και στο Ελεγκτικό Συνέδριο, και να μεριμνήσει για τη δημοσίευσή τους στην </w:t>
      </w:r>
      <w:r w:rsidR="00AA2954" w:rsidRPr="004F19E9">
        <w:rPr>
          <w:i/>
        </w:rPr>
        <w:t>Επίσημη Εφημερίδα της Ευρωπαϊκής Ένωσης</w:t>
      </w:r>
      <w:r w:rsidR="00AA2954" w:rsidRPr="004F19E9">
        <w:t xml:space="preserve"> (σειρά L).</w:t>
      </w:r>
    </w:p>
    <w:p w:rsidR="00AA2954" w:rsidRPr="004F19E9" w:rsidRDefault="00AA2954" w:rsidP="00AA2954"/>
    <w:p w:rsidR="00AA2954" w:rsidRPr="004F19E9" w:rsidRDefault="00AA2954" w:rsidP="00AA2954">
      <w:pPr>
        <w:widowControl/>
        <w:rPr>
          <w:rFonts w:ascii="Arial" w:hAnsi="Arial" w:cs="Arial"/>
          <w:b/>
        </w:rPr>
        <w:sectPr w:rsidR="00AA2954" w:rsidRPr="004F19E9" w:rsidSect="004F19E9">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A2954" w:rsidRPr="004F19E9" w:rsidRDefault="006F265C" w:rsidP="006F265C">
      <w:pPr>
        <w:pStyle w:val="ATHeading3"/>
      </w:pPr>
      <w:r>
        <w:lastRenderedPageBreak/>
        <w:t>2. Απόφαση του Ευρωπαϊκού Κοινοβουλίου</w:t>
      </w:r>
      <w:r w:rsidR="000859F5">
        <w:t xml:space="preserve"> της 11ης Απριλίου 2024</w:t>
      </w:r>
      <w:r>
        <w:t xml:space="preserve"> </w:t>
      </w:r>
      <w:r w:rsidR="00AA2954" w:rsidRPr="004F19E9">
        <w:t>σχετικά με το κλείσιμο των λογαριασμών του Ευρωπαϊκού Οργανισμού Περιβάλλοντος για το οικονομικό έτος 2022</w:t>
      </w:r>
      <w:r>
        <w:t xml:space="preserve"> </w:t>
      </w:r>
      <w:r w:rsidR="00AA2954" w:rsidRPr="004F19E9">
        <w:t>(2023/2149(DEC))</w:t>
      </w:r>
    </w:p>
    <w:p w:rsidR="00AA2954" w:rsidRPr="004F19E9" w:rsidRDefault="00AA2954" w:rsidP="00AA2954">
      <w:pPr>
        <w:pStyle w:val="EPComma"/>
      </w:pPr>
      <w:r w:rsidRPr="004F19E9">
        <w:rPr>
          <w:i/>
        </w:rPr>
        <w:t>Το Ευρωπαϊκό Κοινοβούλιο</w:t>
      </w:r>
      <w:r w:rsidRPr="004F19E9">
        <w:t>,</w:t>
      </w:r>
    </w:p>
    <w:p w:rsidR="00AA2954" w:rsidRPr="004F19E9" w:rsidRDefault="00AA2954" w:rsidP="00AA2954">
      <w:pPr>
        <w:pStyle w:val="NormalHanging12a"/>
      </w:pPr>
      <w:r w:rsidRPr="004F19E9">
        <w:t>–</w:t>
      </w:r>
      <w:r w:rsidRPr="004F19E9">
        <w:tab/>
        <w:t>έχοντας υπόψη τους οριστικούς ετήσιους λογαριασμούς του Ευρωπαϊκού Οργανισμού Περιβάλλοντος για το οικονομικό έτος 2022,</w:t>
      </w:r>
    </w:p>
    <w:p w:rsidR="00AA2954" w:rsidRPr="004F19E9" w:rsidRDefault="00AA2954" w:rsidP="00AA2954">
      <w:pPr>
        <w:pStyle w:val="NormalHanging12a"/>
      </w:pPr>
      <w:r w:rsidRPr="004F19E9">
        <w:t>–</w:t>
      </w:r>
      <w:r w:rsidRPr="004F19E9">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4F19E9">
        <w:rPr>
          <w:rStyle w:val="FootnoteReference"/>
        </w:rPr>
        <w:footnoteReference w:id="6"/>
      </w:r>
      <w:r w:rsidRPr="004F19E9">
        <w:t>,</w:t>
      </w:r>
    </w:p>
    <w:p w:rsidR="00AA2954" w:rsidRPr="004F19E9" w:rsidRDefault="00AA2954" w:rsidP="00AA2954">
      <w:pPr>
        <w:pStyle w:val="NormalHanging12a"/>
      </w:pPr>
      <w:r w:rsidRPr="004F19E9">
        <w:t>–</w:t>
      </w:r>
      <w:r w:rsidRPr="004F19E9">
        <w:tab/>
        <w:t>έχοντας υπόψη τη δήλωση αξιοπιστίας</w:t>
      </w:r>
      <w:r w:rsidRPr="004F19E9">
        <w:rPr>
          <w:rStyle w:val="FootnoteReference"/>
        </w:rPr>
        <w:footnoteReference w:id="7"/>
      </w:r>
      <w:r w:rsidRPr="004F19E9">
        <w:t xml:space="preserve"> σχετικά με την ακρίβεια των λογαριασμών και τη νομιμότητα και κανονικότητα των σχετικών πράξεων, την οποία </w:t>
      </w:r>
      <w:proofErr w:type="spellStart"/>
      <w:r w:rsidRPr="004F19E9">
        <w:t>ενεχείρισε</w:t>
      </w:r>
      <w:proofErr w:type="spellEnd"/>
      <w:r w:rsidRPr="004F19E9">
        <w:t xml:space="preserve"> το Ελεγκτικό Συνέδριο για το οικονομικό έτος 2022, σύμφωνα με το άρθρο 287 της Συνθήκης για τη λειτουργία της Ευρωπαϊκής Ένωσης,</w:t>
      </w:r>
    </w:p>
    <w:p w:rsidR="00AA2954" w:rsidRPr="004F19E9" w:rsidRDefault="00AA2954" w:rsidP="00AA2954">
      <w:pPr>
        <w:pStyle w:val="NormalHanging12a"/>
      </w:pPr>
      <w:r w:rsidRPr="004F19E9">
        <w:t>–</w:t>
      </w:r>
      <w:r w:rsidRPr="004F19E9">
        <w:tab/>
        <w:t xml:space="preserve">έχοντας υπόψη τη σύσταση του Συμβουλίου, της 22ας Φεβρουαρίου 2024, σχετικά με την απαλλαγή </w:t>
      </w:r>
      <w:bookmarkStart w:id="8" w:name="_GoBack"/>
      <w:bookmarkEnd w:id="8"/>
      <w:r w:rsidRPr="004F19E9">
        <w:t>της Υπηρεσίας όσον αφορά την εκτέλεση του προϋπολογισμού για το οικονομικό έτος 2022 (</w:t>
      </w:r>
      <w:r w:rsidR="001C6E7E" w:rsidRPr="004F19E9">
        <w:t>0</w:t>
      </w:r>
      <w:r w:rsidR="001C6E7E">
        <w:t>618</w:t>
      </w:r>
      <w:r w:rsidR="00C079EF">
        <w:t>0</w:t>
      </w:r>
      <w:r w:rsidRPr="004F19E9">
        <w:t>/2024 – C9</w:t>
      </w:r>
      <w:r w:rsidRPr="004F19E9">
        <w:noBreakHyphen/>
      </w:r>
      <w:r w:rsidR="001C6E7E" w:rsidRPr="004F19E9">
        <w:t>00</w:t>
      </w:r>
      <w:r w:rsidR="001C6E7E">
        <w:t>87</w:t>
      </w:r>
      <w:r w:rsidRPr="004F19E9">
        <w:t>/2024),</w:t>
      </w:r>
    </w:p>
    <w:p w:rsidR="00AA2954" w:rsidRPr="004F19E9" w:rsidRDefault="00AA2954" w:rsidP="00AA2954">
      <w:pPr>
        <w:pStyle w:val="NormalHanging12a"/>
      </w:pPr>
      <w:r w:rsidRPr="004F19E9">
        <w:t>–</w:t>
      </w:r>
      <w:r w:rsidRPr="004F19E9">
        <w:tab/>
        <w:t>έχοντας υπόψη το άρθρο 319 της Συνθήκης για τη λειτουργία της Ευρωπαϊκής Ένωσης,</w:t>
      </w:r>
    </w:p>
    <w:p w:rsidR="00AA2954" w:rsidRPr="004F19E9" w:rsidRDefault="00AA2954" w:rsidP="00AA2954">
      <w:pPr>
        <w:pStyle w:val="NormalHanging12a"/>
      </w:pPr>
      <w:r w:rsidRPr="004F19E9">
        <w:t>–</w:t>
      </w:r>
      <w:r w:rsidRPr="004F19E9">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4F19E9">
        <w:rPr>
          <w:rStyle w:val="FootnoteReference"/>
        </w:rPr>
        <w:footnoteReference w:id="8"/>
      </w:r>
      <w:r w:rsidRPr="004F19E9">
        <w:t>, και ιδίως το άρθρο 70,</w:t>
      </w:r>
    </w:p>
    <w:p w:rsidR="00AA2954" w:rsidRPr="004F19E9" w:rsidRDefault="00AA2954" w:rsidP="00AA2954">
      <w:pPr>
        <w:pStyle w:val="NormalHanging12a"/>
      </w:pPr>
      <w:r w:rsidRPr="004F19E9">
        <w:t>–</w:t>
      </w:r>
      <w:r w:rsidRPr="004F19E9">
        <w:tab/>
        <w:t>έχοντας υπόψη τον κανονισμό (ΕΚ) αριθ. 401/2009 του Ευρωπαϊκού Κοινοβουλίου και του Συμβουλίου, της 23ης Απριλίου 2009, για τον ευρωπαϊκό οργανισμό περιβάλλοντος και το ευρωπαϊκό δίκτυο πληροφοριών και παρατηρήσεων σχετικά με το περιβάλλον</w:t>
      </w:r>
      <w:r w:rsidRPr="004F19E9">
        <w:rPr>
          <w:rStyle w:val="FootnoteReference"/>
        </w:rPr>
        <w:footnoteReference w:id="9"/>
      </w:r>
      <w:r w:rsidRPr="004F19E9">
        <w:t>, και ιδίως το άρθρο 13,</w:t>
      </w:r>
    </w:p>
    <w:p w:rsidR="00AA2954" w:rsidRPr="004F19E9" w:rsidRDefault="00AA2954" w:rsidP="00AA2954">
      <w:pPr>
        <w:pStyle w:val="NormalHanging12a"/>
      </w:pPr>
      <w:r w:rsidRPr="004F19E9">
        <w:t>–</w:t>
      </w:r>
      <w:r w:rsidRPr="004F19E9">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4F19E9">
        <w:rPr>
          <w:rStyle w:val="FootnoteReference"/>
        </w:rPr>
        <w:footnoteReference w:id="10"/>
      </w:r>
      <w:r w:rsidRPr="004F19E9">
        <w:t>, και ιδίως το άρθρο 105,</w:t>
      </w:r>
    </w:p>
    <w:p w:rsidR="00AA2954" w:rsidRPr="004F19E9" w:rsidRDefault="00AA2954" w:rsidP="00AA2954">
      <w:pPr>
        <w:pStyle w:val="NormalHanging12a"/>
      </w:pPr>
      <w:r w:rsidRPr="004F19E9">
        <w:t>–</w:t>
      </w:r>
      <w:r w:rsidRPr="004F19E9">
        <w:tab/>
        <w:t>έχοντας υπόψη το άρθρο 100 και το παράρτημα V του Κανονισμού του,</w:t>
      </w:r>
    </w:p>
    <w:p w:rsidR="00AA2954" w:rsidRPr="004F19E9" w:rsidRDefault="00AA2954" w:rsidP="00AA2954">
      <w:pPr>
        <w:pStyle w:val="NormalHanging12a"/>
      </w:pPr>
      <w:r w:rsidRPr="004F19E9">
        <w:t>–</w:t>
      </w:r>
      <w:r w:rsidRPr="004F19E9">
        <w:tab/>
        <w:t xml:space="preserve">έχοντας υπόψη τη γνωμοδότηση της Επιτροπής Περιβάλλοντος, Δημόσιας Υγείας και </w:t>
      </w:r>
      <w:r w:rsidRPr="004F19E9">
        <w:lastRenderedPageBreak/>
        <w:t>Ασφάλειας των Τροφίμων,</w:t>
      </w:r>
    </w:p>
    <w:p w:rsidR="00AA2954" w:rsidRPr="004F19E9" w:rsidRDefault="00AA2954" w:rsidP="00AA2954">
      <w:pPr>
        <w:pStyle w:val="NormalHanging12a"/>
      </w:pPr>
      <w:r w:rsidRPr="004F19E9">
        <w:t>–</w:t>
      </w:r>
      <w:r w:rsidRPr="004F19E9">
        <w:tab/>
        <w:t>έχοντας υπόψη την έκθεση της Επιτροπής Ελέγχου του Προϋπολογισμού (A9-0130/2024),</w:t>
      </w:r>
    </w:p>
    <w:p w:rsidR="00AA2954" w:rsidRPr="004F19E9" w:rsidRDefault="00BB5799" w:rsidP="00BB5799">
      <w:pPr>
        <w:pStyle w:val="NormalHanging12a"/>
        <w:ind w:hanging="570"/>
      </w:pPr>
      <w:r w:rsidRPr="004F19E9">
        <w:t>1.</w:t>
      </w:r>
      <w:r w:rsidRPr="004F19E9">
        <w:tab/>
      </w:r>
      <w:r w:rsidR="00AA2954" w:rsidRPr="004F19E9">
        <w:t>εγκρίνει το κλείσιμο των λογαριασμών του Ευρωπαϊκού Οργανισμού Περιβάλλοντος για το οικονομικό έτος 2022·</w:t>
      </w:r>
    </w:p>
    <w:p w:rsidR="00AA2954" w:rsidRPr="004F19E9" w:rsidRDefault="00BB5799" w:rsidP="00BB5799">
      <w:pPr>
        <w:pStyle w:val="NormalHanging12a"/>
        <w:ind w:hanging="570"/>
      </w:pPr>
      <w:r w:rsidRPr="004F19E9">
        <w:t>2.</w:t>
      </w:r>
      <w:r w:rsidRPr="004F19E9">
        <w:tab/>
      </w:r>
      <w:r w:rsidR="00AA2954" w:rsidRPr="004F19E9">
        <w:t xml:space="preserve">αναθέτει στην Πρόεδρό του να διαβιβάσει την παρούσα απόφαση στην εκτελεστική διευθύντρια του Ευρωπαϊκού Οργανισμού Περιβάλλοντος, στο Συμβούλιο, στην Επιτροπή και στο Ελεγκτικό Συνέδριο, και να μεριμνήσει για τη δημοσίευσή της στην </w:t>
      </w:r>
      <w:r w:rsidR="00AA2954" w:rsidRPr="004F19E9">
        <w:rPr>
          <w:i/>
        </w:rPr>
        <w:t>Επίσημη Εφημερίδα της Ευρωπαϊκής Ένωσης</w:t>
      </w:r>
      <w:r w:rsidR="00AA2954" w:rsidRPr="004F19E9">
        <w:t xml:space="preserve"> (σειρά L).</w:t>
      </w:r>
    </w:p>
    <w:p w:rsidR="00AA2954" w:rsidRPr="004F19E9" w:rsidRDefault="00AA2954" w:rsidP="00AA2954"/>
    <w:p w:rsidR="00AA2954" w:rsidRPr="004F19E9" w:rsidRDefault="00AA2954" w:rsidP="00AA2954">
      <w:pPr>
        <w:widowControl/>
        <w:rPr>
          <w:rFonts w:ascii="Arial" w:hAnsi="Arial" w:cs="Arial"/>
          <w:b/>
        </w:rPr>
        <w:sectPr w:rsidR="00AA2954" w:rsidRPr="004F19E9" w:rsidSect="004F19E9">
          <w:footnotePr>
            <w:numRestart w:val="eachPage"/>
          </w:footnotePr>
          <w:endnotePr>
            <w:numFmt w:val="decimal"/>
          </w:endnotePr>
          <w:pgSz w:w="11906" w:h="16838"/>
          <w:pgMar w:top="1134" w:right="1418" w:bottom="1418" w:left="1418" w:header="567" w:footer="567" w:gutter="0"/>
          <w:cols w:space="720"/>
          <w:docGrid w:linePitch="326"/>
        </w:sectPr>
      </w:pPr>
    </w:p>
    <w:p w:rsidR="00AA2954" w:rsidRPr="004F19E9" w:rsidRDefault="006F265C" w:rsidP="006F265C">
      <w:pPr>
        <w:pStyle w:val="ATHeading3"/>
      </w:pPr>
      <w:r>
        <w:lastRenderedPageBreak/>
        <w:t xml:space="preserve">3. Ψήφισμα του Ευρωπαϊκού Κοινοβουλίου </w:t>
      </w:r>
      <w:r w:rsidR="000859F5">
        <w:t xml:space="preserve"> της 11ης Απριλίου 2024 </w:t>
      </w:r>
      <w:r w:rsidR="00AA2954" w:rsidRPr="004F19E9">
        <w:t>με τις παρατηρήσεις που αποτελούν αναπόσπαστο μέρος της απόφασης σχετικά με την απαλλαγή όσον αφορά την εκτέλεση του προϋπολογισμού του Ευρωπαϊκού Οργανισμού Περιβάλλοντος για το οικονομικό έτος 2022</w:t>
      </w:r>
      <w:r>
        <w:t xml:space="preserve"> </w:t>
      </w:r>
      <w:r w:rsidR="00AA2954" w:rsidRPr="004F19E9">
        <w:t>(2023/2149(DEC))</w:t>
      </w:r>
    </w:p>
    <w:p w:rsidR="00AA2954" w:rsidRPr="004F19E9" w:rsidRDefault="00AA2954" w:rsidP="00AA2954">
      <w:pPr>
        <w:pStyle w:val="EPComma"/>
      </w:pPr>
      <w:r w:rsidRPr="004F19E9">
        <w:rPr>
          <w:i/>
        </w:rPr>
        <w:t>Το Ευρωπαϊκό Κοινοβούλιο</w:t>
      </w:r>
      <w:r w:rsidRPr="004F19E9">
        <w:t>,</w:t>
      </w:r>
    </w:p>
    <w:p w:rsidR="00AA2954" w:rsidRPr="004F19E9" w:rsidRDefault="00AA2954" w:rsidP="00AA2954">
      <w:pPr>
        <w:pStyle w:val="NormalHanging12a"/>
      </w:pPr>
      <w:r w:rsidRPr="004F19E9">
        <w:t>–</w:t>
      </w:r>
      <w:r w:rsidRPr="004F19E9">
        <w:tab/>
        <w:t>έχοντας υπόψη την απόφασή του σχετικά με την απαλλαγή όσον αφορά την εκτέλεση του προϋπολογισμού του Ευρωπαϊκού Οργανισμού Περιβάλλοντος για το οικονομικό έτος 2022,</w:t>
      </w:r>
    </w:p>
    <w:p w:rsidR="00AA2954" w:rsidRPr="004F19E9" w:rsidRDefault="00AA2954" w:rsidP="00AA2954">
      <w:pPr>
        <w:pStyle w:val="NormalHanging12a"/>
      </w:pPr>
      <w:r w:rsidRPr="004F19E9">
        <w:t>–</w:t>
      </w:r>
      <w:r w:rsidRPr="004F19E9">
        <w:tab/>
        <w:t>έχοντας υπόψη το άρθρο 100 και το παράρτημα V του Κανονισμού του,</w:t>
      </w:r>
    </w:p>
    <w:p w:rsidR="00AA2954" w:rsidRPr="004F19E9" w:rsidRDefault="00AA2954" w:rsidP="00AA2954">
      <w:pPr>
        <w:pStyle w:val="NormalHanging12a"/>
      </w:pPr>
      <w:r w:rsidRPr="004F19E9">
        <w:t>–</w:t>
      </w:r>
      <w:r w:rsidRPr="004F19E9">
        <w:tab/>
        <w:t>έχοντας υπόψη τη γνωμοδότηση της Επιτροπής Περιβάλλοντος, Δημόσιας Υγείας και Ασφάλειας των Τροφίμων,</w:t>
      </w:r>
    </w:p>
    <w:p w:rsidR="00AA2954" w:rsidRPr="004F19E9" w:rsidRDefault="00AA2954" w:rsidP="00AA2954">
      <w:pPr>
        <w:pStyle w:val="NormalHanging12a"/>
      </w:pPr>
      <w:r w:rsidRPr="004F19E9">
        <w:t>–</w:t>
      </w:r>
      <w:r w:rsidRPr="004F19E9">
        <w:tab/>
        <w:t>έχοντας υπόψη την έκθεση της Επιτροπής Ελέγχου του Προϋπολογισμού (A9-0130/2024),</w:t>
      </w:r>
    </w:p>
    <w:p w:rsidR="00AA2954" w:rsidRPr="004F19E9" w:rsidRDefault="00AA2954" w:rsidP="00AA2954">
      <w:pPr>
        <w:widowControl/>
        <w:spacing w:after="240"/>
        <w:ind w:left="567" w:hanging="567"/>
        <w:rPr>
          <w:szCs w:val="24"/>
        </w:rPr>
      </w:pPr>
      <w:r w:rsidRPr="004F19E9">
        <w:t>Α.</w:t>
      </w:r>
      <w:r w:rsidRPr="004F19E9">
        <w:tab/>
        <w:t>λαμβάνοντας υπόψη ότι, σύμφωνα με την κατάσταση εσόδων και δαπανών του</w:t>
      </w:r>
      <w:r w:rsidRPr="004F19E9">
        <w:rPr>
          <w:rStyle w:val="FootnoteReference"/>
          <w:szCs w:val="24"/>
        </w:rPr>
        <w:footnoteReference w:id="11"/>
      </w:r>
      <w:r w:rsidRPr="004F19E9">
        <w:t>, ο οριστικός προϋπολογισμός του Ευρωπαϊκού Οργανισμού Περιβάλλοντος (</w:t>
      </w:r>
      <w:r w:rsidR="00A07EBE">
        <w:t>ο «</w:t>
      </w:r>
      <w:r w:rsidRPr="004F19E9">
        <w:t>Οργανισμός</w:t>
      </w:r>
      <w:r w:rsidR="00A07EBE">
        <w:t>»</w:t>
      </w:r>
      <w:r w:rsidRPr="004F19E9">
        <w:t>) για το οικονομικό έτος 2022 ήταν 88 173 021 EUR, που συνιστά αύξηση κατά 35,93 % σε σύγκριση με το 2021· λαμβάνοντας υπόψη ότι ο προϋπολογισμός του Οργανισμού προέρχεται από τον προϋπολογισμό της Ένωσης και τη συνεισφορά της ΕΖΕΣ (63,32 %) και από τις συνεισφορές στο πλαίσιο ειδικών συμφωνιών (36,67 %)·</w:t>
      </w:r>
    </w:p>
    <w:p w:rsidR="00AA2954" w:rsidRPr="004F19E9" w:rsidRDefault="00AA2954" w:rsidP="00AA2954">
      <w:pPr>
        <w:widowControl/>
        <w:spacing w:after="240"/>
        <w:ind w:left="567" w:hanging="567"/>
        <w:rPr>
          <w:szCs w:val="24"/>
        </w:rPr>
      </w:pPr>
      <w:r w:rsidRPr="004F19E9">
        <w:t>Β.</w:t>
      </w:r>
      <w:r w:rsidRPr="004F19E9">
        <w:tab/>
        <w:t>λαμβάνοντας υπόψη ότι, στην έκθεσή του για τους ετήσιους λογαριασμούς του Οργανισμού για το οικονομικό έτος 2022 (</w:t>
      </w:r>
      <w:r w:rsidR="00A07EBE">
        <w:t>«</w:t>
      </w:r>
      <w:r w:rsidRPr="004F19E9">
        <w:t>έκθεση του Ελεγκτικού Συνεδρίου</w:t>
      </w:r>
      <w:r w:rsidR="00A07EBE">
        <w:t>»</w:t>
      </w:r>
      <w:r w:rsidRPr="004F19E9">
        <w:t>), το Ελεγκτικό Συνέδριο δηλώνει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AA2954" w:rsidRPr="004F19E9" w:rsidRDefault="00AA2954" w:rsidP="00AA2954">
      <w:pPr>
        <w:widowControl/>
        <w:spacing w:after="240"/>
        <w:ind w:left="567" w:hanging="567"/>
        <w:rPr>
          <w:szCs w:val="24"/>
        </w:rPr>
      </w:pPr>
      <w:r w:rsidRPr="004F19E9">
        <w:t>Γ.</w:t>
      </w:r>
      <w:r w:rsidRPr="004F19E9">
        <w:tab/>
        <w:t>λαμβάνοντας υπόψη ότι, όσον αφορά τον τομέα των δημόσιων συμβάσεων του Οργανισμού,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AA2954" w:rsidRPr="004F19E9" w:rsidRDefault="00AA2954" w:rsidP="00AA2954">
      <w:pPr>
        <w:widowControl/>
        <w:spacing w:after="240"/>
        <w:ind w:left="567" w:hanging="567"/>
        <w:rPr>
          <w:b/>
          <w:i/>
          <w:szCs w:val="24"/>
        </w:rPr>
      </w:pPr>
      <w:r w:rsidRPr="004F19E9">
        <w:rPr>
          <w:b/>
          <w:i/>
        </w:rPr>
        <w:t>Δημοσιονομική και χρηματοοικονομική διαχείριση</w:t>
      </w:r>
    </w:p>
    <w:p w:rsidR="00AA2954" w:rsidRPr="00BB5799" w:rsidRDefault="00BB5799" w:rsidP="00BB5799">
      <w:pPr>
        <w:widowControl/>
        <w:spacing w:after="240"/>
        <w:ind w:left="567" w:hanging="573"/>
        <w:rPr>
          <w:szCs w:val="24"/>
        </w:rPr>
      </w:pPr>
      <w:r w:rsidRPr="006F265C">
        <w:rPr>
          <w:szCs w:val="24"/>
        </w:rPr>
        <w:t>1.</w:t>
      </w:r>
      <w:r w:rsidRPr="006F265C">
        <w:rPr>
          <w:szCs w:val="24"/>
        </w:rPr>
        <w:tab/>
      </w:r>
      <w:r w:rsidR="00AA2954" w:rsidRPr="004F19E9">
        <w:t>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του προϋπολογισμού 100 % για τις πιστώσεις αναλήψεων υποχρεώσεων του τρέχοντος έτους, το ίδιο με το 2021· σημειώνει ότι το ποσοστό εκτέλεσης των πιστώσεων πληρωμών του τρέχοντος έτους ήταν 86,66 %, που συνιστά αύξηση κατά 1,75 % σε σύγκριση με το 2021·</w:t>
      </w:r>
    </w:p>
    <w:p w:rsidR="00AA2954" w:rsidRPr="00BB5799" w:rsidRDefault="00BB5799" w:rsidP="00BB5799">
      <w:pPr>
        <w:widowControl/>
        <w:spacing w:after="240"/>
        <w:ind w:left="567" w:hanging="573"/>
        <w:rPr>
          <w:szCs w:val="24"/>
        </w:rPr>
      </w:pPr>
      <w:r w:rsidRPr="006F265C">
        <w:rPr>
          <w:szCs w:val="24"/>
        </w:rPr>
        <w:lastRenderedPageBreak/>
        <w:t>2.</w:t>
      </w:r>
      <w:r w:rsidRPr="006F265C">
        <w:rPr>
          <w:szCs w:val="24"/>
        </w:rPr>
        <w:tab/>
      </w:r>
      <w:r w:rsidR="00AA2954" w:rsidRPr="004F19E9">
        <w:t>σημειώνει ότι το Ελεγκτικό Συνέδριο, στην έκθεσή του το 2021, κατέληξε στο συμπέρασμα ότι η χρήση διαδικασίας με διαπραγμάτευση χωρίς προηγούμενη δημοσίευση για την τροποποίηση σύμβασης-πλαισίου με διπλασιασμό του αρχικού προϋπολογισμού σε 1 εκατομμύριο EUR ήταν παράτυπη και, ως εκ τούτου, όλες οι επακόλουθες πληρωμές που πραγματοποιήθηκαν στο πλαίσιο της εν λόγω διαδικασίας είναι παράτυπες· σημειώνει, επιπλέον, ότι η σύμβαση έληξε τον Δεκέμβριο του 2022 και ότι οι σχετικές πληρωμές του 2022 ανήλθαν σε 470 660 EUR· σημειώνει ότι αυτή η παρατήρηση του Ελεγκτικού συνεδρίου έχει ήδη διευθετηθεί·</w:t>
      </w:r>
    </w:p>
    <w:p w:rsidR="00AA2954" w:rsidRPr="004F19E9" w:rsidRDefault="00AA2954" w:rsidP="00AA2954">
      <w:pPr>
        <w:widowControl/>
        <w:spacing w:after="240"/>
        <w:ind w:left="567" w:hanging="567"/>
        <w:rPr>
          <w:szCs w:val="24"/>
        </w:rPr>
      </w:pPr>
      <w:r w:rsidRPr="004F19E9">
        <w:rPr>
          <w:b/>
          <w:i/>
        </w:rPr>
        <w:t>Επιδόσεις</w:t>
      </w:r>
    </w:p>
    <w:p w:rsidR="00AA2954" w:rsidRPr="00BB5799" w:rsidRDefault="00BB5799" w:rsidP="00BB5799">
      <w:pPr>
        <w:widowControl/>
        <w:spacing w:after="240"/>
        <w:ind w:left="715" w:hanging="573"/>
        <w:rPr>
          <w:szCs w:val="24"/>
        </w:rPr>
      </w:pPr>
      <w:r w:rsidRPr="006F265C">
        <w:rPr>
          <w:szCs w:val="24"/>
        </w:rPr>
        <w:t>3.</w:t>
      </w:r>
      <w:r w:rsidRPr="006F265C">
        <w:rPr>
          <w:szCs w:val="24"/>
        </w:rPr>
        <w:tab/>
      </w:r>
      <w:r w:rsidR="00AA2954" w:rsidRPr="004F19E9">
        <w:t xml:space="preserve">σημειώνει ότι το πλαίσιο επιδόσεων του Οργανισμού διαρθρώνεται γύρω από πέντε στόχους επιδόσεων που παρακολουθούνται μέσω 17 πολυετών βασικών δεικτών επιδόσεων (ΒΔΕ), οι οποίοι περιλαμβάνουν, μεταξύ άλλων, το ποσοστό πληρότητας του προσωπικού, την εκτέλεση του προϋπολογισμού και την υλοποίηση του ετήσιου προγράμματος εργασίας· παρατηρεί ότι το ποσοστό παράδοσης του ετήσιου προγράμματος εργασίας όσον αφορά τις βασικές εκθέσεις και αξιολογήσεις ανήλθε στο 95 % και το 96 % </w:t>
      </w:r>
      <w:r w:rsidR="000851B8">
        <w:t xml:space="preserve">αντίστοιχα </w:t>
      </w:r>
      <w:r w:rsidR="00AA2954" w:rsidRPr="004F19E9">
        <w:t xml:space="preserve">όσον αφορά τους </w:t>
      </w:r>
      <w:proofErr w:type="spellStart"/>
      <w:r w:rsidR="00AA2954" w:rsidRPr="004F19E9">
        <w:t>επικαιροποιημένους</w:t>
      </w:r>
      <w:proofErr w:type="spellEnd"/>
      <w:r w:rsidR="00AA2954" w:rsidRPr="004F19E9">
        <w:t xml:space="preserve"> βασικούς δείκτες, αμφότερα πάνω από τον στόχο που ορίστηκε στο 90 %· σημειώνει τους δείκτες που δεν έχουν ακόμα επιτευχθεί ή υστερούν·</w:t>
      </w:r>
    </w:p>
    <w:p w:rsidR="00AA2954" w:rsidRPr="004F19E9" w:rsidRDefault="00BB5799" w:rsidP="00BB5799">
      <w:pPr>
        <w:pStyle w:val="NormalHanging12a"/>
        <w:ind w:left="715" w:hanging="573"/>
      </w:pPr>
      <w:r w:rsidRPr="004F19E9">
        <w:t>4.</w:t>
      </w:r>
      <w:r w:rsidRPr="004F19E9">
        <w:tab/>
      </w:r>
      <w:r w:rsidR="00AA2954" w:rsidRPr="004F19E9">
        <w:t>επικροτεί το γεγονός ότι, το 2022, ο Οργανισμός συνέχισε να διαδραματίζει καίριο ρόλο στην καθοδήγηση δράσεων για τη στήριξη του περιβάλλοντος, ανταποκρινόμενος στους στόχους της Ευρωπαϊκής Πράσινης Συμφωνίας και του όγδοου προγράμματος δράσης για το περιβάλλον, καθώς και στις συνολικές φιλοδοξίες και τις παγκόσμιες δεσμεύσεις της Ευρώπης· εκφράζει την ικανοποίησή του για το γεγονός ότι ο Οργανισμός συνέχισε να υλοποιεί τις συμφωνηθείσες δράσεις και καθήκοντα και ανέλαβε νέα για τη στήριξη της πράσινης μετάβασης και της εφαρμογής του ευρωπαϊκού νόμου για το κλίμα, συνδέοντας παράλληλα τις δράσεις με τη στρατηγική της ΕΕ για την προσαρμογή στην κλιματική αλλαγή· σημειώνει, επιπλέον, ότι ήταν το δεύτερο έτος εφαρμογής της στρατηγικής του Ευρωπαϊκού δικτύου πληροφοριών και παρατηρήσεων σχετικά με το περιβάλλον (</w:t>
      </w:r>
      <w:proofErr w:type="spellStart"/>
      <w:r w:rsidR="00AA2954" w:rsidRPr="004F19E9">
        <w:t>Eionet</w:t>
      </w:r>
      <w:proofErr w:type="spellEnd"/>
      <w:r w:rsidR="00AA2954" w:rsidRPr="004F19E9">
        <w:t>) 2021-2030, η οποία έχει ως στόχο να παράσχει στους υπεύθυνους χάραξης πολιτικής της Ένωσης και στο κοινό τις βέλτιστες διαθέσιμες γνώσεις με σκοπό την επίτευξη των περιβαλλοντικών στόχων και των στόχων βιωσιμότητας·</w:t>
      </w:r>
    </w:p>
    <w:p w:rsidR="00AA2954" w:rsidRPr="00BB5799" w:rsidRDefault="00BB5799" w:rsidP="00BB5799">
      <w:pPr>
        <w:widowControl/>
        <w:spacing w:after="240"/>
        <w:ind w:left="715" w:hanging="573"/>
        <w:rPr>
          <w:szCs w:val="24"/>
        </w:rPr>
      </w:pPr>
      <w:r w:rsidRPr="006F265C">
        <w:rPr>
          <w:szCs w:val="24"/>
        </w:rPr>
        <w:t>5.</w:t>
      </w:r>
      <w:r w:rsidRPr="006F265C">
        <w:rPr>
          <w:szCs w:val="24"/>
        </w:rPr>
        <w:tab/>
      </w:r>
      <w:r w:rsidR="00AA2954" w:rsidRPr="004F19E9">
        <w:t>παρατηρεί ότι το 2022, εν μέσω κυμάτων καύσωνα, ξηρασιών και δασικών πυρκαγιών που έπληξαν μεγάλα τμήματα της Ευρώπης, και με την ήπειρο να βιώνει το θερμότερο καλοκαίρι που έχει καταγραφεί ποτέ, έγινε αναφορά του Οργανισμού σε 27 000 διαδικτυακά άρθρα ενώ πολλά μέλη του προσωπικού έδωσαν συνεντεύξεις σε μέσα ενημέρωσης σε ολόκληρη την Ευρώπη λόγω έντονου ενδιαφέροντος αυτών των μέσων, με έμφαση στα αίτια και τις συνέπειες των ακραίων καιρικών συνθηκών·</w:t>
      </w:r>
    </w:p>
    <w:p w:rsidR="00AA2954" w:rsidRPr="004F19E9" w:rsidRDefault="00BB5799" w:rsidP="00BB5799">
      <w:pPr>
        <w:pStyle w:val="NormalHanging12a"/>
        <w:ind w:left="715" w:hanging="573"/>
      </w:pPr>
      <w:r w:rsidRPr="004F19E9">
        <w:t>6.</w:t>
      </w:r>
      <w:r w:rsidRPr="004F19E9">
        <w:tab/>
      </w:r>
      <w:r w:rsidR="00AA2954" w:rsidRPr="004F19E9">
        <w:t>υπενθυμίζει ότι το 2022 ο Οργανισμός ανέλαβε νέα καθήκοντα για τη στήριξη της πράσινης μετάβασης και της εφαρμογής του ευρωπαϊκού νόμου για το κλίμα, όπως η σύσταση της Ευρωπαϊκής Επιστημονικής Συμβουλευτικής Επιτροπής για την Κλιματική Αλλαγή, συνδέοντας παράλληλα τις δράσεις με τη στρατηγική της ΕΕ για την προσαρμογή, αυξάνοντας τον ρόλο του Οργανισμού στη στήριξη της επίτευξης των στόχων της Ευρώπης για το κλίμα· εκτιμά τη στήριξη που παρέχει ο Οργανισμός στα μέλη της Επιτροπής Περιβάλλοντος, Δημόσιας Υγείας και Ασφάλειας των Τροφίμων (ENVI) του Κοινοβουλίου με επιστημονικά τεκμηριωμένα και επικαιροποιημένα δεδομένα και πληροφορίες·</w:t>
      </w:r>
    </w:p>
    <w:p w:rsidR="00AA2954" w:rsidRPr="004F19E9" w:rsidRDefault="00BB5799" w:rsidP="00BB5799">
      <w:pPr>
        <w:pStyle w:val="NormalHanging12a"/>
        <w:ind w:left="715" w:hanging="573"/>
      </w:pPr>
      <w:r w:rsidRPr="004F19E9">
        <w:t>7.</w:t>
      </w:r>
      <w:r w:rsidRPr="004F19E9">
        <w:tab/>
      </w:r>
      <w:r w:rsidR="00AA2954" w:rsidRPr="004F19E9">
        <w:t>επικροτεί τη θέσπιση, το 2022, νέου Ευρωπαϊκού Θεματικού Κέντρου για τη Βιοποικιλότητα και τα Οικοσυστήματα για την περίοδο 2023-2026·</w:t>
      </w:r>
    </w:p>
    <w:p w:rsidR="00AA2954" w:rsidRPr="004F19E9" w:rsidRDefault="00AA2954" w:rsidP="00AA2954">
      <w:pPr>
        <w:widowControl/>
        <w:spacing w:after="240"/>
        <w:ind w:left="567" w:hanging="567"/>
        <w:rPr>
          <w:b/>
          <w:i/>
        </w:rPr>
      </w:pPr>
      <w:r w:rsidRPr="004F19E9">
        <w:rPr>
          <w:b/>
          <w:i/>
        </w:rPr>
        <w:t>Αποδοτικότητα και οφέλη</w:t>
      </w:r>
    </w:p>
    <w:p w:rsidR="00AA2954" w:rsidRPr="004F19E9" w:rsidRDefault="00BB5799" w:rsidP="00BB5799">
      <w:pPr>
        <w:widowControl/>
        <w:spacing w:after="240"/>
        <w:ind w:left="567" w:hanging="573"/>
      </w:pPr>
      <w:r w:rsidRPr="004F19E9">
        <w:t>8.</w:t>
      </w:r>
      <w:r w:rsidRPr="004F19E9">
        <w:tab/>
      </w:r>
      <w:r w:rsidR="00AA2954" w:rsidRPr="004F19E9">
        <w:t>υπενθυμίζει ότι, σύμφωνα με την προσέγγιση των τελευταίων ετών, το 2022 ο Οργανισμός συνέχισε να επιδιώκει τη βελτίωση της αποδοτικότητας μέσω της ανταλλαγής υπηρεσιών με την Επιτροπή, άλλους οργανισμούς της Ένωσης και το Δίκτυο των Οργανισμών της ΕΕ (EUAN) — Κοινή Υπηρεσία Υποστήριξης στις Βρυξέλλες· σημειώνει ότι, ακολουθώντας την πρακτική αυτή, ο Οργανισμός έχει πραγματοποιήσει κοινές προμήθειες με τις υπηρεσίες της Επιτροπής και το EUAN, είτε αναθέτοντας συμβάσεις-πλαίσια που χρησιμοποιούνται επίσης από την Επιτροπή και άλλους οργανισμούς της Ένωσης και στα όποια ήταν επικεφαλής είτε χρησιμοποιώντας συμβάσεις-πλαίσια υπό την ηγεσία άλλων·</w:t>
      </w:r>
    </w:p>
    <w:p w:rsidR="00AA2954" w:rsidRPr="004F19E9" w:rsidRDefault="00BB5799" w:rsidP="00BB5799">
      <w:pPr>
        <w:widowControl/>
        <w:spacing w:after="240"/>
        <w:ind w:left="567" w:hanging="573"/>
      </w:pPr>
      <w:r w:rsidRPr="004F19E9">
        <w:t>9.</w:t>
      </w:r>
      <w:r w:rsidRPr="004F19E9">
        <w:tab/>
      </w:r>
      <w:r w:rsidR="00AA2954" w:rsidRPr="004F19E9">
        <w:t xml:space="preserve">σημειώνει ότι ο Οργανισμός χρησιμοποιεί επίσης διάφορες υπηρεσίες της Επιτροπής (π.χ. μισθοδοσία, ασφάλεια ΤΠ) και συστήματα (π.χ. ABAC, </w:t>
      </w:r>
      <w:proofErr w:type="spellStart"/>
      <w:r w:rsidR="00AA2954" w:rsidRPr="004F19E9">
        <w:t>Sysper</w:t>
      </w:r>
      <w:proofErr w:type="spellEnd"/>
      <w:r w:rsidR="00AA2954" w:rsidRPr="004F19E9">
        <w:t xml:space="preserve">, </w:t>
      </w:r>
      <w:proofErr w:type="spellStart"/>
      <w:r w:rsidR="00AA2954" w:rsidRPr="004F19E9">
        <w:t>Ares</w:t>
      </w:r>
      <w:proofErr w:type="spellEnd"/>
      <w:r w:rsidR="00AA2954" w:rsidRPr="004F19E9">
        <w:t>, e-</w:t>
      </w:r>
      <w:proofErr w:type="spellStart"/>
      <w:r w:rsidR="00AA2954" w:rsidRPr="004F19E9">
        <w:t>Prior</w:t>
      </w:r>
      <w:proofErr w:type="spellEnd"/>
      <w:r w:rsidR="00AA2954" w:rsidRPr="004F19E9">
        <w:t xml:space="preserve">), παράλληλα με τη βελτίωση της αποδοτικότητας που συνδέεται με την αυξημένη χρήση ηλεκτρονικών εργαλείων για τη στήριξη των διοικητικών διαδικασιών, μεταξύ άλλων στον τομέα των δημόσιων συμβάσεων, των οικονομικών και των ανθρώπινων πόρων· σημειώνει επίσης ότι ως απάντηση στους περιορισμούς που σχετίζονται με την πανδημία </w:t>
      </w:r>
      <w:r w:rsidR="000859F5">
        <w:t xml:space="preserve">της </w:t>
      </w:r>
      <w:r w:rsidR="00AA2954" w:rsidRPr="004F19E9">
        <w:t>COVID-19, ο Οργανισμός εισήγαγε διαδικτυακές προσλήψεις, υποστηριζόμενες από την υλοποίηση μιας πλατφόρμας προσλήψεων (</w:t>
      </w:r>
      <w:proofErr w:type="spellStart"/>
      <w:r w:rsidR="00AA2954" w:rsidRPr="004F19E9">
        <w:t>Systal</w:t>
      </w:r>
      <w:proofErr w:type="spellEnd"/>
      <w:r w:rsidR="00AA2954" w:rsidRPr="004F19E9">
        <w:t>), η οποία του έδωσε τη δυνατότητα να ολοκληρώσει μεγάλο αριθμό διαδικασιών προσλήψεων τόσο 2021 όσο και το 2022, με αποτέλεσμα χαμηλό ποσοστό κενών θέσεων στο τέλος του έτους·</w:t>
      </w:r>
    </w:p>
    <w:p w:rsidR="00AA2954" w:rsidRPr="00BB5799" w:rsidRDefault="00BB5799" w:rsidP="00BB5799">
      <w:pPr>
        <w:widowControl/>
        <w:spacing w:after="240"/>
        <w:ind w:left="567" w:hanging="573"/>
        <w:rPr>
          <w:szCs w:val="24"/>
        </w:rPr>
      </w:pPr>
      <w:r w:rsidRPr="006F265C">
        <w:rPr>
          <w:szCs w:val="24"/>
        </w:rPr>
        <w:t>10.</w:t>
      </w:r>
      <w:r w:rsidRPr="006F265C">
        <w:rPr>
          <w:szCs w:val="24"/>
        </w:rPr>
        <w:tab/>
      </w:r>
      <w:r w:rsidR="00AA2954" w:rsidRPr="004F19E9">
        <w:t>σημειώνει, επιπλέον, ότι η συνέχιση της στροφής του Οργανισμού στην εργασία βάσει δραστηριοτήτων έχει συμβάλει στη βελτίωση της αποδοτικότητας όσον αφορά τη δυναμική και ευέλικτη χρήση των ανακαινισμένων χώρων γραφείων, επιπλέον της διευρυμένης δυνατότητας τηλεργασίας για το προσωπικό του Οργανισμού· σημειώνει επίσης με ικανοποίηση ότι ο Οργανισμός έχει καθιερώσει τη χρήση μόνο κινητών τηλεφώνων, γεγονός που έχει οδηγήσει σε σημαντική εξοικονόμηση στο τηλεφωνικό κόστος·</w:t>
      </w:r>
    </w:p>
    <w:p w:rsidR="00AA2954" w:rsidRPr="004F19E9" w:rsidRDefault="00BB5799" w:rsidP="00BB5799">
      <w:pPr>
        <w:pStyle w:val="NormalHanging12a"/>
        <w:ind w:hanging="573"/>
      </w:pPr>
      <w:r w:rsidRPr="004F19E9">
        <w:t>11.</w:t>
      </w:r>
      <w:r w:rsidRPr="004F19E9">
        <w:tab/>
      </w:r>
      <w:r w:rsidR="00AA2954" w:rsidRPr="004F19E9">
        <w:t xml:space="preserve">υπενθυμίζει τη σημασία να αυξηθεί η ψηφιοποίηση του Οργανισμού όσον αφορά την εσωτερική λειτουργία και διαχείριση, αλλά και προκειμένου να επιταχυνθεί η ψηφιοποίηση των διαδικασιών· τονίζει την ανάγκη να συνεχίσει ο Οργανισμός να είναι προορατικός εν προκειμένω, ώστε να αποφευχθεί το ψηφιακό χάσμα μεταξύ των οργανισμών της Ένωσης· </w:t>
      </w:r>
      <w:proofErr w:type="spellStart"/>
      <w:r w:rsidR="00AA2954" w:rsidRPr="004F19E9">
        <w:t>εφιστά</w:t>
      </w:r>
      <w:proofErr w:type="spellEnd"/>
      <w:r w:rsidR="00AA2954" w:rsidRPr="004F19E9">
        <w:t>, ωστόσο, την προσοχή στην ανάγκη να ληφθούν όλα τα απαραίτητα μέτρα ασφάλειας ώστε να αποφευχθεί κάθε κίνδυνος για τη διαδικτυακή ασφάλεια των πληροφοριών που υποβάλλονται σε επεξεργασία· επιμένει στην ανάγκη να ενισχυθεί η δράση κατά των κυβερνοεπιθέσεων ή των προσπαθειών διείσδυσης, ιδίως όσων προέρχονται από τη Ρωσία ή την Κίνα·</w:t>
      </w:r>
    </w:p>
    <w:p w:rsidR="00AA2954" w:rsidRPr="004F19E9" w:rsidRDefault="00BB5799" w:rsidP="00BB5799">
      <w:pPr>
        <w:pStyle w:val="NormalHanging12a"/>
        <w:ind w:hanging="573"/>
      </w:pPr>
      <w:r w:rsidRPr="004F19E9">
        <w:t>12.</w:t>
      </w:r>
      <w:r w:rsidRPr="004F19E9">
        <w:tab/>
      </w:r>
      <w:r w:rsidR="00AA2954" w:rsidRPr="004F19E9">
        <w:t>καλεί τον Οργανισμό να συνεχίσει να προωθεί τη συνεργασία με άλλους οργανισμούς της Ένωσης και διεθνείς οργανώσεις, και να ενθαρρύνει τον διάλογο με συμφεροντούχους και πολίτες·</w:t>
      </w:r>
    </w:p>
    <w:p w:rsidR="00AA2954" w:rsidRPr="004F19E9" w:rsidRDefault="00AA2954" w:rsidP="00AA2954">
      <w:pPr>
        <w:widowControl/>
        <w:spacing w:after="240"/>
        <w:ind w:left="567" w:hanging="567"/>
        <w:rPr>
          <w:b/>
          <w:i/>
          <w:szCs w:val="24"/>
        </w:rPr>
      </w:pPr>
      <w:r w:rsidRPr="004F19E9">
        <w:rPr>
          <w:b/>
          <w:i/>
        </w:rPr>
        <w:t>Πολιτική προσωπικού</w:t>
      </w:r>
    </w:p>
    <w:p w:rsidR="00AA2954" w:rsidRPr="00BB5799" w:rsidRDefault="00BB5799" w:rsidP="00BB5799">
      <w:pPr>
        <w:widowControl/>
        <w:spacing w:after="240"/>
        <w:ind w:left="567" w:hanging="573"/>
        <w:rPr>
          <w:b/>
          <w:i/>
          <w:szCs w:val="24"/>
        </w:rPr>
      </w:pPr>
      <w:r w:rsidRPr="006F265C">
        <w:rPr>
          <w:szCs w:val="24"/>
        </w:rPr>
        <w:t>13.</w:t>
      </w:r>
      <w:r w:rsidRPr="006F265C">
        <w:rPr>
          <w:szCs w:val="24"/>
        </w:rPr>
        <w:tab/>
      </w:r>
      <w:r w:rsidR="00AA2954" w:rsidRPr="004F19E9">
        <w:t xml:space="preserve">σημειώνει ότι, στις 31 Δεκεμβρίου 2022, το ποσοστό εκτέλεσης του οργανογράμματος ανερχόταν σε 97,33 % και ότι από τις 150 θέσεις που είχαν εγκριθεί στον προϋπολογισμό της Ένωσης (σε σύγκριση με 140 εγκεκριμένες θέσεις το 2021) καλύπτονταν οι τρεις με μόνιμους και οι 143 με έκτακτους υπαλλήλους· σημειώνει ότι, επιπλέον, το 2022 εργάστηκαν για τον Οργανισμό 84 συμβασιούχοι υπάλληλοι και 13 αποσπασμένοι εθνικοί εμπειρογνώμονες· σημειώνει ότι, από το 2021 έως το 2023, το οργανόγραμμα που εγκρίθηκε στο πλαίσιο του προϋπολογισμού της Ένωσης αυξήθηκε σε 25 έκτακτους υπαλλήλους και 14 συμβασιούχους υπαλλήλους για την αντιμετώπιση των νέων καθηκόντων που απορρέουν από την Ευρωπαϊκή Επιστημονική Συμβουλευτική Επιτροπή για την Κλιματική Αλλαγή, τον κανονισμό LULUCF, την οδηγία </w:t>
      </w:r>
      <w:proofErr w:type="spellStart"/>
      <w:r w:rsidR="00AA2954" w:rsidRPr="004F19E9">
        <w:t>Seveso</w:t>
      </w:r>
      <w:proofErr w:type="spellEnd"/>
      <w:r w:rsidR="00AA2954" w:rsidRPr="004F19E9">
        <w:t xml:space="preserve"> και τη νομοθεσία για την αποκατάσταση της φύσης·</w:t>
      </w:r>
    </w:p>
    <w:p w:rsidR="00AA2954" w:rsidRPr="004F19E9" w:rsidRDefault="00BB5799" w:rsidP="00BB5799">
      <w:pPr>
        <w:pStyle w:val="NormalHanging12a"/>
        <w:ind w:hanging="573"/>
      </w:pPr>
      <w:r w:rsidRPr="004F19E9">
        <w:t>14.</w:t>
      </w:r>
      <w:r w:rsidRPr="004F19E9">
        <w:tab/>
      </w:r>
      <w:r w:rsidR="00AA2954" w:rsidRPr="004F19E9">
        <w:t>εκφράζει τη λύπη του για την ανισοκατανομή των φύλων στην ανώτερη διοίκηση του Οργανισμού, όπου έξι από τις εννέα θέσεις (67 %) καταλαμβάνονται από άνδρες· σημειώνει με ικανοποίηση την εκπροσώπηση των φύλων στο διοικητικό συμβούλιο του Οργανισμού, όπου 18 από τα 36 μέλη (50 %) είναι άνδρες· σημειώνει την εκπροσώπηση των φύλων στο συνολικό προσωπικό του Οργανισμού, όπου 118 από τα 221 μέλη του προσωπικού (53 %) είναι γυναίκες· ζητεί από τον Οργανισμό να εξασφαλίσει μελλοντικά την ισόρροπη εκπροσώπηση των φύλων σε επίπεδο ανώτερων διευθυντικών στελεχών· σημειώνει ότι ο Οργανισμός δεν έχει εγκρίνει τον «Χάρτη για τη διαφορετικότητα και τη συμπερίληψη» και ενθαρρύνει τον Οργανισμό να τον εγκρίνει και να συμμετάσχει ενεργά σε πρωτοβουλίες που προάγουν τη διαφορετικότητα και τη συμπερίληψη στον χώρο εργασίας·</w:t>
      </w:r>
    </w:p>
    <w:p w:rsidR="00AA2954" w:rsidRPr="004F19E9" w:rsidRDefault="00BB5799" w:rsidP="00BB5799">
      <w:pPr>
        <w:pStyle w:val="NormalHanging12a"/>
        <w:ind w:hanging="573"/>
      </w:pPr>
      <w:r w:rsidRPr="004F19E9">
        <w:t>15.</w:t>
      </w:r>
      <w:r w:rsidRPr="004F19E9">
        <w:tab/>
      </w:r>
      <w:r w:rsidR="00AA2954" w:rsidRPr="004F19E9">
        <w:t>εκφράζει ανησυχίες σχετικά με τη γεωγραφική ισορροπία στις ανώτερες και μεσαίες διοικητικές θέσεις του Οργανισμού, καθώς κανένα μέλος του εν λόγω διοικητικού προσωπικού δεν προέρχεται από την κεντρική και ανατολική Ευρώπη· επιμένει ότι πρέπει να γίνουν βελτιώσεις· ζητεί από τον Οργανισμό να υποβάλει σχετική έκθεση στην αρμόδια για την απαλλαγή αρχή·</w:t>
      </w:r>
    </w:p>
    <w:p w:rsidR="00AA2954" w:rsidRPr="004F19E9" w:rsidRDefault="00BB5799" w:rsidP="00BB5799">
      <w:pPr>
        <w:pStyle w:val="NormalHanging12a"/>
        <w:ind w:hanging="573"/>
      </w:pPr>
      <w:r w:rsidRPr="004F19E9">
        <w:t>16.</w:t>
      </w:r>
      <w:r w:rsidRPr="004F19E9">
        <w:tab/>
      </w:r>
      <w:r w:rsidR="00AA2954" w:rsidRPr="004F19E9">
        <w:t>επικροτεί το γεγονός ότι ο Οργανισμός διαθέτει συντονιστή ευημερίας και έχει επιτελέσει σημαντικό έργο για την ευαισθητοποίηση και τη θέσπιση διαδικασιών για την επιστροφή του προσωπικού μετά από μακροχρόνια απουσία ενώ, σε περίπτωση που χρειαστεί, παρέχεται επαγγελματική βοήθεια στο προσωπικό μέσω του ιατρικού συμβούλου·</w:t>
      </w:r>
    </w:p>
    <w:p w:rsidR="00AA2954" w:rsidRPr="00BB5799" w:rsidRDefault="00BB5799" w:rsidP="00BB5799">
      <w:pPr>
        <w:widowControl/>
        <w:spacing w:after="240"/>
        <w:ind w:left="567" w:hanging="573"/>
        <w:rPr>
          <w:szCs w:val="24"/>
        </w:rPr>
      </w:pPr>
      <w:r w:rsidRPr="006F265C">
        <w:rPr>
          <w:szCs w:val="24"/>
        </w:rPr>
        <w:t>17.</w:t>
      </w:r>
      <w:r w:rsidRPr="006F265C">
        <w:rPr>
          <w:szCs w:val="24"/>
        </w:rPr>
        <w:tab/>
      </w:r>
      <w:r w:rsidR="00AA2954" w:rsidRPr="004F19E9">
        <w:t>παρατηρεί ότι, για να μειωθεί ο κίνδυνος επαγγελματικής εξουθένωσης, ο Οργανισμός έχει εισαγάγει μια εφαρμογή παρακολούθησης του άγχους (που ονομάζεται «</w:t>
      </w:r>
      <w:proofErr w:type="spellStart"/>
      <w:r w:rsidR="00AA2954" w:rsidRPr="004F19E9">
        <w:t>Howdy</w:t>
      </w:r>
      <w:proofErr w:type="spellEnd"/>
      <w:r w:rsidR="00AA2954" w:rsidRPr="004F19E9">
        <w:t>») από κοινού με τον πάροχο υγείας των μελών του προσωπικού· σημειώνει ότι τα μέλη του προσωπικού έχουν εγγραφεί στην εφαρμογή και ότι απαντούν τακτικά σε σειρά ερωτήσεων προκειμένου να παρακολουθούν τα επίπεδα άγχους τους, σε περίπτωση δε αύξησης των επιπέδων άγχους επικοινωνεί μαζί τους ιατρικός ψυχολόγος για να συζητήσουν τα αποτελέσματα· σημειώνει ότι το προσωπικό μπορεί να συμβουλεύεται ψυχολόγο από τον ιατρικό πάροχο του Οργανισμού έως και τρεις φορές για την αντιμετώπιση προβλημάτων· τονίζει ότι όλη η διαδικασία είναι ανώνυμη και ότι μόνο στατιστικά στοιχεία διαβιβάζονται στον Οργανισμό·</w:t>
      </w:r>
    </w:p>
    <w:p w:rsidR="00AA2954" w:rsidRPr="004F19E9" w:rsidRDefault="00BB5799" w:rsidP="00BB5799">
      <w:pPr>
        <w:pStyle w:val="NormalHanging12a"/>
        <w:ind w:hanging="573"/>
      </w:pPr>
      <w:r w:rsidRPr="004F19E9">
        <w:t>18.</w:t>
      </w:r>
      <w:r w:rsidRPr="004F19E9">
        <w:tab/>
      </w:r>
      <w:r w:rsidR="00AA2954" w:rsidRPr="004F19E9">
        <w:t>σημειώνει ότι ο Οργανισμός εφαρμόζει πολιτική για την προστασία της αξιοπρέπειας του ατόμου και την πρόληψη της ψυχολογικής και σεξουαλικής παρενόχλησης, ενώ συμμετέχει και στη διυπηρεσιακή ειδική ομάδα εμπιστευτικών συμβούλων· προσβλέπει στην παραλαβή της έκθεσης και των συστάσεών τους· σημειώνει ότι δεν υπήρξαν αναφορές περιστατικών παρενόχλησης το 2022, και ενθαρρύνει τον Οργανισμό να συνεχίσει τις καλές επιδόσεις του εν προκειμένω και να λάβει μέτρα για την πρόληψη τέτοιων περιστατικών και στο μέλλον·</w:t>
      </w:r>
    </w:p>
    <w:p w:rsidR="00AA2954" w:rsidRPr="004F19E9" w:rsidRDefault="00BB5799" w:rsidP="00BB5799">
      <w:pPr>
        <w:widowControl/>
        <w:spacing w:after="240"/>
        <w:ind w:left="567" w:hanging="573"/>
      </w:pPr>
      <w:r w:rsidRPr="004F19E9">
        <w:t>19.</w:t>
      </w:r>
      <w:r w:rsidRPr="004F19E9">
        <w:tab/>
      </w:r>
      <w:r w:rsidR="00AA2954" w:rsidRPr="004F19E9">
        <w:t xml:space="preserve">σημειώνει με ανησυχία ότι, παρά τον πολυετή χαρακτήρα των καθηκόντων του Οργανισμού, υπάρχει ανισορροπία όσον αφορά τον αριθμό των μόνιμων έναντι των επί </w:t>
      </w:r>
      <w:proofErr w:type="spellStart"/>
      <w:r w:rsidR="00AA2954" w:rsidRPr="004F19E9">
        <w:t>συμβάσει</w:t>
      </w:r>
      <w:proofErr w:type="spellEnd"/>
      <w:r w:rsidR="00AA2954" w:rsidRPr="004F19E9">
        <w:t xml:space="preserve"> θέσεων, καθώς και του επιχειρησιακού προσωπικού έναντι του προσωπικού υποστήριξης, με αποτέλεσμα να υπάρχει συνεχής ανάγκη για </w:t>
      </w:r>
      <w:proofErr w:type="spellStart"/>
      <w:r w:rsidR="00AA2954" w:rsidRPr="004F19E9">
        <w:t>επανειδίκευση</w:t>
      </w:r>
      <w:proofErr w:type="spellEnd"/>
      <w:r w:rsidR="00AA2954" w:rsidRPr="004F19E9">
        <w:t>, καθώς και υπερβολικός φόρτος διοικητικών εργασιών για τους επιστήμονες· καλεί τον Οργανισμό να επανεξετάσει την πολιτική στελέχωσής του· θεωρεί ότι, λαμβανομένης υπόψη της σημαντικής αύξησης του φόρτου εργασίας και για την ορθή εκτέλεση των καθηκόντων που σχετίζονται με τους στόχους της Ένωσης, μεταξύ άλλων, για την κλιματική ουδετερότητα, την κυκλική οικονομία και την αποκατάσταση της φύσης, ο αριθμός του προσωπικού του Οργανισμού θα πρέπει να συνεχίσει να αυξάνεται σημαντικά τα επόμενα έτη·</w:t>
      </w:r>
    </w:p>
    <w:p w:rsidR="00AA2954" w:rsidRPr="004F19E9" w:rsidRDefault="00AA2954" w:rsidP="00AA2954">
      <w:pPr>
        <w:widowControl/>
        <w:spacing w:after="240"/>
        <w:ind w:left="567" w:hanging="567"/>
        <w:rPr>
          <w:b/>
          <w:i/>
          <w:szCs w:val="24"/>
        </w:rPr>
      </w:pPr>
      <w:r w:rsidRPr="004F19E9">
        <w:rPr>
          <w:b/>
          <w:i/>
        </w:rPr>
        <w:t>Πρόληψη και διαχείριση συγκρούσεων συμφερόντων, καθώς και διαφάνεια</w:t>
      </w:r>
    </w:p>
    <w:p w:rsidR="00AA2954" w:rsidRPr="00BB5799" w:rsidRDefault="00BB5799" w:rsidP="00BB5799">
      <w:pPr>
        <w:widowControl/>
        <w:spacing w:after="240"/>
        <w:ind w:left="567" w:hanging="567"/>
        <w:rPr>
          <w:rFonts w:eastAsiaTheme="minorHAnsi"/>
          <w:szCs w:val="24"/>
        </w:rPr>
      </w:pPr>
      <w:r w:rsidRPr="006F265C">
        <w:rPr>
          <w:rFonts w:eastAsiaTheme="minorHAnsi"/>
          <w:szCs w:val="24"/>
        </w:rPr>
        <w:t>20.</w:t>
      </w:r>
      <w:r w:rsidRPr="006F265C">
        <w:rPr>
          <w:rFonts w:eastAsiaTheme="minorHAnsi"/>
          <w:szCs w:val="24"/>
        </w:rPr>
        <w:tab/>
      </w:r>
      <w:r w:rsidR="00AA2954" w:rsidRPr="004F19E9">
        <w:t xml:space="preserve">υπενθυμίζει ότι τα ανώτερα διοικητικά στελέχη και τα μέλη του διοικητικού συμβουλίου θα πρέπει να υποβάλλουν δήλωση συμφερόντων η οποία θα δημοσιεύεται στον ιστότοπο του Οργανισμού· σημειώνει ότι τα ανώτερα διοικητικά στελέχη θα πρέπει, στο πλαίσιο του διαλόγου για την εξέλιξη της σταδιοδρομίας, να επικαιροποιούν τις πληροφορίες σχετικά με τη σύγκρουση συμφερόντων βάσει υπεύθυνης δήλωσης (στο πλαίσιο της </w:t>
      </w:r>
      <w:proofErr w:type="spellStart"/>
      <w:r w:rsidR="00AA2954" w:rsidRPr="004F19E9">
        <w:t>αυτοαξιολόγησης</w:t>
      </w:r>
      <w:proofErr w:type="spellEnd"/>
      <w:r w:rsidR="00AA2954" w:rsidRPr="004F19E9">
        <w:t>), στην οποία τα ανώτερα διοικητικά στελέχη, ως μέλη του προσωπικού, θα πρέπει να δηλώνουν αν έχουν αναλάβει ή πρόκειται να αναλάβουν νέες δεσμεύσεις ή δραστηριότητες που θα μπορούσαν να οδηγήσουν σε πιθανή σύγκρουση συμφερόντων· παρατηρεί ότι, κατά την οριστικοποίηση του σχεδίου εξέλιξης της σταδιοδρομίας, ο άμεσος προϊστάμενος θα πρέπει να προσδιορίζει τη δική του εκτίμηση σχετικά με το ζήτημα της σύγκρουσης συμφερόντων· επισημαίνει ότι το 2022 δεν εντοπίστηκαν περιπτώσεις σύγκρουσης συμφερόντων·</w:t>
      </w:r>
    </w:p>
    <w:p w:rsidR="00AA2954" w:rsidRPr="00BB5799" w:rsidRDefault="00BB5799" w:rsidP="00BB5799">
      <w:pPr>
        <w:widowControl/>
        <w:spacing w:after="240"/>
        <w:ind w:left="567" w:hanging="567"/>
        <w:rPr>
          <w:szCs w:val="24"/>
        </w:rPr>
      </w:pPr>
      <w:r w:rsidRPr="006F265C">
        <w:rPr>
          <w:szCs w:val="24"/>
        </w:rPr>
        <w:t>21.</w:t>
      </w:r>
      <w:r w:rsidRPr="006F265C">
        <w:rPr>
          <w:szCs w:val="24"/>
        </w:rPr>
        <w:tab/>
      </w:r>
      <w:r w:rsidR="00AA2954" w:rsidRPr="004F19E9">
        <w:t>σημειώνει ότι ο Οργανισμός εξακολουθεί να παρακολουθεί τα βιογραφικά σημειώματα και τις δηλώσεις συμφερόντων που υποβάλλονται για τα μέλη του διοικητικού συμβουλίου και τα ανώτερα διοικητικά στελέχη και να τα δημοσιεύει στον ιστότοπό του·</w:t>
      </w:r>
    </w:p>
    <w:p w:rsidR="00AA2954" w:rsidRPr="00BB5799" w:rsidRDefault="00BB5799" w:rsidP="00BB5799">
      <w:pPr>
        <w:spacing w:after="240"/>
        <w:ind w:left="567" w:hanging="567"/>
        <w:rPr>
          <w:szCs w:val="24"/>
        </w:rPr>
      </w:pPr>
      <w:r w:rsidRPr="006F265C">
        <w:rPr>
          <w:szCs w:val="24"/>
        </w:rPr>
        <w:t>22.</w:t>
      </w:r>
      <w:r w:rsidRPr="006F265C">
        <w:rPr>
          <w:szCs w:val="24"/>
        </w:rPr>
        <w:tab/>
      </w:r>
      <w:r w:rsidR="00AA2954" w:rsidRPr="004F19E9">
        <w:t>σημειώνει ότι, σύμφωνα με τις παρατηρήσεις σχετικά με την παρακολούθηση της απαλλαγής για το 2021, ο Οργανισμός επανεξετάζει επί του παρόντος την πολιτική του σχετικά με την πρόληψη και τη διαχείριση συγκρούσεων συμφερόντων, προκειμένου να αξιολογήσει την καταλληλότητα και τη συνάφειά της, ακολουθώντας μια προσέγγιση βάσει κινδύνου· σημειώνει ότι, στο πλαίσιο αυτό, ο Οργανισμός θα εξετάσει τους μηχανισμούς εσωτερικού ελέγχου και καταπολέμησης της διαφθοράς και θα προβεί σε προσαρμογές σε τυχόν κενά που μπορεί να εντοπίσει· καλεί τον Οργανισμό να υποβάλει έκθεση στην αρμόδια για την απαλλαγή αρχή σχετικά με τα αποτελέσματα της ανωτέρω αξιολόγησης·</w:t>
      </w:r>
    </w:p>
    <w:p w:rsidR="00AA2954" w:rsidRPr="004F19E9" w:rsidRDefault="00BB5799" w:rsidP="00BB5799">
      <w:pPr>
        <w:pStyle w:val="NormalHanging12a"/>
      </w:pPr>
      <w:r w:rsidRPr="004F19E9">
        <w:t>23.</w:t>
      </w:r>
      <w:r w:rsidRPr="004F19E9">
        <w:tab/>
      </w:r>
      <w:r w:rsidR="00AA2954" w:rsidRPr="004F19E9">
        <w:t>Αναγνωρίζει την επιτευχθείσα προβολή του Οργανισμού· είναι της γνώμης ότι εξακολουθεί να υπάρχει περιθώριο για μεγαλύτερη προβολή στα μέσα ενημέρωσης, στο διαδίκτυο και στα μέσα κοινωνικής δικτύωσης, ώστε να έχουν οι πολίτες επίγνωση του έργου του και των κινδύνων για το περιβάλλον μας·</w:t>
      </w:r>
    </w:p>
    <w:p w:rsidR="00AA2954" w:rsidRPr="004F19E9" w:rsidRDefault="00AA2954" w:rsidP="00AA2954">
      <w:pPr>
        <w:widowControl/>
        <w:spacing w:after="240"/>
        <w:ind w:left="567" w:hanging="567"/>
        <w:rPr>
          <w:b/>
          <w:i/>
          <w:szCs w:val="24"/>
        </w:rPr>
      </w:pPr>
      <w:r w:rsidRPr="004F19E9">
        <w:rPr>
          <w:b/>
          <w:i/>
        </w:rPr>
        <w:t>Εσωτερικός έλεγχος</w:t>
      </w:r>
    </w:p>
    <w:p w:rsidR="00AA2954" w:rsidRPr="00BB5799" w:rsidRDefault="00BB5799" w:rsidP="00BB5799">
      <w:pPr>
        <w:widowControl/>
        <w:spacing w:after="240"/>
        <w:ind w:left="567" w:hanging="573"/>
        <w:rPr>
          <w:szCs w:val="24"/>
        </w:rPr>
      </w:pPr>
      <w:r w:rsidRPr="006F265C">
        <w:rPr>
          <w:szCs w:val="24"/>
        </w:rPr>
        <w:t>24.</w:t>
      </w:r>
      <w:r w:rsidRPr="006F265C">
        <w:rPr>
          <w:szCs w:val="24"/>
        </w:rPr>
        <w:tab/>
      </w:r>
      <w:r w:rsidR="00AA2954" w:rsidRPr="004F19E9">
        <w:t>σημειώνει ότι, το 2022, ο Οργανισμός συνέχισε να εργάζεται για τις διαρθρωτικές αλλαγές στους τρόπους εργασίας του που δρομολογήθηκαν το 2021· σημειώνει ότι, μόλις εφαρμοστούν πλήρως οι αλλαγές, θα δοθεί πλήρης προσοχή στην επικαιροποίηση της τεκμηρίωσης των διαδικασιών, η οποία θα αντιμετωπίσει τις αδυναμίες που εντοπίστηκαν στο πλαίσιο εσωτερικού ελέγχου του Οργανισμού· σημειώνει ότι η προσέγγιση του Οργανισμού όσον αφορά τη διαχείριση κινδύνων συμμορφώνεται εν μέρει, καθώς εντοπίζει και αναλύει τους κινδύνους σε ολόκληρο τον οργανισμό, αλλά ο συστηματικός εντοπισμός, η αξιολόγηση και η παρακολούθηση των κινδύνων σε επίπεδο ομάδας έργου ήταν περιορισμένα·</w:t>
      </w:r>
    </w:p>
    <w:p w:rsidR="00AA2954" w:rsidRPr="00BB5799" w:rsidRDefault="00BB5799" w:rsidP="00BB5799">
      <w:pPr>
        <w:widowControl/>
        <w:spacing w:after="240"/>
        <w:ind w:left="567" w:hanging="573"/>
        <w:rPr>
          <w:szCs w:val="24"/>
        </w:rPr>
      </w:pPr>
      <w:r w:rsidRPr="006F265C">
        <w:rPr>
          <w:szCs w:val="24"/>
        </w:rPr>
        <w:t>25.</w:t>
      </w:r>
      <w:r w:rsidRPr="006F265C">
        <w:rPr>
          <w:szCs w:val="24"/>
        </w:rPr>
        <w:tab/>
      </w:r>
      <w:r w:rsidR="00AA2954" w:rsidRPr="004F19E9">
        <w:t xml:space="preserve">παρατηρεί ότι οι δραστηριότητες ελέγχου για τον μετριασμό των κινδύνων συμμορφώνονται επίσης εν μέρει, καθώς, λόγω διαρθρωτικών αλλαγών το 2022, είναι παρωχημένες· σημειώνει ότι η πολιτική του Ευρωπαϊκού Θεματικού Κέντρου και η πολιτική για τις επιχορηγήσεις είναι επίσης παρωχημένες, δεδομένης της αλλαγής στη δομή επαλήθευσης που τέθηκε σε εφαρμογή το 2022· όσον αφορά τα σχέδια επιχειρησιακής συνέχειας, έχουν μεν τεθεί σε εφαρμογή και έχουν χρησιμοποιηθεί αποτελεσματικά κατά τη διάρκεια κρίσεων, πλην όμως τα μέτρα τους είναι διάσπαρτα σε διάφορα έγγραφα και δεν έχουν </w:t>
      </w:r>
      <w:proofErr w:type="spellStart"/>
      <w:r w:rsidR="00AA2954" w:rsidRPr="004F19E9">
        <w:t>επικαιροποιηθεί</w:t>
      </w:r>
      <w:proofErr w:type="spellEnd"/>
      <w:r w:rsidR="00AA2954" w:rsidRPr="004F19E9">
        <w:t xml:space="preserve"> ώστε να αντικατοπτρίζουν νέους τρόπους εργασίας· καλεί τον Οργανισμό να ενημερώσει την αρμόδια για την απαλλαγή αρχή σχετικά με τα μέτρα που έχει λάβει για επικαιροποίηση της τεκμηρίωσης των διαδικασιών·</w:t>
      </w:r>
    </w:p>
    <w:p w:rsidR="00AA2954" w:rsidRPr="004F19E9" w:rsidRDefault="00AA2954" w:rsidP="00AA2954">
      <w:pPr>
        <w:widowControl/>
        <w:spacing w:after="240"/>
        <w:ind w:left="567" w:hanging="567"/>
        <w:rPr>
          <w:b/>
          <w:i/>
          <w:szCs w:val="24"/>
        </w:rPr>
      </w:pPr>
      <w:r w:rsidRPr="004F19E9">
        <w:rPr>
          <w:b/>
          <w:i/>
        </w:rPr>
        <w:t>Λοιπές παρατηρήσεις</w:t>
      </w:r>
    </w:p>
    <w:p w:rsidR="00AA2954" w:rsidRPr="00BB5799" w:rsidRDefault="00BB5799" w:rsidP="00BB5799">
      <w:pPr>
        <w:widowControl/>
        <w:spacing w:after="240"/>
        <w:ind w:left="567" w:hanging="573"/>
        <w:rPr>
          <w:rFonts w:eastAsia="Calibri"/>
          <w:szCs w:val="24"/>
        </w:rPr>
      </w:pPr>
      <w:r w:rsidRPr="006F265C">
        <w:rPr>
          <w:rFonts w:eastAsia="Calibri"/>
          <w:szCs w:val="24"/>
        </w:rPr>
        <w:t>26.</w:t>
      </w:r>
      <w:r w:rsidRPr="006F265C">
        <w:rPr>
          <w:rFonts w:eastAsia="Calibri"/>
          <w:szCs w:val="24"/>
        </w:rPr>
        <w:tab/>
      </w:r>
      <w:r w:rsidR="00AA2954" w:rsidRPr="004F19E9">
        <w:t>εκφράζει την ικανοποίησή του για το γεγονός ότι, τον Σεπτέμβριο του 2022, η καταχώριση του Οργανισμού στο σύστημα οικολογικής διαχείρισης και οικολογικού ελέγχου (EMAS) παρατάθηκε επιτυχώς από αρμόδιο φορέα για ένα ακόμη έτος· σημειώνει με ικανοποίηση, με βάση την έκθεση του Ελεγκτικού Συνεδρίου, ότι ο Οργανισμός συγκαταλέγεται μεταξύ των οργανισμών που εκδίδουν ετήσια περιβαλλοντική δήλωση·</w:t>
      </w:r>
    </w:p>
    <w:p w:rsidR="00AA2954" w:rsidRPr="00BB5799" w:rsidRDefault="00BB5799" w:rsidP="00BB5799">
      <w:pPr>
        <w:widowControl/>
        <w:spacing w:after="240"/>
        <w:ind w:left="567" w:hanging="573"/>
        <w:rPr>
          <w:szCs w:val="24"/>
        </w:rPr>
      </w:pPr>
      <w:r w:rsidRPr="006F265C">
        <w:rPr>
          <w:szCs w:val="24"/>
        </w:rPr>
        <w:t>27.</w:t>
      </w:r>
      <w:r w:rsidRPr="006F265C">
        <w:rPr>
          <w:szCs w:val="24"/>
        </w:rPr>
        <w:tab/>
      </w:r>
      <w:r w:rsidR="00AA2954" w:rsidRPr="004F19E9">
        <w:t xml:space="preserve">συγχαίρει τον Οργανισμό για τις συνεχιζόμενες προσπάθειές του για δημόσια προβολή και διαδικτυακή παρουσία το 2022, όπως η ανάπτυξη μιας </w:t>
      </w:r>
      <w:proofErr w:type="spellStart"/>
      <w:r w:rsidR="00AA2954" w:rsidRPr="004F19E9">
        <w:t>διαδραστικής</w:t>
      </w:r>
      <w:proofErr w:type="spellEnd"/>
      <w:r w:rsidR="00AA2954" w:rsidRPr="004F19E9">
        <w:t xml:space="preserve"> ψηφιακής θεσμικής έκδοσης με τίτλο «EEA 2021: the </w:t>
      </w:r>
      <w:proofErr w:type="spellStart"/>
      <w:r w:rsidR="00AA2954" w:rsidRPr="004F19E9">
        <w:t>year</w:t>
      </w:r>
      <w:proofErr w:type="spellEnd"/>
      <w:r w:rsidR="00AA2954" w:rsidRPr="004F19E9">
        <w:t xml:space="preserve"> in </w:t>
      </w:r>
      <w:proofErr w:type="spellStart"/>
      <w:r w:rsidR="00AA2954" w:rsidRPr="004F19E9">
        <w:t>brief</w:t>
      </w:r>
      <w:proofErr w:type="spellEnd"/>
      <w:r w:rsidR="00AA2954" w:rsidRPr="004F19E9">
        <w:t>» (Ευρωπαϊκός Οργανισμός Περιβάλλοντος 2021: το έτος εν συντομία), με σκοπό να εξηγήσει τι είναι και τι κάνει ο Οργανισμός και το υπό εξέλιξη πολυετές διαδικτυακό έργο, το οποίο παρείχε βασικά στοιχεία το 2022, μεταξύ των οποίων μια λογική πλοήγησης με επίκεντρο τον χρήστη και επικαιροποιημένο περιεχόμενο σε όλους τους βασικούς τομείς γνώσης με βάση την εμπεριστατωμένη ανάλυση των χρηστών·</w:t>
      </w:r>
    </w:p>
    <w:p w:rsidR="00AA2954" w:rsidRPr="00BB5799" w:rsidRDefault="00BB5799" w:rsidP="00BB5799">
      <w:pPr>
        <w:widowControl/>
        <w:spacing w:after="240"/>
        <w:ind w:left="567" w:hanging="573"/>
        <w:rPr>
          <w:szCs w:val="24"/>
        </w:rPr>
      </w:pPr>
      <w:r w:rsidRPr="006F265C">
        <w:rPr>
          <w:szCs w:val="24"/>
        </w:rPr>
        <w:t>28.</w:t>
      </w:r>
      <w:r w:rsidRPr="006F265C">
        <w:rPr>
          <w:szCs w:val="24"/>
        </w:rPr>
        <w:tab/>
      </w:r>
      <w:r w:rsidR="00AA2954" w:rsidRPr="004F19E9">
        <w:t>συγχαίρει τον Οργανισμό για τη συμμετοχή του σε ειδική ομάδα για τη συγκέντρωση γνώσεων, εμπειρογνωμοσύνης και δεδομένων για τη χαρτογράφηση των περιβαλλοντικών επιπτώσεων της απρόκλητης και αδικαιολόγητης επίθεσης της Ρωσίας κατά της Ουκρανίας·</w:t>
      </w:r>
    </w:p>
    <w:p w:rsidR="00AA2954" w:rsidRPr="004F19E9" w:rsidRDefault="00AA2954" w:rsidP="00AA2954">
      <w:pPr>
        <w:pStyle w:val="NormalCenter12a"/>
        <w:widowControl/>
        <w:ind w:left="567" w:hanging="567"/>
      </w:pPr>
      <w:r w:rsidRPr="004F19E9">
        <w:t>°</w:t>
      </w:r>
    </w:p>
    <w:p w:rsidR="00AA2954" w:rsidRPr="004F19E9" w:rsidRDefault="00AA2954" w:rsidP="00AA2954">
      <w:pPr>
        <w:pStyle w:val="NormalCenter12a"/>
        <w:widowControl/>
        <w:ind w:left="567" w:hanging="567"/>
      </w:pPr>
      <w:r w:rsidRPr="004F19E9">
        <w:t>°</w:t>
      </w:r>
      <w:r w:rsidRPr="004F19E9">
        <w:tab/>
        <w:t>°</w:t>
      </w:r>
    </w:p>
    <w:p w:rsidR="00AA2954" w:rsidRPr="004F19E9" w:rsidRDefault="00AA2954" w:rsidP="00AA2954">
      <w:pPr>
        <w:pStyle w:val="NormalHanging12a"/>
        <w:widowControl/>
      </w:pPr>
      <w:r w:rsidRPr="004F19E9">
        <w:t>29.</w:t>
      </w:r>
      <w:r w:rsidRPr="004F19E9">
        <w:tab/>
        <w:t xml:space="preserve">παραπέμπει, όσον αφορά άλλες παρατηρήσεις οριζόντιου χαρακτήρα που συνοδεύουν την απόφαση απαλλαγής, στο ψήφισμά του της </w:t>
      </w:r>
      <w:r w:rsidR="0012648A">
        <w:t>11ης Απριλίου 2024</w:t>
      </w:r>
      <w:r w:rsidRPr="004F19E9">
        <w:rPr>
          <w:vertAlign w:val="superscript"/>
        </w:rPr>
        <w:footnoteReference w:id="12"/>
      </w:r>
      <w:r w:rsidRPr="004F19E9">
        <w:t xml:space="preserve"> σχετικά με τις επιδόσεις, τη χρηματοοικονομική διαχείριση και τον έλεγχο των οργανισμών.</w:t>
      </w:r>
    </w:p>
    <w:p w:rsidR="00E365E1" w:rsidRPr="004F19E9" w:rsidRDefault="00E365E1" w:rsidP="00947C45">
      <w:bookmarkStart w:id="9" w:name="TextBodyEnd"/>
      <w:bookmarkEnd w:id="9"/>
    </w:p>
    <w:sectPr w:rsidR="00E365E1" w:rsidRPr="004F19E9" w:rsidSect="004F19E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C45" w:rsidRPr="004F19E9" w:rsidRDefault="00947C45">
      <w:r w:rsidRPr="004F19E9">
        <w:separator/>
      </w:r>
    </w:p>
  </w:endnote>
  <w:endnote w:type="continuationSeparator" w:id="0">
    <w:p w:rsidR="00947C45" w:rsidRPr="004F19E9" w:rsidRDefault="00947C45">
      <w:r w:rsidRPr="004F19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954" w:rsidRPr="004F19E9" w:rsidRDefault="00AA2954" w:rsidP="00E80F7A">
    <w:pPr>
      <w:pStyle w:val="EPFooter"/>
    </w:pPr>
    <w:r w:rsidRPr="004F19E9">
      <w:t>PE</w:t>
    </w:r>
    <w:r w:rsidRPr="004F19E9">
      <w:rPr>
        <w:rStyle w:val="HideTWBExt"/>
      </w:rPr>
      <w:t>&lt;</w:t>
    </w:r>
    <w:proofErr w:type="spellStart"/>
    <w:r w:rsidRPr="004F19E9">
      <w:rPr>
        <w:rStyle w:val="HideTWBExt"/>
      </w:rPr>
      <w:t>NoPE</w:t>
    </w:r>
    <w:proofErr w:type="spellEnd"/>
    <w:r w:rsidRPr="004F19E9">
      <w:rPr>
        <w:rStyle w:val="HideTWBExt"/>
      </w:rPr>
      <w:t>&gt;</w:t>
    </w:r>
    <w:r w:rsidRPr="004F19E9">
      <w:t>753.517</w:t>
    </w:r>
    <w:r w:rsidRPr="004F19E9">
      <w:rPr>
        <w:rStyle w:val="HideTWBExt"/>
      </w:rPr>
      <w:t>&lt;/</w:t>
    </w:r>
    <w:proofErr w:type="spellStart"/>
    <w:r w:rsidRPr="004F19E9">
      <w:rPr>
        <w:rStyle w:val="HideTWBExt"/>
      </w:rPr>
      <w:t>NoPE</w:t>
    </w:r>
    <w:proofErr w:type="spellEnd"/>
    <w:r w:rsidRPr="004F19E9">
      <w:rPr>
        <w:rStyle w:val="HideTWBExt"/>
      </w:rPr>
      <w:t>&gt;&lt;Version&gt;</w:t>
    </w:r>
    <w:r w:rsidRPr="004F19E9">
      <w:t>v02-00</w:t>
    </w:r>
    <w:r w:rsidRPr="004F19E9">
      <w:rPr>
        <w:rStyle w:val="HideTWBExt"/>
      </w:rPr>
      <w:t>&lt;/</w:t>
    </w:r>
    <w:proofErr w:type="spellStart"/>
    <w:r w:rsidRPr="004F19E9">
      <w:rPr>
        <w:rStyle w:val="HideTWBExt"/>
      </w:rPr>
      <w:t>Version</w:t>
    </w:r>
    <w:proofErr w:type="spellEnd"/>
    <w:r w:rsidRPr="004F19E9">
      <w:rPr>
        <w:rStyle w:val="HideTWBExt"/>
      </w:rPr>
      <w:t>&gt;</w:t>
    </w:r>
    <w:r w:rsidRPr="004F19E9">
      <w:tab/>
    </w:r>
    <w:r w:rsidRPr="004F19E9">
      <w:fldChar w:fldCharType="begin"/>
    </w:r>
    <w:r w:rsidRPr="004F19E9">
      <w:instrText xml:space="preserve"> PAGE  \* MERGEFORMAT </w:instrText>
    </w:r>
    <w:r w:rsidRPr="004F19E9">
      <w:fldChar w:fldCharType="separate"/>
    </w:r>
    <w:r w:rsidRPr="004F19E9">
      <w:rPr>
        <w:noProof/>
      </w:rPr>
      <w:t>4</w:t>
    </w:r>
    <w:r w:rsidRPr="004F19E9">
      <w:fldChar w:fldCharType="end"/>
    </w:r>
    <w:r w:rsidRPr="004F19E9">
      <w:t>/</w:t>
    </w:r>
    <w:r w:rsidR="00C079EF">
      <w:fldChar w:fldCharType="begin"/>
    </w:r>
    <w:r w:rsidR="00C079EF">
      <w:instrText xml:space="preserve"> NUMPAGES  \* MERGEFORMAT </w:instrText>
    </w:r>
    <w:r w:rsidR="00C079EF">
      <w:fldChar w:fldCharType="separate"/>
    </w:r>
    <w:r w:rsidRPr="004F19E9">
      <w:rPr>
        <w:noProof/>
      </w:rPr>
      <w:t>4</w:t>
    </w:r>
    <w:r w:rsidR="00C079EF">
      <w:rPr>
        <w:noProof/>
      </w:rPr>
      <w:fldChar w:fldCharType="end"/>
    </w:r>
    <w:r w:rsidRPr="004F19E9">
      <w:tab/>
    </w:r>
    <w:r w:rsidRPr="004F19E9">
      <w:rPr>
        <w:rStyle w:val="HideTWBExt"/>
      </w:rPr>
      <w:t>&lt;PathFdR&gt;</w:t>
    </w:r>
    <w:r w:rsidRPr="004F19E9">
      <w:t>RR\1299228EL.docx</w:t>
    </w:r>
    <w:r w:rsidRPr="004F19E9">
      <w:rPr>
        <w:rStyle w:val="HideTWBExt"/>
      </w:rPr>
      <w:t>&lt;/</w:t>
    </w:r>
    <w:proofErr w:type="spellStart"/>
    <w:r w:rsidRPr="004F19E9">
      <w:rPr>
        <w:rStyle w:val="HideTWBExt"/>
      </w:rPr>
      <w:t>PathFdR</w:t>
    </w:r>
    <w:proofErr w:type="spellEnd"/>
    <w:r w:rsidRPr="004F19E9">
      <w:rPr>
        <w:rStyle w:val="HideTWBExt"/>
      </w:rPr>
      <w:t>&gt;</w:t>
    </w:r>
  </w:p>
  <w:p w:rsidR="00AA2954" w:rsidRPr="004F19E9" w:rsidRDefault="00AA2954" w:rsidP="00E80F7A">
    <w:pPr>
      <w:pStyle w:val="EPFooter2"/>
    </w:pPr>
    <w:r w:rsidRPr="004F19E9">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954" w:rsidRPr="004F19E9" w:rsidRDefault="00AA2954" w:rsidP="00E80F7A">
    <w:pPr>
      <w:pStyle w:val="EPFooter"/>
    </w:pPr>
    <w:r w:rsidRPr="004F19E9">
      <w:rPr>
        <w:rStyle w:val="HideTWBExt"/>
      </w:rPr>
      <w:t>&lt;PathFdR&gt;</w:t>
    </w:r>
    <w:r w:rsidRPr="004F19E9">
      <w:t>RR\1299228EL.docx</w:t>
    </w:r>
    <w:r w:rsidRPr="004F19E9">
      <w:rPr>
        <w:rStyle w:val="HideTWBExt"/>
      </w:rPr>
      <w:t>&lt;/</w:t>
    </w:r>
    <w:proofErr w:type="spellStart"/>
    <w:r w:rsidRPr="004F19E9">
      <w:rPr>
        <w:rStyle w:val="HideTWBExt"/>
      </w:rPr>
      <w:t>PathFdR</w:t>
    </w:r>
    <w:proofErr w:type="spellEnd"/>
    <w:r w:rsidRPr="004F19E9">
      <w:rPr>
        <w:rStyle w:val="HideTWBExt"/>
      </w:rPr>
      <w:t>&gt;</w:t>
    </w:r>
    <w:r w:rsidRPr="004F19E9">
      <w:tab/>
    </w:r>
    <w:r w:rsidRPr="004F19E9">
      <w:tab/>
      <w:t>PE</w:t>
    </w:r>
    <w:r w:rsidRPr="004F19E9">
      <w:rPr>
        <w:rStyle w:val="HideTWBExt"/>
      </w:rPr>
      <w:t>&lt;</w:t>
    </w:r>
    <w:proofErr w:type="spellStart"/>
    <w:r w:rsidRPr="004F19E9">
      <w:rPr>
        <w:rStyle w:val="HideTWBExt"/>
      </w:rPr>
      <w:t>NoPE</w:t>
    </w:r>
    <w:proofErr w:type="spellEnd"/>
    <w:r w:rsidRPr="004F19E9">
      <w:rPr>
        <w:rStyle w:val="HideTWBExt"/>
      </w:rPr>
      <w:t>&gt;</w:t>
    </w:r>
    <w:r w:rsidRPr="004F19E9">
      <w:t>753.517</w:t>
    </w:r>
    <w:r w:rsidRPr="004F19E9">
      <w:rPr>
        <w:rStyle w:val="HideTWBExt"/>
      </w:rPr>
      <w:t>&lt;/</w:t>
    </w:r>
    <w:proofErr w:type="spellStart"/>
    <w:r w:rsidRPr="004F19E9">
      <w:rPr>
        <w:rStyle w:val="HideTWBExt"/>
      </w:rPr>
      <w:t>NoPE</w:t>
    </w:r>
    <w:proofErr w:type="spellEnd"/>
    <w:r w:rsidRPr="004F19E9">
      <w:rPr>
        <w:rStyle w:val="HideTWBExt"/>
      </w:rPr>
      <w:t>&gt;&lt;Version&gt;</w:t>
    </w:r>
    <w:r w:rsidRPr="004F19E9">
      <w:t>v02-00</w:t>
    </w:r>
    <w:r w:rsidRPr="004F19E9">
      <w:rPr>
        <w:rStyle w:val="HideTWBExt"/>
      </w:rPr>
      <w:t>&lt;/</w:t>
    </w:r>
    <w:proofErr w:type="spellStart"/>
    <w:r w:rsidRPr="004F19E9">
      <w:rPr>
        <w:rStyle w:val="HideTWBExt"/>
      </w:rPr>
      <w:t>Version</w:t>
    </w:r>
    <w:proofErr w:type="spellEnd"/>
    <w:r w:rsidRPr="004F19E9">
      <w:rPr>
        <w:rStyle w:val="HideTWBExt"/>
      </w:rPr>
      <w:t>&gt;</w:t>
    </w:r>
  </w:p>
  <w:p w:rsidR="00AA2954" w:rsidRPr="004F19E9" w:rsidRDefault="00AA2954" w:rsidP="00E80F7A">
    <w:pPr>
      <w:pStyle w:val="EPFooter2"/>
    </w:pPr>
    <w:r w:rsidRPr="004F19E9">
      <w:t>EL</w:t>
    </w:r>
    <w:r w:rsidRPr="004F19E9">
      <w:tab/>
    </w:r>
    <w:r w:rsidRPr="004F19E9">
      <w:rPr>
        <w:b w:val="0"/>
        <w:i/>
        <w:color w:val="C0C0C0"/>
        <w:sz w:val="22"/>
      </w:rPr>
      <w:t>Ενωμένη στην πολυμορφία</w:t>
    </w:r>
    <w:r w:rsidRPr="004F19E9">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9E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9E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9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C45" w:rsidRPr="004F19E9" w:rsidRDefault="00947C45">
      <w:r w:rsidRPr="004F19E9">
        <w:separator/>
      </w:r>
    </w:p>
  </w:footnote>
  <w:footnote w:type="continuationSeparator" w:id="0">
    <w:p w:rsidR="00947C45" w:rsidRPr="004F19E9" w:rsidRDefault="00947C45">
      <w:r w:rsidRPr="004F19E9">
        <w:continuationSeparator/>
      </w:r>
    </w:p>
  </w:footnote>
  <w:footnote w:id="1">
    <w:p w:rsidR="00AA2954" w:rsidRPr="004F19E9" w:rsidRDefault="00AA2954" w:rsidP="004F19E9">
      <w:pPr>
        <w:pStyle w:val="FootnoteText"/>
        <w:ind w:left="567" w:hanging="567"/>
        <w:rPr>
          <w:sz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ΕΕ C, C/2023/594, 27.10.2023.</w:t>
      </w:r>
    </w:p>
  </w:footnote>
  <w:footnote w:id="2">
    <w:p w:rsidR="00AA2954" w:rsidRPr="004F19E9" w:rsidRDefault="00AA2954" w:rsidP="004F19E9">
      <w:pPr>
        <w:pStyle w:val="FootnoteText"/>
        <w:ind w:left="567" w:hanging="567"/>
        <w:rPr>
          <w:sz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ΕΕ C, C/2023/112, 12.10.2023.</w:t>
      </w:r>
    </w:p>
  </w:footnote>
  <w:footnote w:id="3">
    <w:p w:rsidR="00AA2954" w:rsidRPr="004F19E9" w:rsidRDefault="00AA2954" w:rsidP="004F19E9">
      <w:pPr>
        <w:pStyle w:val="FootnoteText"/>
        <w:ind w:left="567" w:hanging="567"/>
        <w:rPr>
          <w:sz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ΕΕ L 193 της 30.7.2018, σ. 1.</w:t>
      </w:r>
    </w:p>
  </w:footnote>
  <w:footnote w:id="4">
    <w:p w:rsidR="00AA2954" w:rsidRPr="004F19E9" w:rsidRDefault="00AA2954" w:rsidP="004F19E9">
      <w:pPr>
        <w:pStyle w:val="FootnoteText"/>
        <w:ind w:left="567" w:hanging="567"/>
        <w:rPr>
          <w:sz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ΕΕ L 126 της 21.5.2009, σ. 13.</w:t>
      </w:r>
    </w:p>
  </w:footnote>
  <w:footnote w:id="5">
    <w:p w:rsidR="00AA2954" w:rsidRPr="004F19E9" w:rsidRDefault="00AA2954" w:rsidP="004F19E9">
      <w:pPr>
        <w:pStyle w:val="FootnoteText"/>
        <w:ind w:left="567" w:hanging="567"/>
        <w:rPr>
          <w:sz w:val="24"/>
          <w:szCs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EE L 122 της 10.5.2019, σ. 1.</w:t>
      </w:r>
    </w:p>
  </w:footnote>
  <w:footnote w:id="6">
    <w:p w:rsidR="00AA2954" w:rsidRPr="004F19E9" w:rsidRDefault="00AA2954" w:rsidP="004F19E9">
      <w:pPr>
        <w:pStyle w:val="FootnoteText"/>
        <w:ind w:left="567" w:hanging="567"/>
        <w:rPr>
          <w:sz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ΕΕ C, C/2023/594, 27.10.2023.</w:t>
      </w:r>
    </w:p>
  </w:footnote>
  <w:footnote w:id="7">
    <w:p w:rsidR="00AA2954" w:rsidRPr="004F19E9" w:rsidRDefault="00AA2954" w:rsidP="004F19E9">
      <w:pPr>
        <w:pStyle w:val="FootnoteText"/>
        <w:ind w:left="567" w:hanging="567"/>
        <w:rPr>
          <w:sz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ΕΕ C, C/2023/112, 12.10.2023.</w:t>
      </w:r>
    </w:p>
  </w:footnote>
  <w:footnote w:id="8">
    <w:p w:rsidR="00AA2954" w:rsidRPr="004F19E9" w:rsidRDefault="00AA2954" w:rsidP="004F19E9">
      <w:pPr>
        <w:pStyle w:val="FootnoteText"/>
        <w:ind w:left="567" w:hanging="567"/>
        <w:rPr>
          <w:sz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ΕΕ L 193 της 30.7.2018, σ. 1.</w:t>
      </w:r>
    </w:p>
  </w:footnote>
  <w:footnote w:id="9">
    <w:p w:rsidR="00AA2954" w:rsidRPr="004F19E9" w:rsidRDefault="00AA2954" w:rsidP="004F19E9">
      <w:pPr>
        <w:pStyle w:val="FootnoteText"/>
        <w:ind w:left="567" w:hanging="567"/>
        <w:rPr>
          <w:sz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ΕΕ L 126 της 21.5.2009, σ. 13.</w:t>
      </w:r>
    </w:p>
  </w:footnote>
  <w:footnote w:id="10">
    <w:p w:rsidR="00AA2954" w:rsidRPr="004F19E9" w:rsidRDefault="00AA2954" w:rsidP="004F19E9">
      <w:pPr>
        <w:pStyle w:val="FootnoteText"/>
        <w:ind w:left="567" w:hanging="567"/>
        <w:rPr>
          <w:sz w:val="24"/>
          <w:szCs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EE L 122 της 10.5.2019, σ. 1.</w:t>
      </w:r>
    </w:p>
  </w:footnote>
  <w:footnote w:id="11">
    <w:p w:rsidR="00AA2954" w:rsidRPr="004F19E9" w:rsidRDefault="00AA2954" w:rsidP="004F19E9">
      <w:pPr>
        <w:pStyle w:val="FootnoteText"/>
        <w:ind w:left="567" w:hanging="567"/>
        <w:rPr>
          <w:sz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ΕΕ C 38 της 31.01.2023, σ. 6.</w:t>
      </w:r>
    </w:p>
  </w:footnote>
  <w:footnote w:id="12">
    <w:p w:rsidR="00AA2954" w:rsidRPr="004F19E9" w:rsidRDefault="00AA2954" w:rsidP="004F19E9">
      <w:pPr>
        <w:pStyle w:val="FootnoteText"/>
        <w:ind w:left="567" w:hanging="567"/>
        <w:rPr>
          <w:sz w:val="24"/>
          <w:lang w:val="el-GR"/>
        </w:rPr>
      </w:pPr>
      <w:r w:rsidRPr="004F19E9">
        <w:rPr>
          <w:rStyle w:val="FootnoteReference"/>
          <w:sz w:val="24"/>
          <w:lang w:val="el-GR"/>
        </w:rPr>
        <w:footnoteRef/>
      </w:r>
      <w:r w:rsidR="004F19E9" w:rsidRPr="004F19E9">
        <w:rPr>
          <w:sz w:val="24"/>
          <w:lang w:val="el-GR"/>
        </w:rPr>
        <w:t xml:space="preserve"> </w:t>
      </w:r>
      <w:r w:rsidR="004F19E9" w:rsidRPr="004F19E9">
        <w:rPr>
          <w:sz w:val="24"/>
          <w:lang w:val="el-GR"/>
        </w:rPr>
        <w:tab/>
      </w:r>
      <w:r w:rsidRPr="004F19E9">
        <w:rPr>
          <w:sz w:val="24"/>
          <w:lang w:val="el-GR"/>
        </w:rPr>
        <w:t>Κείμενα που εγκρίθηκαν, P9_TA(2024)0</w:t>
      </w:r>
      <w:r w:rsidR="00BB5799">
        <w:rPr>
          <w:sz w:val="24"/>
          <w:lang w:val="el-GR"/>
        </w:rPr>
        <w:t>280</w:t>
      </w:r>
      <w:r w:rsidRPr="004F19E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9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9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9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B8E1779"/>
    <w:multiLevelType w:val="hybridMultilevel"/>
    <w:tmpl w:val="FF4E0082"/>
    <w:lvl w:ilvl="0" w:tplc="8FD8D1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3F556A21"/>
    <w:multiLevelType w:val="hybridMultilevel"/>
    <w:tmpl w:val="300C9D1C"/>
    <w:lvl w:ilvl="0" w:tplc="8FD8D142">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576D9D"/>
    <w:multiLevelType w:val="hybridMultilevel"/>
    <w:tmpl w:val="F2264D66"/>
    <w:lvl w:ilvl="0" w:tplc="8FD8D1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EL"/>
    <w:docVar w:name="dvnumam" w:val="0"/>
    <w:docVar w:name="dvpe" w:val="753.517"/>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Οργανισμού Περιβάλλοντος για το οικονομικό έτος 2022(2023/2149(DEC))"/>
  </w:docVars>
  <w:rsids>
    <w:rsidRoot w:val="00947C45"/>
    <w:rsid w:val="00002272"/>
    <w:rsid w:val="00064002"/>
    <w:rsid w:val="000677B9"/>
    <w:rsid w:val="000831BA"/>
    <w:rsid w:val="000851B8"/>
    <w:rsid w:val="000859F5"/>
    <w:rsid w:val="000A42CC"/>
    <w:rsid w:val="000E7DD9"/>
    <w:rsid w:val="0010095E"/>
    <w:rsid w:val="00125B37"/>
    <w:rsid w:val="0012648A"/>
    <w:rsid w:val="00187494"/>
    <w:rsid w:val="001C6E7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9E9"/>
    <w:rsid w:val="0050519A"/>
    <w:rsid w:val="005072A1"/>
    <w:rsid w:val="00514517"/>
    <w:rsid w:val="00545827"/>
    <w:rsid w:val="00560270"/>
    <w:rsid w:val="005C2568"/>
    <w:rsid w:val="006037C0"/>
    <w:rsid w:val="006631B6"/>
    <w:rsid w:val="00680577"/>
    <w:rsid w:val="006F265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7C45"/>
    <w:rsid w:val="009509D8"/>
    <w:rsid w:val="00950B64"/>
    <w:rsid w:val="00981893"/>
    <w:rsid w:val="00A07EBE"/>
    <w:rsid w:val="00A1687D"/>
    <w:rsid w:val="00A43E52"/>
    <w:rsid w:val="00A4678D"/>
    <w:rsid w:val="00A778C7"/>
    <w:rsid w:val="00AA2954"/>
    <w:rsid w:val="00AB441E"/>
    <w:rsid w:val="00AB6293"/>
    <w:rsid w:val="00AE0928"/>
    <w:rsid w:val="00AF3B82"/>
    <w:rsid w:val="00B12E95"/>
    <w:rsid w:val="00B22876"/>
    <w:rsid w:val="00B558F0"/>
    <w:rsid w:val="00BB5799"/>
    <w:rsid w:val="00BD48FE"/>
    <w:rsid w:val="00BD7BD8"/>
    <w:rsid w:val="00BE6ADC"/>
    <w:rsid w:val="00C05BFE"/>
    <w:rsid w:val="00C079EF"/>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3B9C9"/>
  <w15:chartTrackingRefBased/>
  <w15:docId w15:val="{60761F6C-A0F2-470E-A94C-ACA46D7F0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A295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A2954"/>
    <w:pPr>
      <w:spacing w:before="480" w:after="240"/>
    </w:pPr>
  </w:style>
  <w:style w:type="paragraph" w:customStyle="1" w:styleId="PageHeading">
    <w:name w:val="PageHeading"/>
    <w:basedOn w:val="Normal"/>
    <w:rsid w:val="00AA2954"/>
    <w:pPr>
      <w:keepNext/>
      <w:spacing w:after="480"/>
      <w:jc w:val="center"/>
    </w:pPr>
    <w:rPr>
      <w:rFonts w:ascii="Arial" w:hAnsi="Arial" w:cs="Arial"/>
      <w:b/>
    </w:rPr>
  </w:style>
  <w:style w:type="paragraph" w:customStyle="1" w:styleId="NormalBold">
    <w:name w:val="NormalBold"/>
    <w:basedOn w:val="Normal"/>
    <w:rsid w:val="00AA2954"/>
    <w:rPr>
      <w:b/>
    </w:rPr>
  </w:style>
  <w:style w:type="paragraph" w:customStyle="1" w:styleId="NormalHanging12a">
    <w:name w:val="NormalHanging12a"/>
    <w:basedOn w:val="Normal"/>
    <w:link w:val="NormalHanging12aChar"/>
    <w:rsid w:val="00AA2954"/>
    <w:pPr>
      <w:spacing w:after="240"/>
      <w:ind w:left="567" w:hanging="567"/>
    </w:pPr>
  </w:style>
  <w:style w:type="paragraph" w:customStyle="1" w:styleId="NormalCenter12a">
    <w:name w:val="NormalCenter12a"/>
    <w:basedOn w:val="Normal"/>
    <w:rsid w:val="00AA2954"/>
    <w:pPr>
      <w:spacing w:after="240"/>
      <w:jc w:val="center"/>
    </w:pPr>
  </w:style>
  <w:style w:type="paragraph" w:styleId="Header">
    <w:name w:val="header"/>
    <w:basedOn w:val="Normal"/>
    <w:link w:val="HeaderChar"/>
    <w:rsid w:val="00AA2954"/>
    <w:pPr>
      <w:tabs>
        <w:tab w:val="center" w:pos="4513"/>
        <w:tab w:val="right" w:pos="9026"/>
      </w:tabs>
    </w:pPr>
  </w:style>
  <w:style w:type="character" w:customStyle="1" w:styleId="HeaderChar">
    <w:name w:val="Header Char"/>
    <w:basedOn w:val="DefaultParagraphFont"/>
    <w:link w:val="Header"/>
    <w:rsid w:val="00AA2954"/>
    <w:rPr>
      <w:sz w:val="24"/>
      <w:lang w:val="el-GR"/>
    </w:rPr>
  </w:style>
  <w:style w:type="paragraph" w:customStyle="1" w:styleId="EPFooter">
    <w:name w:val="EPFooter"/>
    <w:basedOn w:val="Normal"/>
    <w:rsid w:val="00AA295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A2954"/>
    <w:rPr>
      <w:sz w:val="24"/>
      <w:lang w:val="el-GR"/>
    </w:rPr>
  </w:style>
  <w:style w:type="paragraph" w:styleId="Footer">
    <w:name w:val="footer"/>
    <w:basedOn w:val="Normal"/>
    <w:link w:val="FooterChar"/>
    <w:rsid w:val="006F265C"/>
    <w:pPr>
      <w:tabs>
        <w:tab w:val="center" w:pos="4513"/>
        <w:tab w:val="right" w:pos="9026"/>
      </w:tabs>
    </w:pPr>
  </w:style>
  <w:style w:type="character" w:customStyle="1" w:styleId="FooterChar">
    <w:name w:val="Footer Char"/>
    <w:basedOn w:val="DefaultParagraphFont"/>
    <w:link w:val="Footer"/>
    <w:rsid w:val="006F265C"/>
    <w:rPr>
      <w:sz w:val="24"/>
      <w:lang w:val="el-GR"/>
    </w:rPr>
  </w:style>
  <w:style w:type="paragraph" w:styleId="ListParagraph">
    <w:name w:val="List Paragraph"/>
    <w:basedOn w:val="Normal"/>
    <w:uiPriority w:val="34"/>
    <w:qFormat/>
    <w:rsid w:val="006F265C"/>
    <w:pPr>
      <w:ind w:left="720"/>
      <w:contextualSpacing/>
    </w:pPr>
  </w:style>
  <w:style w:type="paragraph" w:styleId="BalloonText">
    <w:name w:val="Balloon Text"/>
    <w:basedOn w:val="Normal"/>
    <w:link w:val="BalloonTextChar"/>
    <w:rsid w:val="000859F5"/>
    <w:rPr>
      <w:rFonts w:ascii="Segoe UI" w:hAnsi="Segoe UI" w:cs="Segoe UI"/>
      <w:sz w:val="18"/>
      <w:szCs w:val="18"/>
    </w:rPr>
  </w:style>
  <w:style w:type="character" w:customStyle="1" w:styleId="BalloonTextChar">
    <w:name w:val="Balloon Text Char"/>
    <w:basedOn w:val="DefaultParagraphFont"/>
    <w:link w:val="BalloonText"/>
    <w:rsid w:val="000859F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6783D-4F7C-4DD6-B884-5DB912331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3510</Words>
  <Characters>21103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2024-05-15T09:00:00Z</dcterms:created>
  <dcterms:modified xsi:type="dcterms:W3CDTF">2024-05-15T09:00:00Z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P9_TA(2024)0242_</vt:lpwstr>
  </property>
  <property fmtid="{D5CDD505-2E9C-101B-9397-08002B2CF9AE}" pid="4" name="&lt;Type&gt;">
    <vt:lpwstr>RR</vt:lpwstr>
  </property>
</Properties>
</file>