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111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1118" w:rsidRDefault="00E46274" w:rsidP="0010095E">
            <w:pPr>
              <w:pStyle w:val="EPName"/>
            </w:pPr>
            <w:r w:rsidRPr="00A61118">
              <w:t>Európsky parlament</w:t>
            </w:r>
          </w:p>
          <w:p w:rsidR="00751A4A" w:rsidRPr="00A6111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111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1118" w:rsidRDefault="00187494" w:rsidP="0010095E">
            <w:pPr>
              <w:pStyle w:val="EPLogo"/>
            </w:pPr>
            <w:r w:rsidRPr="00A6111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1118" w:rsidRDefault="00D058B8" w:rsidP="004C5D52">
      <w:pPr>
        <w:pStyle w:val="LineTop"/>
      </w:pPr>
    </w:p>
    <w:p w:rsidR="00680577" w:rsidRPr="00A61118" w:rsidRDefault="00E46274" w:rsidP="00680577">
      <w:pPr>
        <w:pStyle w:val="EPBodyTA1"/>
      </w:pPr>
      <w:r w:rsidRPr="00A61118">
        <w:t>PRIJATÉ TEXTY</w:t>
      </w:r>
    </w:p>
    <w:p w:rsidR="00D058B8" w:rsidRPr="00A61118" w:rsidRDefault="00D058B8" w:rsidP="00D058B8">
      <w:pPr>
        <w:pStyle w:val="LineBottom"/>
      </w:pPr>
    </w:p>
    <w:p w:rsidR="00E46274" w:rsidRPr="00A61118" w:rsidRDefault="00E46274" w:rsidP="00E46274">
      <w:pPr>
        <w:pStyle w:val="ATHeading1"/>
      </w:pPr>
      <w:bookmarkStart w:id="0" w:name="TANumber"/>
      <w:r w:rsidRPr="00A61118">
        <w:t>P9_TA(2024)0</w:t>
      </w:r>
      <w:r w:rsidR="00943D9C" w:rsidRPr="00A61118">
        <w:t>24</w:t>
      </w:r>
      <w:bookmarkEnd w:id="0"/>
      <w:r w:rsidR="00A61118" w:rsidRPr="00A61118">
        <w:t>2</w:t>
      </w:r>
    </w:p>
    <w:p w:rsidR="00E46274" w:rsidRPr="00A61118" w:rsidRDefault="00E46274" w:rsidP="00E46274">
      <w:pPr>
        <w:pStyle w:val="ATHeading2"/>
      </w:pPr>
      <w:bookmarkStart w:id="1" w:name="title"/>
      <w:r w:rsidRPr="00A61118">
        <w:t>Absolutórium za rok 2022: Európska environmentálna agentúra</w:t>
      </w:r>
      <w:bookmarkEnd w:id="1"/>
    </w:p>
    <w:p w:rsidR="00E46274" w:rsidRPr="00A61118" w:rsidRDefault="00E46274" w:rsidP="00E46274">
      <w:pPr>
        <w:rPr>
          <w:i/>
          <w:vanish/>
        </w:rPr>
      </w:pPr>
      <w:r w:rsidRPr="00A61118">
        <w:rPr>
          <w:i/>
        </w:rPr>
        <w:fldChar w:fldCharType="begin"/>
      </w:r>
      <w:r w:rsidRPr="00A61118">
        <w:rPr>
          <w:i/>
        </w:rPr>
        <w:instrText xml:space="preserve"> TC"(</w:instrText>
      </w:r>
      <w:bookmarkStart w:id="2" w:name="DocNumber"/>
      <w:r w:rsidRPr="00A61118">
        <w:rPr>
          <w:i/>
        </w:rPr>
        <w:instrText>A9-0130/2024</w:instrText>
      </w:r>
      <w:bookmarkEnd w:id="2"/>
      <w:r w:rsidRPr="00A61118">
        <w:rPr>
          <w:i/>
        </w:rPr>
        <w:instrText xml:space="preserve"> - Spravodajca: </w:instrText>
      </w:r>
      <w:proofErr w:type="spellStart"/>
      <w:r w:rsidRPr="00A61118">
        <w:rPr>
          <w:i/>
        </w:rPr>
        <w:instrText>Petri</w:instrText>
      </w:r>
      <w:proofErr w:type="spellEnd"/>
      <w:r w:rsidRPr="00A61118">
        <w:rPr>
          <w:i/>
        </w:rPr>
        <w:instrText xml:space="preserve"> </w:instrText>
      </w:r>
      <w:proofErr w:type="spellStart"/>
      <w:r w:rsidRPr="00A61118">
        <w:rPr>
          <w:i/>
        </w:rPr>
        <w:instrText>Sarvamaa</w:instrText>
      </w:r>
      <w:proofErr w:type="spellEnd"/>
      <w:r w:rsidRPr="00A61118">
        <w:rPr>
          <w:i/>
        </w:rPr>
        <w:instrText xml:space="preserve">)"\l3 \n&gt; \* MERGEFORMAT </w:instrText>
      </w:r>
      <w:r w:rsidRPr="00A61118">
        <w:rPr>
          <w:i/>
        </w:rPr>
        <w:fldChar w:fldCharType="end"/>
      </w:r>
    </w:p>
    <w:p w:rsidR="00E46274" w:rsidRPr="00A61118" w:rsidRDefault="00E46274" w:rsidP="00E46274">
      <w:pPr>
        <w:rPr>
          <w:vanish/>
        </w:rPr>
      </w:pPr>
      <w:bookmarkStart w:id="3" w:name="Commission"/>
      <w:r w:rsidRPr="00A61118">
        <w:rPr>
          <w:vanish/>
        </w:rPr>
        <w:t>Výbor pre kontrolu rozpočtu</w:t>
      </w:r>
      <w:bookmarkEnd w:id="3"/>
    </w:p>
    <w:p w:rsidR="00E46274" w:rsidRPr="00A61118" w:rsidRDefault="00E46274" w:rsidP="00E46274">
      <w:pPr>
        <w:rPr>
          <w:vanish/>
        </w:rPr>
      </w:pPr>
      <w:bookmarkStart w:id="4" w:name="PE"/>
      <w:r w:rsidRPr="00A61118">
        <w:rPr>
          <w:vanish/>
        </w:rPr>
        <w:t>PE753.517</w:t>
      </w:r>
      <w:bookmarkEnd w:id="4"/>
    </w:p>
    <w:p w:rsidR="00E46274" w:rsidRPr="00A61118" w:rsidRDefault="00E46274" w:rsidP="00E46274">
      <w:pPr>
        <w:pStyle w:val="ATHeading3"/>
      </w:pPr>
      <w:bookmarkStart w:id="5" w:name="Sujet"/>
      <w:r w:rsidRPr="00A61118">
        <w:t>1. Rozhodnutie Európskeho parlamentu z 11. apríla 2024 o absolutóriu za plnenie rozpočtu Európskej environmentálnej agentúry za rozpočtový rok 2022</w:t>
      </w:r>
      <w:bookmarkEnd w:id="5"/>
      <w:r w:rsidRPr="00A61118">
        <w:t xml:space="preserve"> </w:t>
      </w:r>
      <w:bookmarkStart w:id="6" w:name="References"/>
      <w:r w:rsidRPr="00A61118">
        <w:t>(2023/2149(DEC))</w:t>
      </w:r>
      <w:bookmarkEnd w:id="6"/>
    </w:p>
    <w:p w:rsidR="005209B2" w:rsidRPr="00A61118" w:rsidRDefault="005209B2" w:rsidP="005209B2">
      <w:pPr>
        <w:pStyle w:val="EPComma"/>
      </w:pPr>
      <w:bookmarkStart w:id="7" w:name="TextBodyBegin"/>
      <w:bookmarkEnd w:id="7"/>
      <w:r w:rsidRPr="00A61118">
        <w:rPr>
          <w:i/>
          <w:iCs/>
        </w:rPr>
        <w:t>Európsky parlament</w:t>
      </w:r>
      <w:r w:rsidRPr="00A61118">
        <w:t>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konečnú ročnú účtovnú závierku Európskej environmentálnej agentúry za rozpočtový rok 2022,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výročnú správu Dvora audítorov o agentúrach EÚ za rozpočtový rok 2022 spolu s odpoveďami agentúr</w:t>
      </w:r>
      <w:r w:rsidRPr="00A61118">
        <w:rPr>
          <w:rStyle w:val="FootnoteReference"/>
        </w:rPr>
        <w:footnoteReference w:id="1"/>
      </w:r>
      <w:r w:rsidRPr="00A61118">
        <w:t>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vyhlásenie o vierohodnosti</w:t>
      </w:r>
      <w:r w:rsidRPr="00A61118">
        <w:rPr>
          <w:rStyle w:val="FootnoteReference"/>
        </w:rPr>
        <w:footnoteReference w:id="2"/>
      </w:r>
      <w:r w:rsidRPr="00A61118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odporúčanie Rady z 22. februára 2024 o udelení absolutória agentúre za plnenie rozpočtu za rozpočtový rok 2022 (0</w:t>
      </w:r>
      <w:r w:rsidR="00F461D5" w:rsidRPr="00A61118">
        <w:t>6180</w:t>
      </w:r>
      <w:r w:rsidRPr="00A61118">
        <w:t>/2024 – C9</w:t>
      </w:r>
      <w:r w:rsidRPr="00A61118">
        <w:noBreakHyphen/>
        <w:t>00</w:t>
      </w:r>
      <w:r w:rsidR="00F461D5" w:rsidRPr="00A61118">
        <w:t>87</w:t>
      </w:r>
      <w:r w:rsidRPr="00A61118">
        <w:t>/2024),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článok 319 Zmluvy o fungovaní Európskej únie,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 xml:space="preserve">so zreteľom na nariadenie Európskeho parlamentu a Rady (EÚ, </w:t>
      </w:r>
      <w:proofErr w:type="spellStart"/>
      <w:r w:rsidRPr="00A61118">
        <w:t>Euratom</w:t>
      </w:r>
      <w:proofErr w:type="spellEnd"/>
      <w:r w:rsidRPr="00A61118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A61118">
        <w:t>Euratom</w:t>
      </w:r>
      <w:proofErr w:type="spellEnd"/>
      <w:r w:rsidRPr="00A61118">
        <w:t>) č. 966/2012</w:t>
      </w:r>
      <w:r w:rsidRPr="00A61118">
        <w:rPr>
          <w:rStyle w:val="FootnoteReference"/>
        </w:rPr>
        <w:footnoteReference w:id="3"/>
      </w:r>
      <w:r w:rsidRPr="00A61118">
        <w:t>, a najmä na jeho článok 70,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 xml:space="preserve">so zreteľom na nariadenie Európskeho parlamentu a Rady (ES) č. 401/2009 z 23. apríla 2009 o Európskej environmentálnej agentúre a Európskej environmentálnej informačnej </w:t>
      </w:r>
      <w:r w:rsidRPr="00A61118">
        <w:lastRenderedPageBreak/>
        <w:t>a monitorovacej sieti</w:t>
      </w:r>
      <w:r w:rsidRPr="00A61118">
        <w:rPr>
          <w:rStyle w:val="FootnoteReference"/>
        </w:rPr>
        <w:footnoteReference w:id="4"/>
      </w:r>
      <w:r w:rsidRPr="00A61118">
        <w:t>, a najmä na jeho článok 13,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A61118">
        <w:t>Euratome</w:t>
      </w:r>
      <w:proofErr w:type="spellEnd"/>
      <w:r w:rsidRPr="00A61118">
        <w:t xml:space="preserve"> a uvedené v článku 70 nariadenia Európskeho parlamentu a Rady (EÚ, </w:t>
      </w:r>
      <w:proofErr w:type="spellStart"/>
      <w:r w:rsidRPr="00A61118">
        <w:t>Euratom</w:t>
      </w:r>
      <w:proofErr w:type="spellEnd"/>
      <w:r w:rsidRPr="00A61118">
        <w:t>) 2018/1046</w:t>
      </w:r>
      <w:r w:rsidRPr="00A61118">
        <w:rPr>
          <w:rStyle w:val="FootnoteReference"/>
        </w:rPr>
        <w:footnoteReference w:id="5"/>
      </w:r>
      <w:r w:rsidRPr="00A61118">
        <w:t>, a najmä na jeho článok 105,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článok 100 a prílohu V</w:t>
      </w:r>
      <w:r w:rsidR="00F461D5" w:rsidRPr="00A61118">
        <w:t> k </w:t>
      </w:r>
      <w:r w:rsidRPr="00A61118">
        <w:t>rokovacie</w:t>
      </w:r>
      <w:r w:rsidR="00F461D5" w:rsidRPr="00A61118">
        <w:t>mu</w:t>
      </w:r>
      <w:r w:rsidRPr="00A61118">
        <w:t xml:space="preserve"> poriadku,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stanovisko Výboru pre životné prostredie, verejné zdravie a bezpečnosť potravín,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správu Výboru pre kontrolu rozpočtu (A9-0130/2024),</w:t>
      </w:r>
    </w:p>
    <w:p w:rsidR="005209B2" w:rsidRPr="00A61118" w:rsidRDefault="005209B2" w:rsidP="005209B2">
      <w:pPr>
        <w:pStyle w:val="NormalHanging12a"/>
      </w:pPr>
      <w:r w:rsidRPr="00A61118">
        <w:t>1.</w:t>
      </w:r>
      <w:r w:rsidRPr="00A61118">
        <w:tab/>
        <w:t>udeľuje absolutórium výkonnej riaditeľke Európskej environmentálnej agentúry za plnenie rozpočtu agentúry za rozpočtový rok 2022;</w:t>
      </w:r>
    </w:p>
    <w:p w:rsidR="005209B2" w:rsidRPr="00A61118" w:rsidRDefault="005209B2" w:rsidP="005209B2">
      <w:pPr>
        <w:pStyle w:val="NormalHanging12a"/>
      </w:pPr>
      <w:r w:rsidRPr="00A61118">
        <w:t>2.</w:t>
      </w:r>
      <w:r w:rsidRPr="00A61118">
        <w:tab/>
        <w:t>uvádza svoje poznámky v priloženom uznesení;</w:t>
      </w:r>
    </w:p>
    <w:p w:rsidR="005209B2" w:rsidRPr="00A61118" w:rsidRDefault="005209B2" w:rsidP="005209B2">
      <w:pPr>
        <w:pStyle w:val="NormalHanging12a"/>
      </w:pPr>
      <w:r w:rsidRPr="00A61118">
        <w:t>3.</w:t>
      </w:r>
      <w:r w:rsidRPr="00A61118">
        <w:tab/>
        <w:t>poveruje svoju predsedníčku, aby postúpila toto rozhodnutie a uznesenie, ktoré je jeho neoddeliteľnou súčasťou, výkonnej riaditeľke Európskej chemickej agentúry, Rade, Komisii a Dvoru audítorov a aby zabezpečila ich uverejnenie v </w:t>
      </w:r>
      <w:r w:rsidRPr="00A61118">
        <w:rPr>
          <w:i/>
          <w:iCs/>
        </w:rPr>
        <w:t>Úradnom vestníku Európskej únie</w:t>
      </w:r>
      <w:r w:rsidRPr="00A61118">
        <w:t xml:space="preserve"> (v sérii L).</w:t>
      </w:r>
    </w:p>
    <w:p w:rsidR="005209B2" w:rsidRPr="00A61118" w:rsidRDefault="005209B2" w:rsidP="005209B2"/>
    <w:p w:rsidR="005209B2" w:rsidRPr="00A61118" w:rsidRDefault="005209B2" w:rsidP="005209B2">
      <w:pPr>
        <w:widowControl/>
        <w:rPr>
          <w:rFonts w:ascii="Arial" w:hAnsi="Arial" w:cs="Arial"/>
          <w:b/>
        </w:rPr>
        <w:sectPr w:rsidR="005209B2" w:rsidRPr="00A61118" w:rsidSect="008021A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209B2" w:rsidRPr="00A61118" w:rsidRDefault="00DF375C" w:rsidP="005209B2">
      <w:pPr>
        <w:pStyle w:val="NormalBold"/>
      </w:pPr>
      <w:r w:rsidRPr="00A61118">
        <w:lastRenderedPageBreak/>
        <w:t xml:space="preserve">2. Rozhodnutie Európskeho parlamentu z 11. apríla 2024 </w:t>
      </w:r>
      <w:r w:rsidR="005209B2" w:rsidRPr="00A61118">
        <w:t>o účtovnej závierke Európskej environmentálnej agentúry za rozpočtový rok 2022</w:t>
      </w:r>
      <w:r w:rsidRPr="00A61118">
        <w:t xml:space="preserve"> </w:t>
      </w:r>
      <w:r w:rsidR="005209B2" w:rsidRPr="00A61118">
        <w:t>(2023/2149(DEC))</w:t>
      </w:r>
    </w:p>
    <w:p w:rsidR="005209B2" w:rsidRPr="00A61118" w:rsidRDefault="005209B2" w:rsidP="005209B2">
      <w:pPr>
        <w:pStyle w:val="EPComma"/>
      </w:pPr>
      <w:r w:rsidRPr="00A61118">
        <w:rPr>
          <w:i/>
          <w:iCs/>
        </w:rPr>
        <w:t>Európsky parlament</w:t>
      </w:r>
      <w:r w:rsidRPr="00A61118">
        <w:t>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konečnú ročnú účtovnú závierku Európskej environmentálnej agentúry za rozpočtový rok 2022,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výročnú správu Dvora audítorov o agentúrach EÚ za rozpočtový rok 2022 spolu s odpoveďami agentúr</w:t>
      </w:r>
      <w:r w:rsidRPr="00A61118">
        <w:rPr>
          <w:rStyle w:val="FootnoteReference"/>
        </w:rPr>
        <w:footnoteReference w:id="6"/>
      </w:r>
      <w:r w:rsidRPr="00A61118">
        <w:t>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vyhlásenie o vierohodnosti</w:t>
      </w:r>
      <w:r w:rsidRPr="00A61118">
        <w:rPr>
          <w:rStyle w:val="FootnoteReference"/>
        </w:rPr>
        <w:footnoteReference w:id="7"/>
      </w:r>
      <w:r w:rsidRPr="00A61118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odporúčanie Rady z 22. februára 2024 o udelení absolutória agentúre za plnenie rozpočtu za rozpočtový rok 2022 (0</w:t>
      </w:r>
      <w:r w:rsidR="00F461D5" w:rsidRPr="00A61118">
        <w:t>6180</w:t>
      </w:r>
      <w:r w:rsidRPr="00A61118">
        <w:t>/2024 – C9</w:t>
      </w:r>
      <w:r w:rsidRPr="00A61118">
        <w:noBreakHyphen/>
        <w:t>00</w:t>
      </w:r>
      <w:r w:rsidR="00F461D5" w:rsidRPr="00A61118">
        <w:t>87</w:t>
      </w:r>
      <w:r w:rsidRPr="00A61118">
        <w:t>/2024),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článok 319 Zmluvy o fungovaní Európskej únie,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 xml:space="preserve">so zreteľom na nariadenie Európskeho parlamentu a Rady (EÚ, </w:t>
      </w:r>
      <w:proofErr w:type="spellStart"/>
      <w:r w:rsidRPr="00A61118">
        <w:t>Euratom</w:t>
      </w:r>
      <w:proofErr w:type="spellEnd"/>
      <w:r w:rsidRPr="00A61118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A61118">
        <w:t>Euratom</w:t>
      </w:r>
      <w:proofErr w:type="spellEnd"/>
      <w:r w:rsidRPr="00A61118">
        <w:t>) č. 966/2012</w:t>
      </w:r>
      <w:r w:rsidRPr="00A61118">
        <w:rPr>
          <w:rStyle w:val="FootnoteReference"/>
        </w:rPr>
        <w:footnoteReference w:id="8"/>
      </w:r>
      <w:r w:rsidRPr="00A61118">
        <w:t>, a najmä na jeho článok 70,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nariadenie Európskeho parlamentu a Rady (ES) č. 401/2009 z 23. apríla 2009 o Európskej environmentálnej agentúre a Európskej environmentálnej informačnej a monitorovacej sieti</w:t>
      </w:r>
      <w:r w:rsidRPr="00A61118">
        <w:rPr>
          <w:rStyle w:val="FootnoteReference"/>
        </w:rPr>
        <w:footnoteReference w:id="9"/>
      </w:r>
      <w:r w:rsidRPr="00A61118">
        <w:t>, a najmä na jeho článok 13,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A61118">
        <w:t>Euratome</w:t>
      </w:r>
      <w:proofErr w:type="spellEnd"/>
      <w:r w:rsidRPr="00A61118">
        <w:t xml:space="preserve"> a uvedené v článku 70 nariadenia Európskeho parlamentu a Rady (EÚ, </w:t>
      </w:r>
      <w:proofErr w:type="spellStart"/>
      <w:r w:rsidRPr="00A61118">
        <w:t>Euratom</w:t>
      </w:r>
      <w:proofErr w:type="spellEnd"/>
      <w:r w:rsidRPr="00A61118">
        <w:t>) 2018/1046</w:t>
      </w:r>
      <w:r w:rsidRPr="00A61118">
        <w:rPr>
          <w:rStyle w:val="FootnoteReference"/>
        </w:rPr>
        <w:footnoteReference w:id="10"/>
      </w:r>
      <w:r w:rsidRPr="00A61118">
        <w:t>, a najmä na jeho článok 105,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článok 100 a prílohu V</w:t>
      </w:r>
      <w:r w:rsidR="00F461D5" w:rsidRPr="00A61118">
        <w:t xml:space="preserve"> k</w:t>
      </w:r>
      <w:r w:rsidRPr="00A61118">
        <w:t xml:space="preserve"> rokovacie</w:t>
      </w:r>
      <w:r w:rsidR="00F461D5" w:rsidRPr="00A61118">
        <w:t>mu</w:t>
      </w:r>
      <w:r w:rsidRPr="00A61118">
        <w:t xml:space="preserve"> poriadku,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stanovisko Výboru pre životné prostredie, verejné zdravie a bezpečnosť potravín,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správu Výboru pre kontrolu rozpočtu (A9-0130/2024),</w:t>
      </w:r>
    </w:p>
    <w:p w:rsidR="005209B2" w:rsidRPr="00A61118" w:rsidRDefault="005209B2" w:rsidP="005209B2">
      <w:pPr>
        <w:pStyle w:val="NormalHanging12a"/>
      </w:pPr>
      <w:r w:rsidRPr="00A61118">
        <w:t>1.</w:t>
      </w:r>
      <w:r w:rsidRPr="00A61118">
        <w:tab/>
        <w:t>schvaľuje účtovnú závierku Európskej environmentálnej agentúry za rozpočtový rok 2022;</w:t>
      </w:r>
    </w:p>
    <w:p w:rsidR="005209B2" w:rsidRPr="00A61118" w:rsidRDefault="005209B2" w:rsidP="005209B2">
      <w:pPr>
        <w:pStyle w:val="NormalHanging12a"/>
      </w:pPr>
      <w:r w:rsidRPr="00A61118">
        <w:t>2.</w:t>
      </w:r>
      <w:r w:rsidRPr="00A61118">
        <w:tab/>
        <w:t xml:space="preserve">poveruje svoju predsedníčku, aby postúpila toto rozhodnutie výkonnej riaditeľke </w:t>
      </w:r>
      <w:r w:rsidRPr="00A61118">
        <w:lastRenderedPageBreak/>
        <w:t xml:space="preserve">Európskej environmentálnej agentúry, Rade, Komisii a Dvoru audítorov a aby zabezpečila jeho uverejnenie v </w:t>
      </w:r>
      <w:r w:rsidRPr="00A61118">
        <w:rPr>
          <w:i/>
          <w:iCs/>
        </w:rPr>
        <w:t>Úradnom vestníku Európskej únie</w:t>
      </w:r>
      <w:r w:rsidRPr="00A61118">
        <w:t xml:space="preserve"> (v sérii L).</w:t>
      </w:r>
    </w:p>
    <w:p w:rsidR="005209B2" w:rsidRPr="00A61118" w:rsidRDefault="005209B2" w:rsidP="005209B2"/>
    <w:p w:rsidR="005209B2" w:rsidRPr="00A61118" w:rsidRDefault="005209B2" w:rsidP="005209B2">
      <w:pPr>
        <w:widowControl/>
        <w:rPr>
          <w:rFonts w:ascii="Arial" w:hAnsi="Arial" w:cs="Arial"/>
          <w:b/>
        </w:rPr>
        <w:sectPr w:rsidR="005209B2" w:rsidRPr="00A61118" w:rsidSect="008021AB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209B2" w:rsidRPr="00A61118" w:rsidRDefault="00DF375C" w:rsidP="005209B2">
      <w:pPr>
        <w:pStyle w:val="NormalBold"/>
      </w:pPr>
      <w:r w:rsidRPr="00A61118">
        <w:lastRenderedPageBreak/>
        <w:t xml:space="preserve">3. Uznesenie Európskeho parlamentu </w:t>
      </w:r>
      <w:r w:rsidR="00F461D5" w:rsidRPr="00A61118">
        <w:t xml:space="preserve">z 11. apríla 2024 </w:t>
      </w:r>
      <w:r w:rsidR="005209B2" w:rsidRPr="00A61118">
        <w:t xml:space="preserve">s poznámkami, ktoré </w:t>
      </w:r>
      <w:r w:rsidR="00F461D5" w:rsidRPr="00A61118">
        <w:t>je</w:t>
      </w:r>
      <w:r w:rsidR="005209B2" w:rsidRPr="00A61118">
        <w:t xml:space="preserve"> neoddeliteľnou súčasťou rozhodnutia o absolutóriu za plnenie rozpočtu Európskej environmentálnej agentúry za rozpočtový rok 2022</w:t>
      </w:r>
      <w:r w:rsidRPr="00A61118">
        <w:t xml:space="preserve"> </w:t>
      </w:r>
      <w:r w:rsidR="005209B2" w:rsidRPr="00A61118">
        <w:t>(2023/2149(DEC))</w:t>
      </w:r>
    </w:p>
    <w:p w:rsidR="005209B2" w:rsidRPr="00A61118" w:rsidRDefault="005209B2" w:rsidP="005209B2">
      <w:pPr>
        <w:pStyle w:val="EPComma"/>
      </w:pPr>
      <w:r w:rsidRPr="00A61118">
        <w:rPr>
          <w:i/>
          <w:iCs/>
        </w:rPr>
        <w:t>Európsky parlament</w:t>
      </w:r>
      <w:r w:rsidRPr="00A61118">
        <w:t>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svoje rozhodnutie o absolutóriu za plnenie rozpočtu Európskej environmentálnej agentúry za rozpočtový rok 2022,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článok 100 a prílohu V</w:t>
      </w:r>
      <w:r w:rsidR="00F461D5" w:rsidRPr="00A61118">
        <w:t xml:space="preserve"> k</w:t>
      </w:r>
      <w:r w:rsidRPr="00A61118">
        <w:t xml:space="preserve"> rokovacie</w:t>
      </w:r>
      <w:r w:rsidR="00F461D5" w:rsidRPr="00A61118">
        <w:t>mu</w:t>
      </w:r>
      <w:r w:rsidRPr="00A61118">
        <w:t xml:space="preserve"> poriadku,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stanovisko Výboru pre životné prostredie, verejné zdravie a bezpečnosť potravín,</w:t>
      </w:r>
    </w:p>
    <w:p w:rsidR="005209B2" w:rsidRPr="00A61118" w:rsidRDefault="005209B2" w:rsidP="005209B2">
      <w:pPr>
        <w:pStyle w:val="NormalHanging12a"/>
      </w:pPr>
      <w:r w:rsidRPr="00A61118">
        <w:t>–</w:t>
      </w:r>
      <w:r w:rsidRPr="00A61118">
        <w:tab/>
        <w:t>so zreteľom na správu Výboru pre kontrolu rozpočtu (A9-0130/2024),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A.</w:t>
      </w:r>
      <w:r w:rsidRPr="00A61118">
        <w:tab/>
        <w:t>keďže podľa výkazu príjmov a výdavkov</w:t>
      </w:r>
      <w:r w:rsidRPr="00A61118">
        <w:rPr>
          <w:rStyle w:val="FootnoteReference"/>
          <w:szCs w:val="24"/>
        </w:rPr>
        <w:footnoteReference w:id="11"/>
      </w:r>
      <w:r w:rsidRPr="00A61118">
        <w:t xml:space="preserve"> bol konečný rozpočet Európskej environmentálnej agentúry (ďalej len „agentúra“) na rozpočtový rok 2022 na úrovni 88 173 021 EUR, čo v porovnaní s rokom 2021 predstavuje nárast o 35,93 %; keďže rozpočet agentúry pochádza z rozpočtu Únie a príspevku EZVO (63,32 %) a z príspevkov na základe osobitných dohôd (36,67 %);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B.</w:t>
      </w:r>
      <w:r w:rsidRPr="00A61118">
        <w:tab/>
        <w:t>keďže Dvor audítorov vo svojej správe o overení ročnej účtovnej závierky agentúry za rozpočtový rok 2022 (ďalej len „správa Dvora audítorov“) uvádza, že získal primeranú istotu o tom, že ročná účtovná závierka agentúry je spoľahlivá a že príslušné operácie sú zákonné a správne;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C.</w:t>
      </w:r>
      <w:r w:rsidRPr="00A61118">
        <w:tab/>
        <w:t>keďže pokiaľ ide o sektor verejného obstarávania agentúry, za rok 2022 neboli nahlásené žiadne problémy vyžadujúce nápravné opatrenia, ani žiadne prebiehajúce alebo nevykonané nápravné opatrenia z auditov a hodnotení z predchádzajúcich rokov;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rPr>
          <w:b/>
          <w:i/>
        </w:rPr>
        <w:t>Rozpočtové a finančné riadenie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1.</w:t>
      </w:r>
      <w:r w:rsidRPr="00A61118">
        <w:tab/>
        <w:t>s uznaním konštatuje, že úsilie o monitorovanie rozpočtu v priebehu rozpočtového roka 2022 prinieslo mieru plnenia rozpočtu na úrovni 100 % v prípade viazaných rozpočtových prostriedkov v bežnom roku, čo predstavuje rovnakú úroveň ako v roku 2021; konštatuje, že miera plnenia platobných rozpočtových prostriedkov v bežnom roku bola 86,66 %, čo v porovnaní s rokom 2021 predstavuje nárast o 1,75 %;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2.</w:t>
      </w:r>
      <w:r w:rsidRPr="00A61118">
        <w:tab/>
        <w:t>poznamenáva, že Dvor audítorov vo svojej správe z roku 2021 dospel k záveru, že použitie rokovacieho konania bez predchádzajúceho zverejnenia na zmenu rámcovej zmluvy zdvojnásobením pôvodného rozpočtu na 1 milión EUR bolo nesprávne, v dôsledku čoho sú všetky následné platby uskutočnené v súvislosti s týmto konaním nesprávne; ďalej poznamenáva, že platnosť zmluvy sa skončila v decembri 2022 a súvisiace platby v roku 2022 predstavovali 470 660 EUR; poznamenáva, že pripomienka Dvora audítorov k tejto otázke je už uzavretá;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rPr>
          <w:b/>
          <w:i/>
        </w:rPr>
        <w:t>Výkonnosť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lastRenderedPageBreak/>
        <w:t>3.</w:t>
      </w:r>
      <w:r w:rsidRPr="00A61118">
        <w:tab/>
        <w:t>poznamenáva, že výkonnostný rámec agentúry je štruktúrovaný okolo piatich výkonnostných cieľov, ktoré sa monitorujú prostredníctvom 17 viacročných kľúčových ukazovateľov výkonnosti, medzi ktoré patrí okrem iného miera obsadenosti zamestnancov, plnenie rozpočtu a plnenie ročného pracovného programu; poznamenáva, že miera plnenia ročného pracovného programu, pokiaľ ide o kľúčové správy a hodnotenia, dosiahla 95</w:t>
      </w:r>
      <w:r w:rsidR="00F461D5" w:rsidRPr="00A61118">
        <w:t> </w:t>
      </w:r>
      <w:r w:rsidRPr="00A61118">
        <w:t>% a</w:t>
      </w:r>
      <w:r w:rsidR="00F461D5" w:rsidRPr="00A61118">
        <w:t> </w:t>
      </w:r>
      <w:r w:rsidRPr="00A61118">
        <w:t>96</w:t>
      </w:r>
      <w:r w:rsidR="00F461D5" w:rsidRPr="00A61118">
        <w:t> </w:t>
      </w:r>
      <w:r w:rsidRPr="00A61118">
        <w:t>%, pokiaľ ide o aktualizáciu základných ukazovateľov, čo je v obidvoch prípadoch viac ako cieľ stanovený na 90</w:t>
      </w:r>
      <w:r w:rsidR="00060F92" w:rsidRPr="00A61118">
        <w:t> </w:t>
      </w:r>
      <w:r w:rsidRPr="00A61118">
        <w:t>%; berie na vedomie ukazovatele, ktoré ešte neboli dosiahnuté alebo zaostávajú;</w:t>
      </w:r>
    </w:p>
    <w:p w:rsidR="005209B2" w:rsidRPr="00A61118" w:rsidRDefault="005209B2" w:rsidP="005209B2">
      <w:pPr>
        <w:pStyle w:val="NormalHanging12a"/>
      </w:pPr>
      <w:r w:rsidRPr="00A61118">
        <w:t>4.</w:t>
      </w:r>
      <w:r w:rsidRPr="00A61118">
        <w:tab/>
        <w:t>víta, že v roku 2022 agentúra naďalej zohrávala kľúčovú úlohu pri informovaní o opatreniach na podporu životného prostredia, pričom reagovala na ciele Európskej zelenej dohody a 8. environmentálneho akčného programu (8. EAP), ako aj na celkové ambície a globálne záväzky Európy; víta, že agentúra pokračovala v plnení dohodnutých opatrení a úloh a prijala nové opatrenia na podporu zelenej transformácie a vykonávania európskeho právneho predpisu v oblasti klímy, pričom opatrenia prepojila so stratégiou EÚ pre adaptáciu na zmenu klímy; ďalej konštatuje, že to bol druhý rok vykonávania stratégie Európskej environmentálnej informačnej a monitorovacej siete (</w:t>
      </w:r>
      <w:proofErr w:type="spellStart"/>
      <w:r w:rsidRPr="00A61118">
        <w:t>Eionet</w:t>
      </w:r>
      <w:proofErr w:type="spellEnd"/>
      <w:r w:rsidRPr="00A61118">
        <w:t>) na roky 2021 – 2030, ktorej cieľom je poskytnúť tvorcom politík Únie a verejnosti najlepšie dostupné poznatky na dosiahnutie cieľov v oblasti životného prostredia a udržateľnosti;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5.</w:t>
      </w:r>
      <w:r w:rsidRPr="00A61118">
        <w:tab/>
        <w:t>poznamenáva, že v roku 2022, v čase vĺn horúčav, sucha a lesných požiarov, ktoré postihli veľké časti Európy, ako aj v čase, keď kontinent zažíval najhorúcejšie leto v histórii, bola agentúra spomenutá v 27 000 internetových článkoch a niekoľko jej zamestnancov poskytlo rozhovory médiám v celej Európe, čo bolo výsledkom značného záujmu médií, ktoré sa zameriavali na príčiny a dôsledky extrémneho počasia;</w:t>
      </w:r>
    </w:p>
    <w:p w:rsidR="005209B2" w:rsidRPr="00A61118" w:rsidRDefault="005209B2" w:rsidP="005209B2">
      <w:pPr>
        <w:pStyle w:val="NormalHanging12a"/>
      </w:pPr>
      <w:r w:rsidRPr="00A61118">
        <w:t>6.</w:t>
      </w:r>
      <w:r w:rsidRPr="00A61118">
        <w:tab/>
        <w:t>pripomína, že v roku 2022 agentúra prevzala nové úlohy na podporu zelenej transformácie a vykonávania európskeho právneho predpisu v oblasti klímy, ako je zriadenie Európskej vedeckej poradnej rady pre zmenu klímy, a zároveň prepojila opatrenia so stratégiou EÚ pre adaptáciu na zmenu klímy, čím sa posilnila úloha agentúry pri podpore plnenia európskych cieľov v oblasti klímy; oceňuje, že agentúra podporuje členov parlamentného Výboru pre životné prostredie, verejné zdravie a bezpečnosť potravín (ENVI) poskytovaním vedecky podložených aktualizovaných údajov a informácií;</w:t>
      </w:r>
    </w:p>
    <w:p w:rsidR="005209B2" w:rsidRPr="00A61118" w:rsidRDefault="005209B2" w:rsidP="005209B2">
      <w:pPr>
        <w:pStyle w:val="NormalHanging12a"/>
      </w:pPr>
      <w:r w:rsidRPr="00A61118">
        <w:t>7.</w:t>
      </w:r>
      <w:r w:rsidRPr="00A61118">
        <w:tab/>
        <w:t>s uspokojením konštatuje, že v roku 2022 bolo zriadené nové Európske tematické centrum pre biodiverzitu a ekosystémy na obdobie 2023 – 2026;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</w:rPr>
      </w:pPr>
      <w:r w:rsidRPr="00A61118">
        <w:rPr>
          <w:b/>
          <w:i/>
        </w:rPr>
        <w:t>Efektívnosť a zisky</w:t>
      </w:r>
    </w:p>
    <w:p w:rsidR="005209B2" w:rsidRPr="00A61118" w:rsidRDefault="005209B2" w:rsidP="005209B2">
      <w:pPr>
        <w:widowControl/>
        <w:spacing w:after="240"/>
        <w:ind w:left="567" w:hanging="567"/>
      </w:pPr>
      <w:r w:rsidRPr="00A61118">
        <w:t>8.</w:t>
      </w:r>
      <w:r w:rsidRPr="00A61118">
        <w:tab/>
        <w:t>pripomína, že v súlade s prístupom z posledných rokov sa agentúra v roku 2022 naďalej usilovala o zvýšenie efektívnosti prostredníctvom spoločného využívania služieb s Komisiou, inými agentúrami Únie a sieťou agentúr EÚ (EUAN) – Úradom zdieľanej podpory v Bruseli; poznamenáva, že v súlade s touto praxou agentúra uskutočňovala spoločné obstarávanie s útvarmi Komisie a sieťou EUAN, a to buď obstarávaním a vedením rámcových zmlúv, ktoré využíva aj Komisia a iné agentúry Únie, alebo využívaním rámcových zmlúv vedených inými subjektmi;</w:t>
      </w:r>
    </w:p>
    <w:p w:rsidR="005209B2" w:rsidRPr="00A61118" w:rsidRDefault="005209B2" w:rsidP="005209B2">
      <w:pPr>
        <w:widowControl/>
        <w:spacing w:after="240"/>
        <w:ind w:left="567" w:hanging="567"/>
      </w:pPr>
      <w:r w:rsidRPr="00A61118">
        <w:t>9.</w:t>
      </w:r>
      <w:r w:rsidRPr="00A61118">
        <w:tab/>
        <w:t xml:space="preserve">konštatuje, že agentúra využíva aj rôzne služby Komisie (napr. mzdy, IT bezpečnosť) a systémy (napr. ABAC, </w:t>
      </w:r>
      <w:proofErr w:type="spellStart"/>
      <w:r w:rsidRPr="00A61118">
        <w:t>Sysper</w:t>
      </w:r>
      <w:proofErr w:type="spellEnd"/>
      <w:r w:rsidRPr="00A61118">
        <w:t xml:space="preserve">, </w:t>
      </w:r>
      <w:proofErr w:type="spellStart"/>
      <w:r w:rsidRPr="00A61118">
        <w:t>Ares</w:t>
      </w:r>
      <w:proofErr w:type="spellEnd"/>
      <w:r w:rsidRPr="00A61118">
        <w:t xml:space="preserve">, e-Prior) v súlade so zvýšením efektívnosti v </w:t>
      </w:r>
      <w:r w:rsidRPr="00A61118">
        <w:lastRenderedPageBreak/>
        <w:t xml:space="preserve">súvislosti s intenzívnejším využívaním elektronických nástrojov na podporu administratívnych procesov, a to aj v oblasti verejného obstarávania, financií a ľudských zdrojov; zároveň konštatuje, že agentúra v reakcii na obmedzenia súvisiace s pandémiou </w:t>
      </w:r>
      <w:r w:rsidR="00367E7A" w:rsidRPr="00A61118">
        <w:t xml:space="preserve">ochorenia </w:t>
      </w:r>
      <w:r w:rsidRPr="00A61118">
        <w:t xml:space="preserve">COVID-19 využívala nábor online s podporou zavedenia platformy na prijímanie zamestnancov </w:t>
      </w:r>
      <w:proofErr w:type="spellStart"/>
      <w:r w:rsidRPr="00A61118">
        <w:t>Systal</w:t>
      </w:r>
      <w:proofErr w:type="spellEnd"/>
      <w:r w:rsidRPr="00A61118">
        <w:t>, čo jej umožnilo dokončiť v rokoch 2021 a 2022 veľký počet náborov zamestnancov a na konci roka zachovať nízku mieru voľných pracovných miest;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10.</w:t>
      </w:r>
      <w:r w:rsidRPr="00A61118">
        <w:tab/>
        <w:t xml:space="preserve">ďalej poznamenáva, že pokračujúci prechod agentúry na prácu založenú na činnostiach prispel k zvýšeniu efektívnosti pri dynamickom a flexibilnom využívaní zrekonštruovaných kancelárskych priestorov, okrem rozšírenej možnosti </w:t>
      </w:r>
      <w:proofErr w:type="spellStart"/>
      <w:r w:rsidRPr="00A61118">
        <w:t>telepráce</w:t>
      </w:r>
      <w:proofErr w:type="spellEnd"/>
      <w:r w:rsidRPr="00A61118">
        <w:t xml:space="preserve"> pre zamestnancov agentúry; s uspokojením takisto konštatuje, že agentúra začala fungovať „len s mobilnými telefónmi“, čo prinieslo značné úspory nákladov na telefonovanie;</w:t>
      </w:r>
    </w:p>
    <w:p w:rsidR="005209B2" w:rsidRPr="00A61118" w:rsidRDefault="005209B2" w:rsidP="005209B2">
      <w:pPr>
        <w:pStyle w:val="NormalHanging12a"/>
      </w:pPr>
      <w:r w:rsidRPr="00A61118">
        <w:t>11.</w:t>
      </w:r>
      <w:r w:rsidRPr="00A61118">
        <w:tab/>
        <w:t>pripomína dôležitosť zvýšenia digitalizácie agentúry, pokiaľ ide o vnútornú prevádzku a riadenie, ale aj zámer urýchliť digitalizáciu postupov; zdôrazňuje, že je potrebné, aby bola agentúra v tejto súvislosti naďalej aktívna s cieľom zabrániť digitálnej priepasti medzi agentúrami Únie; upozorňuje však na potrebu prijať všetky potrebné bezpečnostné opatrenia, aby sa predišlo akémukoľvek ohrozeniu online bezpečnosti spracúvaných informácií; trvá na tom, že je potrebné zintenzívniť opatrenia proti kybernetickým útokom alebo pokusom o infiltráciu, najmä tým, ktoré pochádzajú z Ruska alebo Číny;</w:t>
      </w:r>
    </w:p>
    <w:p w:rsidR="005209B2" w:rsidRPr="00A61118" w:rsidRDefault="005209B2" w:rsidP="005209B2">
      <w:pPr>
        <w:pStyle w:val="NormalHanging12a"/>
        <w:jc w:val="both"/>
      </w:pPr>
      <w:r w:rsidRPr="00A61118">
        <w:t>12.</w:t>
      </w:r>
      <w:r w:rsidRPr="00A61118">
        <w:tab/>
        <w:t>vyzýva agentúru, aby aj naďalej presadzovala spoluprácu s inými agentúrami Únie a medzinárodnými organizáciami a podporovala dialóg so zainteresovanými stranami a s občanmi;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rPr>
          <w:b/>
          <w:i/>
        </w:rPr>
        <w:t>Personálna politika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t>13.</w:t>
      </w:r>
      <w:r w:rsidRPr="00A61118">
        <w:tab/>
        <w:t xml:space="preserve">konštatuje, že k 31. decembru 2022 bol plán pracovných miest naplnený na 97,33 %, pričom zo 150 pracovných miest povolených v rámci rozpočtu Únie (v porovnaní so 140 schválenými pracovnými miestami v roku 2021) boli vymenovaní traja stáli úradníci a 143 dočasných zamestnancov; konštatuje, že okrem toho v roku 2022 pre agentúru pracovalo 84 zmluvných zamestnancov a 13 vyslaných národných expertov; konštatuje, že od roku 2021 do roku 2023 sa plán pracovných miest schválený v rámci rozpočtu Únie zvýšil o 25 dočasných zamestnancov a 14 zmluvných zamestnancov na riešenie nových úloh vyplývajúcich z Európskej vedeckej poradnej rady pre zmenu klímy, LULUCF, </w:t>
      </w:r>
      <w:proofErr w:type="spellStart"/>
      <w:r w:rsidRPr="00A61118">
        <w:t>Seveso</w:t>
      </w:r>
      <w:proofErr w:type="spellEnd"/>
      <w:r w:rsidRPr="00A61118">
        <w:t xml:space="preserve"> a právnych predpisov o obnove prírody;</w:t>
      </w:r>
    </w:p>
    <w:p w:rsidR="00F461D5" w:rsidRPr="00A61118" w:rsidRDefault="005209B2" w:rsidP="005209B2">
      <w:pPr>
        <w:pStyle w:val="NormalHanging12a"/>
      </w:pPr>
      <w:r w:rsidRPr="00A61118">
        <w:t>14.</w:t>
      </w:r>
      <w:r w:rsidRPr="00A61118">
        <w:tab/>
        <w:t xml:space="preserve">vyjadruje poľutovanie nad rodovou nerovnováhou medzi členmi vrcholového manažmentu agentúry, keďže šesť z deviatich (67 %) sú muži; s uspokojením berie na vedomie rodovú rovnováhu medzi členmi správnej rady agentúry, kde 18 z 36 členov (50 %) sú muži; berie na vedomie rodovú rovnováhu medzi zamestnancami agentúry celkovo, pričom 118 z 221 zamestnancov (53 %) sú ženy; žiada agentúru, aby v budúcnosti zabezpečila rodovú rovnováhu na úrovni vrcholového manažmentu; konštatuje, že agentúra neprijala Chartu rozmanitosti a začlenenia, a vyzýva agentúru, aby ju prijala a aktívne sa zúčastňovala na iniciatívach, ktoré podporujú rozmanitosť a začlenenie na pracovisku; </w:t>
      </w:r>
    </w:p>
    <w:p w:rsidR="005209B2" w:rsidRPr="00A61118" w:rsidRDefault="005209B2" w:rsidP="005209B2">
      <w:pPr>
        <w:pStyle w:val="NormalHanging12a"/>
      </w:pPr>
      <w:r w:rsidRPr="00A61118">
        <w:t>15.</w:t>
      </w:r>
      <w:r w:rsidRPr="00A61118">
        <w:tab/>
        <w:t xml:space="preserve">vyjadruje znepokojenie nad geografickou rovnováhou v rámci vyššieho a stredného manažmentu agentúry, ktorý nemá ani jedného manažérskeho zamestnanca zo strednej a </w:t>
      </w:r>
      <w:r w:rsidRPr="00A61118">
        <w:lastRenderedPageBreak/>
        <w:t>východnej Európy; trvá na tom, že sa to musí zlepšiť; žiada agentúru, aby o tejto otázke informovala orgán udeľujúci absolutórium;</w:t>
      </w:r>
    </w:p>
    <w:p w:rsidR="005209B2" w:rsidRPr="00A61118" w:rsidRDefault="005209B2" w:rsidP="005209B2">
      <w:pPr>
        <w:pStyle w:val="NormalHanging12a"/>
      </w:pPr>
      <w:r w:rsidRPr="00A61118">
        <w:t>16.</w:t>
      </w:r>
      <w:r w:rsidRPr="00A61118">
        <w:tab/>
        <w:t>víta, že agentúra má koordinátora pre dobré životné podmienky a vykonala rozsiahlu prácu v oblasti zvyšovania povedomia a nastavenia procesov pre zamestnancov, ktorí sa vracajú z dlhodobej neprítomnosti, a v prípade potreby je zamestnancom ponúknutá odborná pomoc prostredníctvom lekárskeho poradcu;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17.</w:t>
      </w:r>
      <w:r w:rsidRPr="00A61118">
        <w:tab/>
        <w:t>poznamenáva, že na zníženie rizika vyhorenia zaviedla agentúra spolu s poskytovateľom zdravotnej starostlivosti aplikáciu na monitorovanie stresu (s názvom „</w:t>
      </w:r>
      <w:proofErr w:type="spellStart"/>
      <w:r w:rsidRPr="00A61118">
        <w:t>Howdy</w:t>
      </w:r>
      <w:proofErr w:type="spellEnd"/>
      <w:r w:rsidRPr="00A61118">
        <w:t>“); berie na vedomie, že zamestnanci sú zaregistrovaní v aplikácii a pravidelne dostávajú sériu otázok na monitorovanie úrovne stresu, a ak sa táto úroveň zvýši, kontaktuje ich lekársky psychológ, aby s nimi prediskutoval výsledok; konštatuje, že zamestnanci majú možnosť absolvovať až tri stretnutia s psychológom u poskytovateľa zdravotnej starostlivosti agentúry, aby mohli riešiť svoje problémy, zdôrazňuje, že všetko prebieha anonymne a agentúre sa poskytujú len štatistické údaje;</w:t>
      </w:r>
    </w:p>
    <w:p w:rsidR="005209B2" w:rsidRPr="00A61118" w:rsidRDefault="005209B2" w:rsidP="005209B2">
      <w:pPr>
        <w:pStyle w:val="NormalHanging12a"/>
      </w:pPr>
      <w:r w:rsidRPr="00A61118">
        <w:t>18.</w:t>
      </w:r>
      <w:r w:rsidRPr="00A61118">
        <w:tab/>
        <w:t xml:space="preserve">konštatuje, že agentúra má politiku v oblasti ochrany ľudskej dôstojnosti a predchádzania psychickému a sexuálnemu obťažovaniu a že agentúra je súčasťou </w:t>
      </w:r>
      <w:proofErr w:type="spellStart"/>
      <w:r w:rsidRPr="00A61118">
        <w:t>medziagentúrnej</w:t>
      </w:r>
      <w:proofErr w:type="spellEnd"/>
      <w:r w:rsidRPr="00A61118">
        <w:t xml:space="preserve"> pracovnej skupiny dôverných poradcov; so záujmom očakáva ich správu a odporúčania; konštatuje, že v roku 2022 neboli nahlásené žiadne prípady obťažovania, a nabáda agentúru, aby pokračovala v práci na predchádzaní prípadom aj v budúcnosti a rozvíjala ju;</w:t>
      </w:r>
    </w:p>
    <w:p w:rsidR="00F461D5" w:rsidRPr="00A61118" w:rsidRDefault="005209B2" w:rsidP="005209B2">
      <w:pPr>
        <w:widowControl/>
        <w:spacing w:after="240"/>
        <w:ind w:left="567" w:hanging="567"/>
      </w:pPr>
      <w:r w:rsidRPr="00A61118">
        <w:t>19.</w:t>
      </w:r>
      <w:r w:rsidRPr="00A61118">
        <w:tab/>
        <w:t>so znepokojením konštatuje, že napriek viacročnému charakteru úloh agentúry existuje nerovnováha, pokiaľ ide o počet trvalých a zmluvných pracovných miest, ako aj prevádzkových a podporných zamestnancov, čo vedie k neustálej potrebe rekvalifikácie, ako aj k preťaženiu administratívnej práce pre vedcov; vyzýva agentúru, aby prehodnotila svoju personálnu politiku; domnieva sa, že vzhľadom na výrazné zvýšenie pracovného zaťaženia a s cieľom riadne plniť úlohy súvisiace s cieľmi Únie, okrem iného v oblasti klimatickej neutrality, obehového hospodárstva a obnovy prírody, by počet zamestnancov agentúry mal v nadchádzajúcich rokoch naďalej výrazne rásť;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rPr>
          <w:b/>
          <w:bCs/>
          <w:i/>
          <w:iCs/>
        </w:rPr>
        <w:t>Prevencia, riešenie konfliktov záujmov a transparentnosť</w:t>
      </w:r>
    </w:p>
    <w:p w:rsidR="005209B2" w:rsidRPr="00A61118" w:rsidRDefault="005209B2" w:rsidP="005209B2">
      <w:pPr>
        <w:widowControl/>
        <w:spacing w:after="240"/>
        <w:ind w:left="567" w:hanging="567"/>
        <w:rPr>
          <w:rFonts w:eastAsiaTheme="minorHAnsi"/>
          <w:szCs w:val="24"/>
        </w:rPr>
      </w:pPr>
      <w:r w:rsidRPr="00A61118">
        <w:t>20.</w:t>
      </w:r>
      <w:r w:rsidRPr="00A61118">
        <w:tab/>
        <w:t>pripomína, že členovia vrcholového manažmentu a členovia správnej rady by mali predkladať vyhlásenie o záujmoch, ktoré sa uverejní na webovej stránke agentúry; berie na vedomie, že členovia vrcholového manažmentu by mali v rámci dialógu o kariérnom raste aktualizovať informovanosť o konflikte záujmov na základe vlastného vyhlásenia (ako súčasť sebahodnotenia), v ktorom by mal člen vrcholového manažmentu ako zamestnanec uviesť, či boli alebo majú byť prijaté nejaké nové záväzky alebo činnosti, ktoré by mohli viesť k potenciálnemu konfliktu záujmov; poznamenáva, že pri dokončovaní plánu kariérneho rozvoja by mal zodpovedný vedúci pracovník uviesť svoje vlastné posúdenie otázky konfliktu záujmov; konštatuje, že v roku 2022 neboli zistené žiadne prípady konfliktu záujmov;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21.</w:t>
      </w:r>
      <w:r w:rsidRPr="00A61118">
        <w:tab/>
        <w:t>berie na vedomie, že agentúra naďalej sleduje predložené životopisy a vyhlásenia o záujmoch členov správnej rady a vrcholových manažérov a zverejňuje ich na svojom webovom sídle;</w:t>
      </w:r>
    </w:p>
    <w:p w:rsidR="005209B2" w:rsidRPr="00A61118" w:rsidRDefault="005209B2" w:rsidP="005209B2">
      <w:pPr>
        <w:spacing w:after="240"/>
        <w:ind w:left="567" w:hanging="567"/>
        <w:rPr>
          <w:szCs w:val="24"/>
        </w:rPr>
      </w:pPr>
      <w:r w:rsidRPr="00A61118">
        <w:t>22.</w:t>
      </w:r>
      <w:r w:rsidRPr="00A61118">
        <w:tab/>
        <w:t xml:space="preserve">konštatuje, že podľa pripomienok k udeleniu absolutória za rok 2021 agentúra v </w:t>
      </w:r>
      <w:r w:rsidRPr="00A61118">
        <w:lastRenderedPageBreak/>
        <w:t>súčasnosti prehodnocuje svoju politiku v oblasti predchádzania a riadenia konfliktu záujmov s cieľom posúdiť jej vhodnosť a relevantnosť na základe prístupu založeného na riziku; konštatuje, že agentúra pritom zváži svoje mechanizmy vnútornej kontroly a protikorupčné mechanizmy a vykoná úpravy všetkých nedostatkov, ktoré zistí; vyzýva agentúru, aby informovala orgán udeľujúci absolutórium o výsledku uvedeného posúdenia;</w:t>
      </w:r>
    </w:p>
    <w:p w:rsidR="005209B2" w:rsidRPr="00A61118" w:rsidRDefault="005209B2" w:rsidP="005209B2">
      <w:pPr>
        <w:pStyle w:val="NormalHanging12a"/>
      </w:pPr>
      <w:r w:rsidRPr="00A61118">
        <w:t>23.</w:t>
      </w:r>
      <w:r w:rsidRPr="00A61118">
        <w:tab/>
        <w:t>berie na vedomie dosiahnutú viditeľnosť agentúry; zastáva názor, že stále existuje priestor na väčšiu viditeľnosť v médiách, na internete a v sociálnych médiách s cieľom informovať občanov o jej práci a o nebezpečenstvách pre naše prostredie;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rPr>
          <w:b/>
          <w:i/>
        </w:rPr>
        <w:t>Vnútorná kontrola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24.</w:t>
      </w:r>
      <w:r w:rsidRPr="00A61118">
        <w:tab/>
        <w:t>berie na vedomie, že v roku 2022 agentúra pokračovala v práci na štrukturálnych zmenách v spôsoboch svojej práce, ktoré začala v roku 2021; poznamenáva, že po úplnom zavedení zmien sa bude venovať plná pozornosť aktualizácii dokumentácie postupov, čím sa odstránia nedostatky zistené v rámci vnútornej kontroly agentúry; konštatuje, že prístup agentúry k riadeniu rizík je čiastočne v súlade, keďže identifikuje a analyzuje riziká v rámci celej organizácie, ale systematická identifikácia, hodnotenie a následné opatrenia v súvislosti s rizikami na úrovni projektových skupín sú obmedzené;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25.</w:t>
      </w:r>
      <w:r w:rsidRPr="00A61118">
        <w:tab/>
        <w:t>poznamenáva, že kontrolné činnosti na zmiernenie rizík sú tiež čiastočne v súlade, pretože v dôsledku štrukturálnych zmien v roku 2022 sú zastarané; konštatuje, že politika Európskeho tematického centra a politika pre granty sú vzhľadom na zmenu štruktúry overovania zavedenú v roku 2022 takisto zastarané; pokiaľ ide o plány kontinuity činností, tie sú zavedené a účinne sa využívali počas kríz, ale ich opatrenia sú rozptýlené v rôznych dokumentoch a neboli aktualizované tak, aby odrážali nové spôsoby práce; vyzýva agentúru, aby orgán udeľujúci absolutórium informovala o opatreniach, ktoré prijme s cieľom aktualizovať dokumentáciu postupov;</w:t>
      </w:r>
    </w:p>
    <w:p w:rsidR="005209B2" w:rsidRPr="00A61118" w:rsidRDefault="005209B2" w:rsidP="005209B2">
      <w:pPr>
        <w:widowControl/>
        <w:spacing w:after="240"/>
        <w:ind w:left="567" w:hanging="567"/>
        <w:rPr>
          <w:b/>
          <w:i/>
          <w:szCs w:val="24"/>
        </w:rPr>
      </w:pPr>
      <w:r w:rsidRPr="00A61118">
        <w:rPr>
          <w:b/>
          <w:i/>
        </w:rPr>
        <w:t>Ďalšie pripomienky</w:t>
      </w:r>
    </w:p>
    <w:p w:rsidR="005209B2" w:rsidRPr="00A61118" w:rsidRDefault="005209B2" w:rsidP="005209B2">
      <w:pPr>
        <w:widowControl/>
        <w:spacing w:after="240"/>
        <w:ind w:left="567" w:hanging="567"/>
        <w:rPr>
          <w:rFonts w:eastAsia="Calibri"/>
          <w:szCs w:val="24"/>
        </w:rPr>
      </w:pPr>
      <w:r w:rsidRPr="00A61118">
        <w:t>26.</w:t>
      </w:r>
      <w:r w:rsidRPr="00A61118">
        <w:tab/>
        <w:t>víta, že v septembri 2022 príslušný orgán úspešne predĺžil registráciu agentúry v rámci schémy EÚ pre environmentálne manažérstvo a audit (EMAS) o ďalší rok; s uspokojením konštatuje, že v správe Dvora audítorov sa uvádza, že agentúra patrí medzi agentúry, ktoré vydávajú ročné environmentálne vyhlásenie;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27.</w:t>
      </w:r>
      <w:r w:rsidRPr="00A61118">
        <w:tab/>
        <w:t>chváli agentúru za jej pokračujúce úsilie o zviditeľnenie verejnosti a prítomnosť na internete v roku 2022, ako napríklad za vytvorenie interaktívnej digitálnej podnikovej publikácie „EEA 2021: rok v skratke“ s cieľom vysvetliť, čo agentúra je a čo robí, a prebiehajúci viacročný webový projekt, ktorý v roku 2022 priniesol kľúčové prvky, medzi nimi navigačnú logiku orientovanú na používateľa a aktualizovaný obsah v kľúčových oblastiach znalostí na základe intenzívnej analýzy používateľov;</w:t>
      </w:r>
    </w:p>
    <w:p w:rsidR="005209B2" w:rsidRPr="00A61118" w:rsidRDefault="005209B2" w:rsidP="005209B2">
      <w:pPr>
        <w:widowControl/>
        <w:spacing w:after="240"/>
        <w:ind w:left="567" w:hanging="567"/>
        <w:rPr>
          <w:szCs w:val="24"/>
        </w:rPr>
      </w:pPr>
      <w:r w:rsidRPr="00A61118">
        <w:t>28.</w:t>
      </w:r>
      <w:r w:rsidRPr="00A61118">
        <w:tab/>
        <w:t>vyjadruje agentúre uznanie za účasť v osobitnej pracovnej skupine, ktorej cieľom je zhromaždiť poznatky, odborné znalosti a údaje na mapovanie vplyvu nevyprovokovaného a neoprávneného útoku Ruska na Ukrajinu na životné prostredie;</w:t>
      </w:r>
    </w:p>
    <w:p w:rsidR="005209B2" w:rsidRPr="00A61118" w:rsidRDefault="005209B2" w:rsidP="005209B2">
      <w:pPr>
        <w:pStyle w:val="NormalCenter12a"/>
        <w:widowControl/>
        <w:ind w:left="567" w:hanging="567"/>
      </w:pPr>
      <w:r w:rsidRPr="00A61118">
        <w:t>°</w:t>
      </w:r>
    </w:p>
    <w:p w:rsidR="005209B2" w:rsidRPr="00A61118" w:rsidRDefault="005209B2" w:rsidP="005209B2">
      <w:pPr>
        <w:pStyle w:val="NormalCenter12a"/>
        <w:widowControl/>
        <w:ind w:left="567" w:hanging="567"/>
      </w:pPr>
      <w:r w:rsidRPr="00A61118">
        <w:t>°</w:t>
      </w:r>
      <w:r w:rsidRPr="00A61118">
        <w:tab/>
        <w:t>°</w:t>
      </w:r>
    </w:p>
    <w:p w:rsidR="005209B2" w:rsidRPr="00A61118" w:rsidRDefault="005209B2" w:rsidP="005209B2">
      <w:pPr>
        <w:pStyle w:val="NormalHanging12a"/>
        <w:widowControl/>
      </w:pPr>
      <w:r w:rsidRPr="00A61118">
        <w:lastRenderedPageBreak/>
        <w:t>29.</w:t>
      </w:r>
      <w:r w:rsidRPr="00A61118">
        <w:tab/>
        <w:t>pokiaľ ide o ďalšie poznámky prierezovej povahy, ktoré sú súčasťou rozhodnutia o absolutóriu, odvoláva sa na svoje uznesenie z</w:t>
      </w:r>
      <w:r w:rsidR="00F461D5" w:rsidRPr="00A61118">
        <w:t> 11. apríla 2024</w:t>
      </w:r>
      <w:r w:rsidRPr="00A61118">
        <w:rPr>
          <w:vertAlign w:val="superscript"/>
        </w:rPr>
        <w:footnoteReference w:id="12"/>
      </w:r>
      <w:r w:rsidRPr="00A61118">
        <w:t xml:space="preserve"> o výkonnosti, finančnom hospodárení a kontrole agentúr.</w:t>
      </w:r>
    </w:p>
    <w:p w:rsidR="005209B2" w:rsidRPr="00A61118" w:rsidRDefault="005209B2" w:rsidP="005209B2"/>
    <w:p w:rsidR="00E365E1" w:rsidRPr="00A61118" w:rsidRDefault="00E365E1" w:rsidP="00E46274">
      <w:bookmarkStart w:id="9" w:name="TextBodyEnd"/>
      <w:bookmarkEnd w:id="9"/>
    </w:p>
    <w:sectPr w:rsidR="00E365E1" w:rsidRPr="00A61118" w:rsidSect="008021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274" w:rsidRPr="008021AB" w:rsidRDefault="00E46274">
      <w:r w:rsidRPr="008021AB">
        <w:separator/>
      </w:r>
    </w:p>
  </w:endnote>
  <w:endnote w:type="continuationSeparator" w:id="0">
    <w:p w:rsidR="00E46274" w:rsidRPr="008021AB" w:rsidRDefault="00E46274">
      <w:r w:rsidRPr="00802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9B2" w:rsidRPr="008021AB" w:rsidRDefault="005209B2" w:rsidP="00E215EC">
    <w:pPr>
      <w:pStyle w:val="EPFooter"/>
    </w:pPr>
    <w:r w:rsidRPr="008021AB">
      <w:t>PE</w:t>
    </w:r>
    <w:r w:rsidRPr="008021AB">
      <w:rPr>
        <w:rStyle w:val="HideTWBExt"/>
      </w:rPr>
      <w:t>&lt;</w:t>
    </w:r>
    <w:proofErr w:type="spellStart"/>
    <w:r w:rsidRPr="008021AB">
      <w:rPr>
        <w:rStyle w:val="HideTWBExt"/>
      </w:rPr>
      <w:t>NoPE</w:t>
    </w:r>
    <w:proofErr w:type="spellEnd"/>
    <w:r w:rsidRPr="008021AB">
      <w:rPr>
        <w:rStyle w:val="HideTWBExt"/>
      </w:rPr>
      <w:t>&gt;</w:t>
    </w:r>
    <w:r w:rsidRPr="008021AB">
      <w:t>753.517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NoPE</w:t>
    </w:r>
    <w:proofErr w:type="spellEnd"/>
    <w:r w:rsidRPr="008021AB">
      <w:rPr>
        <w:rStyle w:val="HideTWBExt"/>
      </w:rPr>
      <w:t>&gt;&lt;Version&gt;</w:t>
    </w:r>
    <w:r w:rsidRPr="008021AB">
      <w:t>v02-00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Version</w:t>
    </w:r>
    <w:proofErr w:type="spellEnd"/>
    <w:r w:rsidRPr="008021AB">
      <w:rPr>
        <w:rStyle w:val="HideTWBExt"/>
      </w:rPr>
      <w:t>&gt;</w:t>
    </w:r>
    <w:r w:rsidRPr="008021AB">
      <w:tab/>
    </w:r>
    <w:r w:rsidRPr="008021AB">
      <w:fldChar w:fldCharType="begin"/>
    </w:r>
    <w:r w:rsidRPr="008021AB">
      <w:instrText xml:space="preserve"> PAGE  \* MERGEFORMAT </w:instrText>
    </w:r>
    <w:r w:rsidRPr="008021AB">
      <w:fldChar w:fldCharType="separate"/>
    </w:r>
    <w:r w:rsidRPr="008021AB">
      <w:rPr>
        <w:noProof/>
      </w:rPr>
      <w:t>4</w:t>
    </w:r>
    <w:r w:rsidRPr="008021AB">
      <w:fldChar w:fldCharType="end"/>
    </w:r>
    <w:r w:rsidRPr="008021AB">
      <w:t>/</w:t>
    </w:r>
    <w:r w:rsidR="008E00DB">
      <w:fldChar w:fldCharType="begin"/>
    </w:r>
    <w:r w:rsidR="008E00DB">
      <w:instrText xml:space="preserve"> NUMPAGES  \* MERGEFORMAT </w:instrText>
    </w:r>
    <w:r w:rsidR="008E00DB">
      <w:fldChar w:fldCharType="separate"/>
    </w:r>
    <w:r w:rsidRPr="008021AB">
      <w:rPr>
        <w:noProof/>
      </w:rPr>
      <w:t>4</w:t>
    </w:r>
    <w:r w:rsidR="008E00DB">
      <w:rPr>
        <w:noProof/>
      </w:rPr>
      <w:fldChar w:fldCharType="end"/>
    </w:r>
    <w:r w:rsidRPr="008021AB">
      <w:tab/>
    </w:r>
    <w:r w:rsidRPr="008021AB">
      <w:rPr>
        <w:rStyle w:val="HideTWBExt"/>
      </w:rPr>
      <w:t>&lt;PathFdR&gt;</w:t>
    </w:r>
    <w:r w:rsidRPr="008021AB">
      <w:t>RR\1299228SK.docx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PathFdR</w:t>
    </w:r>
    <w:proofErr w:type="spellEnd"/>
    <w:r w:rsidRPr="008021AB">
      <w:rPr>
        <w:rStyle w:val="HideTWBExt"/>
      </w:rPr>
      <w:t>&gt;</w:t>
    </w:r>
  </w:p>
  <w:p w:rsidR="005209B2" w:rsidRPr="008021AB" w:rsidRDefault="005209B2" w:rsidP="00E215EC">
    <w:pPr>
      <w:pStyle w:val="EPFooter2"/>
    </w:pPr>
    <w:r w:rsidRPr="008021A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9B2" w:rsidRPr="008021AB" w:rsidRDefault="005209B2" w:rsidP="00E215EC">
    <w:pPr>
      <w:pStyle w:val="EPFooter"/>
    </w:pPr>
    <w:r w:rsidRPr="008021AB">
      <w:rPr>
        <w:rStyle w:val="HideTWBExt"/>
      </w:rPr>
      <w:t>&lt;PathFdR&gt;</w:t>
    </w:r>
    <w:r w:rsidRPr="008021AB">
      <w:t>RR\1299228SK.docx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PathFdR</w:t>
    </w:r>
    <w:proofErr w:type="spellEnd"/>
    <w:r w:rsidRPr="008021AB">
      <w:rPr>
        <w:rStyle w:val="HideTWBExt"/>
      </w:rPr>
      <w:t>&gt;</w:t>
    </w:r>
    <w:r w:rsidRPr="008021AB">
      <w:tab/>
    </w:r>
    <w:r w:rsidRPr="008021AB">
      <w:tab/>
      <w:t>PE</w:t>
    </w:r>
    <w:r w:rsidRPr="008021AB">
      <w:rPr>
        <w:rStyle w:val="HideTWBExt"/>
      </w:rPr>
      <w:t>&lt;</w:t>
    </w:r>
    <w:proofErr w:type="spellStart"/>
    <w:r w:rsidRPr="008021AB">
      <w:rPr>
        <w:rStyle w:val="HideTWBExt"/>
      </w:rPr>
      <w:t>NoPE</w:t>
    </w:r>
    <w:proofErr w:type="spellEnd"/>
    <w:r w:rsidRPr="008021AB">
      <w:rPr>
        <w:rStyle w:val="HideTWBExt"/>
      </w:rPr>
      <w:t>&gt;</w:t>
    </w:r>
    <w:r w:rsidRPr="008021AB">
      <w:t>753.517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NoPE</w:t>
    </w:r>
    <w:proofErr w:type="spellEnd"/>
    <w:r w:rsidRPr="008021AB">
      <w:rPr>
        <w:rStyle w:val="HideTWBExt"/>
      </w:rPr>
      <w:t>&gt;&lt;Version&gt;</w:t>
    </w:r>
    <w:r w:rsidRPr="008021AB">
      <w:t>v02-00</w:t>
    </w:r>
    <w:r w:rsidRPr="008021AB">
      <w:rPr>
        <w:rStyle w:val="HideTWBExt"/>
      </w:rPr>
      <w:t>&lt;/</w:t>
    </w:r>
    <w:proofErr w:type="spellStart"/>
    <w:r w:rsidRPr="008021AB">
      <w:rPr>
        <w:rStyle w:val="HideTWBExt"/>
      </w:rPr>
      <w:t>Version</w:t>
    </w:r>
    <w:proofErr w:type="spellEnd"/>
    <w:r w:rsidRPr="008021AB">
      <w:rPr>
        <w:rStyle w:val="HideTWBExt"/>
      </w:rPr>
      <w:t>&gt;</w:t>
    </w:r>
  </w:p>
  <w:p w:rsidR="005209B2" w:rsidRPr="008021AB" w:rsidRDefault="005209B2" w:rsidP="00E215EC">
    <w:pPr>
      <w:pStyle w:val="EPFooter2"/>
    </w:pPr>
    <w:r w:rsidRPr="008021AB">
      <w:t>SK</w:t>
    </w:r>
    <w:r w:rsidRPr="008021AB">
      <w:tab/>
    </w:r>
    <w:r w:rsidRPr="008021AB">
      <w:rPr>
        <w:b w:val="0"/>
        <w:i/>
        <w:color w:val="C0C0C0"/>
        <w:sz w:val="22"/>
      </w:rPr>
      <w:t>Zjednotení v rozmanitosti</w:t>
    </w:r>
    <w:r w:rsidRPr="008021A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274" w:rsidRPr="008021AB" w:rsidRDefault="00E46274">
      <w:r w:rsidRPr="008021AB">
        <w:separator/>
      </w:r>
    </w:p>
  </w:footnote>
  <w:footnote w:type="continuationSeparator" w:id="0">
    <w:p w:rsidR="00E46274" w:rsidRPr="008021AB" w:rsidRDefault="00E46274">
      <w:r w:rsidRPr="008021AB">
        <w:continuationSeparator/>
      </w:r>
    </w:p>
  </w:footnote>
  <w:footnote w:id="1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C, C/2023/594, 27.10.2023.</w:t>
      </w:r>
    </w:p>
  </w:footnote>
  <w:footnote w:id="2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C, C/2023/112, 12.10.2023.</w:t>
      </w:r>
    </w:p>
  </w:footnote>
  <w:footnote w:id="3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193, 30.7.2018, s. 1.</w:t>
      </w:r>
    </w:p>
  </w:footnote>
  <w:footnote w:id="4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126, 21.5.2009, s. 13.</w:t>
      </w:r>
    </w:p>
  </w:footnote>
  <w:footnote w:id="5">
    <w:p w:rsidR="005209B2" w:rsidRPr="008021AB" w:rsidRDefault="005209B2" w:rsidP="008021AB">
      <w:pPr>
        <w:pStyle w:val="FootnoteText"/>
        <w:ind w:left="567" w:hanging="567"/>
        <w:rPr>
          <w:sz w:val="24"/>
          <w:szCs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122, 10.5.2019, s. 1.</w:t>
      </w:r>
    </w:p>
  </w:footnote>
  <w:footnote w:id="6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C, C/2023/594, 27.10.2023.</w:t>
      </w:r>
    </w:p>
  </w:footnote>
  <w:footnote w:id="7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C, C/2023/112, 12.10.2023.</w:t>
      </w:r>
    </w:p>
  </w:footnote>
  <w:footnote w:id="8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193, 30.7.2018, s. 1.</w:t>
      </w:r>
    </w:p>
  </w:footnote>
  <w:footnote w:id="9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126, 21.5.2009, s. 13.</w:t>
      </w:r>
    </w:p>
  </w:footnote>
  <w:footnote w:id="10">
    <w:p w:rsidR="005209B2" w:rsidRPr="008021AB" w:rsidRDefault="005209B2" w:rsidP="008021AB">
      <w:pPr>
        <w:pStyle w:val="FootnoteText"/>
        <w:ind w:left="567" w:hanging="567"/>
        <w:rPr>
          <w:sz w:val="24"/>
          <w:szCs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L 122, 10.5.2019, s. 1.</w:t>
      </w:r>
    </w:p>
  </w:footnote>
  <w:footnote w:id="11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>Ú. v. EÚ C 38, 31.1.2023, s. 6.</w:t>
      </w:r>
    </w:p>
  </w:footnote>
  <w:footnote w:id="12">
    <w:p w:rsidR="005209B2" w:rsidRPr="008021AB" w:rsidRDefault="005209B2" w:rsidP="008021AB">
      <w:pPr>
        <w:pStyle w:val="FootnoteText"/>
        <w:ind w:left="567" w:hanging="567"/>
        <w:rPr>
          <w:sz w:val="24"/>
          <w:lang w:val="sk-SK"/>
        </w:rPr>
      </w:pPr>
      <w:r w:rsidRPr="008021AB">
        <w:rPr>
          <w:rStyle w:val="FootnoteReference"/>
          <w:sz w:val="24"/>
          <w:lang w:val="sk-SK"/>
        </w:rPr>
        <w:footnoteRef/>
      </w:r>
      <w:r w:rsidR="008021AB" w:rsidRPr="008021AB">
        <w:rPr>
          <w:sz w:val="24"/>
          <w:lang w:val="sk-SK"/>
        </w:rPr>
        <w:t xml:space="preserve"> </w:t>
      </w:r>
      <w:r w:rsidR="008021AB" w:rsidRPr="008021AB">
        <w:rPr>
          <w:sz w:val="24"/>
          <w:lang w:val="sk-SK"/>
        </w:rPr>
        <w:tab/>
      </w:r>
      <w:r w:rsidRPr="008021AB">
        <w:rPr>
          <w:sz w:val="24"/>
          <w:lang w:val="sk-SK"/>
        </w:rPr>
        <w:t xml:space="preserve">Prijaté texty, </w:t>
      </w:r>
      <w:r w:rsidRPr="008021AB">
        <w:rPr>
          <w:sz w:val="24"/>
          <w:lang w:val="sk-SK"/>
        </w:rPr>
        <w:t>P9_TA(2024)0</w:t>
      </w:r>
      <w:r w:rsidR="008E00DB">
        <w:rPr>
          <w:sz w:val="24"/>
          <w:lang w:val="sk-SK"/>
        </w:rPr>
        <w:t>280</w:t>
      </w:r>
      <w:bookmarkStart w:id="8" w:name="_GoBack"/>
      <w:bookmarkEnd w:id="8"/>
      <w:r w:rsidRPr="008021AB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1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0/2024"/>
    <w:docVar w:name="dvlangue" w:val="SK"/>
    <w:docVar w:name="dvnumam" w:val="0"/>
    <w:docVar w:name="dvpe" w:val="753.517"/>
    <w:docVar w:name="dvrapporteur" w:val="Spravodajca: "/>
    <w:docVar w:name="dvtitre" w:val="1. Rozhodnutie Európskeho parlamentu z 11. apríla 2024 o absolutóriu za plnenie rozpočtu Európskej environmentálnej agentúry za rozpočtový rok 2022(2023/2149(DEC))"/>
  </w:docVars>
  <w:rsids>
    <w:rsidRoot w:val="00E46274"/>
    <w:rsid w:val="00002272"/>
    <w:rsid w:val="00060F92"/>
    <w:rsid w:val="00064002"/>
    <w:rsid w:val="000677B9"/>
    <w:rsid w:val="000831BA"/>
    <w:rsid w:val="000A42CC"/>
    <w:rsid w:val="000C172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E7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9B2"/>
    <w:rsid w:val="00545827"/>
    <w:rsid w:val="00560270"/>
    <w:rsid w:val="005C2568"/>
    <w:rsid w:val="006037C0"/>
    <w:rsid w:val="0062529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1AB"/>
    <w:rsid w:val="00817416"/>
    <w:rsid w:val="00842779"/>
    <w:rsid w:val="00865F67"/>
    <w:rsid w:val="00881A7B"/>
    <w:rsid w:val="008840E5"/>
    <w:rsid w:val="00887B3E"/>
    <w:rsid w:val="008C2AC6"/>
    <w:rsid w:val="008E00DB"/>
    <w:rsid w:val="00930C23"/>
    <w:rsid w:val="0093193B"/>
    <w:rsid w:val="00943D9C"/>
    <w:rsid w:val="009509D8"/>
    <w:rsid w:val="00950B64"/>
    <w:rsid w:val="00981893"/>
    <w:rsid w:val="00A1687D"/>
    <w:rsid w:val="00A43E52"/>
    <w:rsid w:val="00A4678D"/>
    <w:rsid w:val="00A6111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75C"/>
    <w:rsid w:val="00E365E1"/>
    <w:rsid w:val="00E43768"/>
    <w:rsid w:val="00E46274"/>
    <w:rsid w:val="00E820A4"/>
    <w:rsid w:val="00EB006A"/>
    <w:rsid w:val="00EB4772"/>
    <w:rsid w:val="00ED169E"/>
    <w:rsid w:val="00ED4235"/>
    <w:rsid w:val="00F04346"/>
    <w:rsid w:val="00F075DC"/>
    <w:rsid w:val="00F149E9"/>
    <w:rsid w:val="00F461D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69991"/>
  <w15:chartTrackingRefBased/>
  <w15:docId w15:val="{02B4A337-84B7-4D91-9A55-47EFA6EC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209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209B2"/>
    <w:pPr>
      <w:spacing w:before="480" w:after="240"/>
    </w:pPr>
  </w:style>
  <w:style w:type="paragraph" w:customStyle="1" w:styleId="PageHeading">
    <w:name w:val="PageHeading"/>
    <w:basedOn w:val="Normal"/>
    <w:rsid w:val="005209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209B2"/>
    <w:rPr>
      <w:b/>
    </w:rPr>
  </w:style>
  <w:style w:type="paragraph" w:customStyle="1" w:styleId="NormalHanging12a">
    <w:name w:val="NormalHanging12a"/>
    <w:basedOn w:val="Normal"/>
    <w:link w:val="NormalHanging12aChar"/>
    <w:rsid w:val="005209B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209B2"/>
    <w:pPr>
      <w:spacing w:after="240"/>
      <w:jc w:val="center"/>
    </w:pPr>
  </w:style>
  <w:style w:type="paragraph" w:styleId="Header">
    <w:name w:val="header"/>
    <w:basedOn w:val="Normal"/>
    <w:link w:val="HeaderChar"/>
    <w:rsid w:val="005209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09B2"/>
    <w:rPr>
      <w:sz w:val="24"/>
      <w:lang w:val="sk-SK"/>
    </w:rPr>
  </w:style>
  <w:style w:type="paragraph" w:customStyle="1" w:styleId="EPFooter">
    <w:name w:val="EPFooter"/>
    <w:basedOn w:val="Normal"/>
    <w:rsid w:val="005209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209B2"/>
    <w:rPr>
      <w:sz w:val="24"/>
      <w:lang w:val="sk-SK"/>
    </w:rPr>
  </w:style>
  <w:style w:type="paragraph" w:styleId="Footer">
    <w:name w:val="footer"/>
    <w:basedOn w:val="Normal"/>
    <w:link w:val="FooterChar"/>
    <w:rsid w:val="00DF37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375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9437E-8E6F-4C8E-BCD4-1FD427B6D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2932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2024-05-15T11:38:00Z</dcterms:created>
  <dcterms:modified xsi:type="dcterms:W3CDTF">2024-05-15T11:38:00Z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P9_TA(2024)0242_</vt:lpwstr>
  </property>
  <property fmtid="{D5CDD505-2E9C-101B-9397-08002B2CF9AE}" pid="4" name="&lt;Type&gt;">
    <vt:lpwstr>RR</vt:lpwstr>
  </property>
</Properties>
</file>