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941E0" w:rsidTr="0010095E">
        <w:trPr>
          <w:trHeight w:hRule="exact" w:val="1418"/>
        </w:trPr>
        <w:tc>
          <w:tcPr>
            <w:tcW w:w="6804" w:type="dxa"/>
            <w:shd w:val="clear" w:color="auto" w:fill="auto"/>
            <w:vAlign w:val="center"/>
          </w:tcPr>
          <w:p w:rsidR="00751A4A" w:rsidRPr="004941E0" w:rsidRDefault="00C114DE" w:rsidP="0010095E">
            <w:pPr>
              <w:pStyle w:val="EPName"/>
            </w:pPr>
            <w:r w:rsidRPr="004941E0">
              <w:t>Evropski parlament</w:t>
            </w:r>
          </w:p>
          <w:p w:rsidR="00751A4A" w:rsidRPr="004941E0" w:rsidRDefault="00817416" w:rsidP="00756632">
            <w:pPr>
              <w:pStyle w:val="EPTerm"/>
              <w:rPr>
                <w:rStyle w:val="HideTWBExt"/>
                <w:noProof w:val="0"/>
                <w:vanish w:val="0"/>
                <w:color w:val="auto"/>
              </w:rPr>
            </w:pPr>
            <w:r w:rsidRPr="004941E0">
              <w:t>2019-2024</w:t>
            </w:r>
          </w:p>
        </w:tc>
        <w:tc>
          <w:tcPr>
            <w:tcW w:w="2268" w:type="dxa"/>
            <w:shd w:val="clear" w:color="auto" w:fill="auto"/>
          </w:tcPr>
          <w:p w:rsidR="00751A4A" w:rsidRPr="004941E0" w:rsidRDefault="00187494" w:rsidP="0010095E">
            <w:pPr>
              <w:pStyle w:val="EPLogo"/>
            </w:pPr>
            <w:r w:rsidRPr="004941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941E0" w:rsidRDefault="00D058B8" w:rsidP="004C5D52">
      <w:pPr>
        <w:pStyle w:val="LineTop"/>
      </w:pPr>
    </w:p>
    <w:p w:rsidR="00680577" w:rsidRPr="004941E0" w:rsidRDefault="00C114DE" w:rsidP="00680577">
      <w:pPr>
        <w:pStyle w:val="EPBodyTA1"/>
      </w:pPr>
      <w:r w:rsidRPr="004941E0">
        <w:t>SPREJETA BESEDILA</w:t>
      </w:r>
    </w:p>
    <w:p w:rsidR="00D058B8" w:rsidRPr="004941E0" w:rsidRDefault="00D058B8" w:rsidP="00D058B8">
      <w:pPr>
        <w:pStyle w:val="LineBottom"/>
      </w:pPr>
    </w:p>
    <w:p w:rsidR="00C114DE" w:rsidRPr="004941E0" w:rsidRDefault="00C114DE" w:rsidP="00C114DE">
      <w:pPr>
        <w:pStyle w:val="ATHeading1"/>
      </w:pPr>
      <w:bookmarkStart w:id="0" w:name="TANumber"/>
      <w:r w:rsidRPr="004941E0">
        <w:t>P9_TA(2024)</w:t>
      </w:r>
      <w:bookmarkEnd w:id="0"/>
      <w:r w:rsidR="001B0BA2">
        <w:t>0242</w:t>
      </w:r>
    </w:p>
    <w:p w:rsidR="00C114DE" w:rsidRPr="004941E0" w:rsidRDefault="00C114DE" w:rsidP="00C114DE">
      <w:pPr>
        <w:pStyle w:val="ATHeading2"/>
      </w:pPr>
      <w:bookmarkStart w:id="1" w:name="title"/>
      <w:r w:rsidRPr="004941E0">
        <w:t>Razrešnica za leto 2022: Evropska agencija za okolje</w:t>
      </w:r>
      <w:bookmarkEnd w:id="1"/>
    </w:p>
    <w:p w:rsidR="00C114DE" w:rsidRPr="004941E0" w:rsidRDefault="00C114DE" w:rsidP="00C114DE">
      <w:pPr>
        <w:rPr>
          <w:i/>
          <w:vanish/>
        </w:rPr>
      </w:pPr>
      <w:r w:rsidRPr="004941E0">
        <w:rPr>
          <w:i/>
        </w:rPr>
        <w:fldChar w:fldCharType="begin"/>
      </w:r>
      <w:r w:rsidRPr="004941E0">
        <w:rPr>
          <w:i/>
        </w:rPr>
        <w:instrText xml:space="preserve"> TC"(</w:instrText>
      </w:r>
      <w:bookmarkStart w:id="2" w:name="DocNumber"/>
      <w:r w:rsidRPr="004941E0">
        <w:rPr>
          <w:i/>
        </w:rPr>
        <w:instrText>A9-0130/2024</w:instrText>
      </w:r>
      <w:bookmarkEnd w:id="2"/>
      <w:r w:rsidRPr="004941E0">
        <w:rPr>
          <w:i/>
        </w:rPr>
        <w:instrText xml:space="preserve"> - Poročevalec: Petri </w:instrText>
      </w:r>
      <w:proofErr w:type="spellStart"/>
      <w:r w:rsidRPr="004941E0">
        <w:rPr>
          <w:i/>
        </w:rPr>
        <w:instrText>Sarvamaa</w:instrText>
      </w:r>
      <w:proofErr w:type="spellEnd"/>
      <w:r w:rsidRPr="004941E0">
        <w:rPr>
          <w:i/>
        </w:rPr>
        <w:instrText xml:space="preserve">)"\l3 \n&gt; \* MERGEFORMAT </w:instrText>
      </w:r>
      <w:r w:rsidRPr="004941E0">
        <w:rPr>
          <w:i/>
        </w:rPr>
        <w:fldChar w:fldCharType="end"/>
      </w:r>
    </w:p>
    <w:p w:rsidR="00C114DE" w:rsidRPr="004941E0" w:rsidRDefault="00C114DE" w:rsidP="00C114DE">
      <w:pPr>
        <w:rPr>
          <w:vanish/>
        </w:rPr>
      </w:pPr>
      <w:bookmarkStart w:id="3" w:name="Commission"/>
      <w:r w:rsidRPr="004941E0">
        <w:rPr>
          <w:vanish/>
        </w:rPr>
        <w:t>Odbor za proračunski nadzor</w:t>
      </w:r>
      <w:bookmarkEnd w:id="3"/>
    </w:p>
    <w:p w:rsidR="00C114DE" w:rsidRPr="004941E0" w:rsidRDefault="00C114DE" w:rsidP="00C114DE">
      <w:pPr>
        <w:rPr>
          <w:vanish/>
        </w:rPr>
      </w:pPr>
      <w:bookmarkStart w:id="4" w:name="PE"/>
      <w:r w:rsidRPr="004941E0">
        <w:rPr>
          <w:vanish/>
        </w:rPr>
        <w:t>PE753.517</w:t>
      </w:r>
      <w:bookmarkEnd w:id="4"/>
    </w:p>
    <w:p w:rsidR="00C114DE" w:rsidRPr="004941E0" w:rsidRDefault="00BD6A22" w:rsidP="00C114DE">
      <w:pPr>
        <w:pStyle w:val="ATHeading3"/>
      </w:pPr>
      <w:bookmarkStart w:id="5" w:name="Sujet"/>
      <w:r w:rsidRPr="004941E0">
        <w:t xml:space="preserve">1. </w:t>
      </w:r>
      <w:r w:rsidR="00C114DE" w:rsidRPr="004941E0">
        <w:t xml:space="preserve">Sklep Evropskega parlamenta z dne </w:t>
      </w:r>
      <w:r w:rsidRPr="004941E0">
        <w:t>11. aprila</w:t>
      </w:r>
      <w:r w:rsidR="00B56675">
        <w:t xml:space="preserve"> </w:t>
      </w:r>
      <w:bookmarkStart w:id="6" w:name="_GoBack"/>
      <w:bookmarkEnd w:id="6"/>
      <w:r w:rsidR="00C114DE" w:rsidRPr="004941E0">
        <w:t>2024 o razrešnici glede izvrševanja proračuna Evropske agencije za okolje za proračunsko leto 2022</w:t>
      </w:r>
      <w:bookmarkEnd w:id="5"/>
      <w:r w:rsidR="00C114DE" w:rsidRPr="004941E0">
        <w:t xml:space="preserve"> </w:t>
      </w:r>
      <w:bookmarkStart w:id="7" w:name="References"/>
      <w:r w:rsidR="00C114DE" w:rsidRPr="004941E0">
        <w:t>(2023/2149(DEC))</w:t>
      </w:r>
      <w:bookmarkEnd w:id="7"/>
    </w:p>
    <w:p w:rsidR="00012624" w:rsidRPr="004941E0" w:rsidRDefault="00012624" w:rsidP="00012624">
      <w:pPr>
        <w:pStyle w:val="EPComma"/>
      </w:pPr>
      <w:bookmarkStart w:id="8" w:name="TextBodyBegin"/>
      <w:bookmarkEnd w:id="8"/>
      <w:r w:rsidRPr="004941E0">
        <w:rPr>
          <w:i/>
        </w:rPr>
        <w:t>Evropski parlament</w:t>
      </w:r>
      <w:r w:rsidRPr="004941E0">
        <w:t>,</w:t>
      </w:r>
    </w:p>
    <w:p w:rsidR="00012624" w:rsidRPr="004941E0" w:rsidRDefault="00012624" w:rsidP="00012624">
      <w:pPr>
        <w:pStyle w:val="NormalHanging12a"/>
      </w:pPr>
      <w:r w:rsidRPr="004941E0">
        <w:t>–</w:t>
      </w:r>
      <w:r w:rsidRPr="004941E0">
        <w:tab/>
        <w:t>ob upoštevanju končnega zaključnega računa Evropske agencije za okolje za proračunsko leto 2022,</w:t>
      </w:r>
    </w:p>
    <w:p w:rsidR="00012624" w:rsidRPr="004941E0" w:rsidRDefault="00012624" w:rsidP="00012624">
      <w:pPr>
        <w:pStyle w:val="NormalHanging12a"/>
      </w:pPr>
      <w:r w:rsidRPr="004941E0">
        <w:t>–</w:t>
      </w:r>
      <w:r w:rsidRPr="004941E0">
        <w:tab/>
        <w:t>ob upoštevanju letnega poročila Računskega sodišča o agencijah EU za proračunsko leto 2022 skupaj z odgovori agencij</w:t>
      </w:r>
      <w:r w:rsidRPr="004941E0">
        <w:rPr>
          <w:rStyle w:val="FootnoteReference"/>
        </w:rPr>
        <w:footnoteReference w:id="1"/>
      </w:r>
      <w:r w:rsidRPr="004941E0">
        <w:t>,</w:t>
      </w:r>
    </w:p>
    <w:p w:rsidR="00012624" w:rsidRPr="004941E0" w:rsidRDefault="00012624" w:rsidP="00012624">
      <w:pPr>
        <w:pStyle w:val="NormalHanging12a"/>
      </w:pPr>
      <w:r w:rsidRPr="004941E0">
        <w:t>–</w:t>
      </w:r>
      <w:r w:rsidRPr="004941E0">
        <w:tab/>
        <w:t>ob upoštevanju izjave o zanesljivosti</w:t>
      </w:r>
      <w:r w:rsidRPr="004941E0">
        <w:rPr>
          <w:rStyle w:val="FootnoteReference"/>
        </w:rPr>
        <w:footnoteReference w:id="2"/>
      </w:r>
      <w:r w:rsidRPr="004941E0">
        <w:t xml:space="preserve"> računovodskih izkazov ter zakonitosti in pravilnosti z njimi povezanih transakcij, ki jo je za proračunsko leto 2022 v skladu s členom 287 Pogodbe o delovanju Evropske unije pripravilo Računsko sodišče,</w:t>
      </w:r>
    </w:p>
    <w:p w:rsidR="00012624" w:rsidRPr="004941E0" w:rsidRDefault="00012624" w:rsidP="00012624">
      <w:pPr>
        <w:pStyle w:val="NormalHanging12a"/>
      </w:pPr>
      <w:r w:rsidRPr="004941E0">
        <w:t>–</w:t>
      </w:r>
      <w:r w:rsidRPr="004941E0">
        <w:tab/>
        <w:t>ob upoštevanju priporočila Sveta z dne 22. februarja 2024 o podelitvi razrešnice agenciji glede izvrševanja proračuna za proračunsko leto 2022 (</w:t>
      </w:r>
      <w:r w:rsidR="00B13FE6" w:rsidRPr="001B0BA2">
        <w:t>06180</w:t>
      </w:r>
      <w:r w:rsidRPr="004941E0">
        <w:t>/2024 – C9</w:t>
      </w:r>
      <w:r w:rsidRPr="004941E0">
        <w:noBreakHyphen/>
      </w:r>
      <w:r w:rsidR="00B13FE6" w:rsidRPr="001B0BA2">
        <w:t>0087</w:t>
      </w:r>
      <w:r w:rsidRPr="004941E0">
        <w:t>/2024),</w:t>
      </w:r>
    </w:p>
    <w:p w:rsidR="00012624" w:rsidRPr="004941E0" w:rsidRDefault="00012624" w:rsidP="00012624">
      <w:pPr>
        <w:pStyle w:val="NormalHanging12a"/>
      </w:pPr>
      <w:r w:rsidRPr="004941E0">
        <w:t>–</w:t>
      </w:r>
      <w:r w:rsidRPr="004941E0">
        <w:tab/>
        <w:t>ob upoštevanju člena 319 Pogodbe o delovanju Evropske unije,</w:t>
      </w:r>
    </w:p>
    <w:p w:rsidR="00012624" w:rsidRPr="004941E0" w:rsidRDefault="00012624" w:rsidP="00012624">
      <w:pPr>
        <w:pStyle w:val="NormalHanging12a"/>
      </w:pPr>
      <w:r w:rsidRPr="004941E0">
        <w:t>–</w:t>
      </w:r>
      <w:r w:rsidRPr="004941E0">
        <w:tab/>
        <w:t xml:space="preserve">ob upoštevanju Uredbe (EU, </w:t>
      </w:r>
      <w:proofErr w:type="spellStart"/>
      <w:r w:rsidRPr="004941E0">
        <w:t>Euratom</w:t>
      </w:r>
      <w:proofErr w:type="spellEnd"/>
      <w:r w:rsidRPr="004941E0">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941E0">
        <w:t>Euratom</w:t>
      </w:r>
      <w:proofErr w:type="spellEnd"/>
      <w:r w:rsidRPr="004941E0">
        <w:t>) št. 966/2012</w:t>
      </w:r>
      <w:r w:rsidRPr="004941E0">
        <w:rPr>
          <w:rStyle w:val="FootnoteReference"/>
        </w:rPr>
        <w:footnoteReference w:id="3"/>
      </w:r>
      <w:r w:rsidRPr="004941E0">
        <w:t xml:space="preserve"> in zlasti člena 70,</w:t>
      </w:r>
    </w:p>
    <w:p w:rsidR="00012624" w:rsidRPr="004941E0" w:rsidRDefault="00012624" w:rsidP="00012624">
      <w:pPr>
        <w:pStyle w:val="NormalHanging12a"/>
      </w:pPr>
      <w:r w:rsidRPr="004941E0">
        <w:t>–</w:t>
      </w:r>
      <w:r w:rsidRPr="004941E0">
        <w:tab/>
        <w:t xml:space="preserve">ob upoštevanju Uredbe (ES) št. 401/2009 Evropskega parlamenta in Sveta z dne 23. aprila 2009 o Evropski agenciji za okolje in Evropskem okoljskem informacijskem in </w:t>
      </w:r>
      <w:r w:rsidRPr="004941E0">
        <w:lastRenderedPageBreak/>
        <w:t>opazovalnem omrežju</w:t>
      </w:r>
      <w:r w:rsidRPr="004941E0">
        <w:rPr>
          <w:rStyle w:val="FootnoteReference"/>
        </w:rPr>
        <w:footnoteReference w:id="4"/>
      </w:r>
      <w:r w:rsidRPr="004941E0">
        <w:t xml:space="preserve"> in zlasti člena 13,</w:t>
      </w:r>
    </w:p>
    <w:p w:rsidR="00012624" w:rsidRPr="004941E0" w:rsidRDefault="00012624" w:rsidP="00012624">
      <w:pPr>
        <w:pStyle w:val="NormalHanging12a"/>
      </w:pPr>
      <w:r w:rsidRPr="004941E0">
        <w:t>–</w:t>
      </w:r>
      <w:r w:rsidRPr="004941E0">
        <w:tab/>
        <w:t xml:space="preserve">ob upoštevanju Delegirane uredbe Komisije (EU) 2019/715 z dne 18. decembra 2018 o okvirni finančni uredbi za organe, ustanovljene na podlagi PDEU in Pogodbe </w:t>
      </w:r>
      <w:proofErr w:type="spellStart"/>
      <w:r w:rsidRPr="004941E0">
        <w:t>Euratom</w:t>
      </w:r>
      <w:proofErr w:type="spellEnd"/>
      <w:r w:rsidRPr="004941E0">
        <w:t xml:space="preserve">, iz člena 70 Uredbe (EU, </w:t>
      </w:r>
      <w:proofErr w:type="spellStart"/>
      <w:r w:rsidRPr="004941E0">
        <w:t>Euratom</w:t>
      </w:r>
      <w:proofErr w:type="spellEnd"/>
      <w:r w:rsidRPr="004941E0">
        <w:t>) 2018/1046 Evropskega parlamenta in Sveta</w:t>
      </w:r>
      <w:r w:rsidRPr="004941E0">
        <w:rPr>
          <w:rStyle w:val="FootnoteReference"/>
        </w:rPr>
        <w:footnoteReference w:id="5"/>
      </w:r>
      <w:r w:rsidRPr="004941E0">
        <w:t xml:space="preserve"> in zlasti člena 105,</w:t>
      </w:r>
    </w:p>
    <w:p w:rsidR="00012624" w:rsidRPr="004941E0" w:rsidRDefault="00012624" w:rsidP="00012624">
      <w:pPr>
        <w:pStyle w:val="NormalHanging12a"/>
      </w:pPr>
      <w:r w:rsidRPr="004941E0">
        <w:t>–</w:t>
      </w:r>
      <w:r w:rsidRPr="004941E0">
        <w:tab/>
        <w:t>ob upoštevanju člena 100 in Priloge V Poslovnika,</w:t>
      </w:r>
    </w:p>
    <w:p w:rsidR="00012624" w:rsidRPr="004941E0" w:rsidRDefault="00012624" w:rsidP="00012624">
      <w:pPr>
        <w:pStyle w:val="NormalHanging12a"/>
      </w:pPr>
      <w:r w:rsidRPr="004941E0">
        <w:t>–</w:t>
      </w:r>
      <w:r w:rsidRPr="004941E0">
        <w:tab/>
        <w:t>ob upoštevanju mnenja Odbora za okolje, javno zdravje in varnost hrane,</w:t>
      </w:r>
    </w:p>
    <w:p w:rsidR="00012624" w:rsidRPr="004941E0" w:rsidRDefault="00012624" w:rsidP="00012624">
      <w:pPr>
        <w:pStyle w:val="NormalHanging12a"/>
      </w:pPr>
      <w:r w:rsidRPr="004941E0">
        <w:t>–</w:t>
      </w:r>
      <w:r w:rsidRPr="004941E0">
        <w:tab/>
        <w:t>ob upoštevanju poročila Odbora za proračunski nadzor (A9</w:t>
      </w:r>
      <w:r w:rsidRPr="004941E0">
        <w:noBreakHyphen/>
        <w:t>0130/2024),</w:t>
      </w:r>
    </w:p>
    <w:p w:rsidR="00012624" w:rsidRPr="004941E0" w:rsidRDefault="00012624" w:rsidP="00012624">
      <w:pPr>
        <w:pStyle w:val="NormalHanging12a"/>
      </w:pPr>
      <w:r w:rsidRPr="004941E0">
        <w:t>1.</w:t>
      </w:r>
      <w:r w:rsidRPr="004941E0">
        <w:tab/>
        <w:t>podeli razrešnico izvršni direktorici Evropske agencije za okolje glede izvrševanja proračuna agencije za proračunsko leto 2022;</w:t>
      </w:r>
    </w:p>
    <w:p w:rsidR="00012624" w:rsidRPr="004941E0" w:rsidRDefault="00012624" w:rsidP="00012624">
      <w:pPr>
        <w:pStyle w:val="NormalHanging12a"/>
      </w:pPr>
      <w:r w:rsidRPr="004941E0">
        <w:t>2.</w:t>
      </w:r>
      <w:r w:rsidRPr="004941E0">
        <w:tab/>
        <w:t>navaja svoje pripombe v spodnji resoluciji;</w:t>
      </w:r>
    </w:p>
    <w:p w:rsidR="00012624" w:rsidRPr="004941E0" w:rsidRDefault="00012624" w:rsidP="00012624">
      <w:pPr>
        <w:pStyle w:val="NormalHanging12a"/>
      </w:pPr>
      <w:r w:rsidRPr="004941E0">
        <w:t>3.</w:t>
      </w:r>
      <w:r w:rsidRPr="004941E0">
        <w:tab/>
        <w:t xml:space="preserve">naroči svoji predsednici, naj ta sklep in resolucijo, ki je del sklepa, posreduje izvršni direktorici Evropske agencije za okolje, Svetu, Komisiji in Računskemu sodišču in poskrbi za objavo v </w:t>
      </w:r>
      <w:r w:rsidRPr="004941E0">
        <w:rPr>
          <w:i/>
        </w:rPr>
        <w:t>Uradnem listu Evropske unije</w:t>
      </w:r>
      <w:r w:rsidRPr="004941E0">
        <w:t xml:space="preserve"> (serija L).</w:t>
      </w:r>
    </w:p>
    <w:p w:rsidR="00012624" w:rsidRPr="004941E0" w:rsidRDefault="00012624" w:rsidP="00012624"/>
    <w:p w:rsidR="00012624" w:rsidRPr="004941E0" w:rsidRDefault="00012624" w:rsidP="00012624">
      <w:pPr>
        <w:pStyle w:val="PageHeading"/>
        <w:sectPr w:rsidR="00012624" w:rsidRPr="004941E0" w:rsidSect="00201A4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012624" w:rsidRPr="004941E0" w:rsidRDefault="00012624" w:rsidP="00BD6A22">
      <w:pPr>
        <w:pStyle w:val="ATHeading3"/>
      </w:pPr>
      <w:bookmarkStart w:id="9" w:name="_Toc161914432"/>
      <w:r w:rsidRPr="004941E0">
        <w:lastRenderedPageBreak/>
        <w:t xml:space="preserve">2. </w:t>
      </w:r>
      <w:bookmarkEnd w:id="9"/>
      <w:r w:rsidR="00BD6A22" w:rsidRPr="004941E0">
        <w:t xml:space="preserve">Sklep Evropskega parlamenta z dne 11. aprila 2024 </w:t>
      </w:r>
      <w:r w:rsidRPr="004941E0">
        <w:t>o zaključnem računu Evropske agencije za okolje za proračunsko leto 2022</w:t>
      </w:r>
      <w:r w:rsidR="00BD6A22" w:rsidRPr="004941E0">
        <w:t xml:space="preserve"> (2023</w:t>
      </w:r>
      <w:r w:rsidRPr="004941E0">
        <w:t>/2149(DEC))</w:t>
      </w:r>
    </w:p>
    <w:p w:rsidR="00012624" w:rsidRPr="004941E0" w:rsidRDefault="00012624" w:rsidP="00012624">
      <w:pPr>
        <w:pStyle w:val="EPComma"/>
      </w:pPr>
      <w:r w:rsidRPr="004941E0">
        <w:rPr>
          <w:i/>
        </w:rPr>
        <w:t>Evropski parlament</w:t>
      </w:r>
      <w:r w:rsidRPr="004941E0">
        <w:t>,</w:t>
      </w:r>
    </w:p>
    <w:p w:rsidR="00012624" w:rsidRPr="004941E0" w:rsidRDefault="00012624" w:rsidP="00012624">
      <w:pPr>
        <w:pStyle w:val="NormalHanging12a"/>
      </w:pPr>
      <w:r w:rsidRPr="004941E0">
        <w:t>–</w:t>
      </w:r>
      <w:r w:rsidRPr="004941E0">
        <w:tab/>
        <w:t>ob upoštevanju končnega zaključnega računa Evropske agencije za okolje za proračunsko leto 2022,</w:t>
      </w:r>
    </w:p>
    <w:p w:rsidR="00012624" w:rsidRPr="004941E0" w:rsidRDefault="00012624" w:rsidP="00012624">
      <w:pPr>
        <w:pStyle w:val="NormalHanging12a"/>
      </w:pPr>
      <w:r w:rsidRPr="004941E0">
        <w:t>–</w:t>
      </w:r>
      <w:r w:rsidRPr="004941E0">
        <w:tab/>
        <w:t>ob upoštevanju letnega poročila Računskega sodišča o agencijah EU za proračunsko leto 2022 skupaj z odgovori agencij</w:t>
      </w:r>
      <w:r w:rsidRPr="004941E0">
        <w:rPr>
          <w:rStyle w:val="FootnoteReference"/>
        </w:rPr>
        <w:footnoteReference w:id="6"/>
      </w:r>
      <w:r w:rsidRPr="004941E0">
        <w:t>,</w:t>
      </w:r>
    </w:p>
    <w:p w:rsidR="00012624" w:rsidRPr="004941E0" w:rsidRDefault="00012624" w:rsidP="00012624">
      <w:pPr>
        <w:pStyle w:val="NormalHanging12a"/>
      </w:pPr>
      <w:r w:rsidRPr="004941E0">
        <w:t>–</w:t>
      </w:r>
      <w:r w:rsidRPr="004941E0">
        <w:tab/>
        <w:t>ob upoštevanju izjave o zanesljivosti</w:t>
      </w:r>
      <w:r w:rsidRPr="004941E0">
        <w:rPr>
          <w:rStyle w:val="FootnoteReference"/>
        </w:rPr>
        <w:footnoteReference w:id="7"/>
      </w:r>
      <w:r w:rsidRPr="004941E0">
        <w:t xml:space="preserve"> računovodskih izkazov ter zakonitosti in pravilnosti z njimi povezanih transakcij, ki jo je za proračunsko leto 2022 v skladu s členom 287 Pogodbe o delovanju Evropske unije pripravilo Računsko sodišče,</w:t>
      </w:r>
    </w:p>
    <w:p w:rsidR="00012624" w:rsidRPr="004941E0" w:rsidRDefault="00012624" w:rsidP="00012624">
      <w:pPr>
        <w:pStyle w:val="NormalHanging12a"/>
      </w:pPr>
      <w:r w:rsidRPr="004941E0">
        <w:t>–</w:t>
      </w:r>
      <w:r w:rsidRPr="004941E0">
        <w:tab/>
        <w:t>ob upoštevanju priporočila Sveta z dne 22. februarja 2024 o podelitvi razrešnice agenciji glede izvrševanja proračuna za proračunsko leto 2022 (</w:t>
      </w:r>
      <w:r w:rsidR="00B13FE6" w:rsidRPr="001B0BA2">
        <w:t>06180</w:t>
      </w:r>
      <w:r w:rsidRPr="004941E0">
        <w:t>/2024 – C9</w:t>
      </w:r>
      <w:r w:rsidRPr="004941E0">
        <w:noBreakHyphen/>
      </w:r>
      <w:r w:rsidR="00B13FE6" w:rsidRPr="001B0BA2">
        <w:t>0087</w:t>
      </w:r>
      <w:r w:rsidRPr="004941E0">
        <w:t>/2024),</w:t>
      </w:r>
    </w:p>
    <w:p w:rsidR="00012624" w:rsidRPr="004941E0" w:rsidRDefault="00012624" w:rsidP="00012624">
      <w:pPr>
        <w:pStyle w:val="NormalHanging12a"/>
      </w:pPr>
      <w:r w:rsidRPr="004941E0">
        <w:t>–</w:t>
      </w:r>
      <w:r w:rsidRPr="004941E0">
        <w:tab/>
        <w:t>ob upoštevanju člena 319 Pogodbe o delovanju Evropske unije,</w:t>
      </w:r>
    </w:p>
    <w:p w:rsidR="00012624" w:rsidRPr="004941E0" w:rsidRDefault="00012624" w:rsidP="00012624">
      <w:pPr>
        <w:pStyle w:val="NormalHanging12a"/>
      </w:pPr>
      <w:r w:rsidRPr="004941E0">
        <w:t>–</w:t>
      </w:r>
      <w:r w:rsidRPr="004941E0">
        <w:tab/>
        <w:t xml:space="preserve">ob upoštevanju Uredbe (EU, </w:t>
      </w:r>
      <w:proofErr w:type="spellStart"/>
      <w:r w:rsidRPr="004941E0">
        <w:t>Euratom</w:t>
      </w:r>
      <w:proofErr w:type="spellEnd"/>
      <w:r w:rsidRPr="004941E0">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4941E0">
        <w:t>Euratom</w:t>
      </w:r>
      <w:proofErr w:type="spellEnd"/>
      <w:r w:rsidRPr="004941E0">
        <w:t>) št. 966/2012</w:t>
      </w:r>
      <w:r w:rsidRPr="004941E0">
        <w:rPr>
          <w:rStyle w:val="FootnoteReference"/>
        </w:rPr>
        <w:footnoteReference w:id="8"/>
      </w:r>
      <w:r w:rsidRPr="004941E0">
        <w:t xml:space="preserve"> in zlasti člena 70,</w:t>
      </w:r>
    </w:p>
    <w:p w:rsidR="00012624" w:rsidRPr="004941E0" w:rsidRDefault="00012624" w:rsidP="00012624">
      <w:pPr>
        <w:pStyle w:val="NormalHanging12a"/>
      </w:pPr>
      <w:r w:rsidRPr="004941E0">
        <w:t>–</w:t>
      </w:r>
      <w:r w:rsidRPr="004941E0">
        <w:tab/>
        <w:t>ob upoštevanju Uredbe (ES) št. 401/2009 Evropskega parlamenta in Sveta z dne 23. aprila 2009 o Evropski agenciji za okolje in Evropskem okoljskem informacijskem in opazovalnem omrežju</w:t>
      </w:r>
      <w:r w:rsidRPr="004941E0">
        <w:rPr>
          <w:rStyle w:val="FootnoteReference"/>
        </w:rPr>
        <w:footnoteReference w:id="9"/>
      </w:r>
      <w:r w:rsidRPr="004941E0">
        <w:t xml:space="preserve"> in zlasti člena 13,</w:t>
      </w:r>
    </w:p>
    <w:p w:rsidR="00012624" w:rsidRPr="004941E0" w:rsidRDefault="00012624" w:rsidP="00012624">
      <w:pPr>
        <w:pStyle w:val="NormalHanging12a"/>
      </w:pPr>
      <w:r w:rsidRPr="004941E0">
        <w:t>–</w:t>
      </w:r>
      <w:r w:rsidRPr="004941E0">
        <w:tab/>
        <w:t xml:space="preserve">ob upoštevanju Delegirane uredbe Komisije (EU) 2019/715 z dne 18. decembra 2018 o okvirni finančni uredbi za organe, ustanovljene na podlagi PDEU in Pogodbe </w:t>
      </w:r>
      <w:proofErr w:type="spellStart"/>
      <w:r w:rsidRPr="004941E0">
        <w:t>Euratom</w:t>
      </w:r>
      <w:proofErr w:type="spellEnd"/>
      <w:r w:rsidRPr="004941E0">
        <w:t xml:space="preserve">, iz člena 70 Uredbe (EU, </w:t>
      </w:r>
      <w:proofErr w:type="spellStart"/>
      <w:r w:rsidRPr="004941E0">
        <w:t>Euratom</w:t>
      </w:r>
      <w:proofErr w:type="spellEnd"/>
      <w:r w:rsidRPr="004941E0">
        <w:t>) 2018/1046 Evropskega parlamenta in Sveta</w:t>
      </w:r>
      <w:r w:rsidRPr="004941E0">
        <w:rPr>
          <w:rStyle w:val="FootnoteReference"/>
        </w:rPr>
        <w:footnoteReference w:id="10"/>
      </w:r>
      <w:r w:rsidRPr="004941E0">
        <w:t xml:space="preserve"> in zlasti člena 105,</w:t>
      </w:r>
    </w:p>
    <w:p w:rsidR="00012624" w:rsidRPr="004941E0" w:rsidRDefault="00012624" w:rsidP="00012624">
      <w:pPr>
        <w:pStyle w:val="NormalHanging12a"/>
      </w:pPr>
      <w:r w:rsidRPr="004941E0">
        <w:t>–</w:t>
      </w:r>
      <w:r w:rsidRPr="004941E0">
        <w:tab/>
        <w:t>ob upoštevanju člena 100 in Priloge V Poslovnika,</w:t>
      </w:r>
    </w:p>
    <w:p w:rsidR="00012624" w:rsidRPr="004941E0" w:rsidRDefault="00012624" w:rsidP="00012624">
      <w:pPr>
        <w:pStyle w:val="NormalHanging12a"/>
      </w:pPr>
      <w:r w:rsidRPr="004941E0">
        <w:t>–</w:t>
      </w:r>
      <w:r w:rsidRPr="004941E0">
        <w:tab/>
        <w:t>ob upoštevanju mnenja Odbora za okolje, javno zdravje in varnost hrane,</w:t>
      </w:r>
    </w:p>
    <w:p w:rsidR="00012624" w:rsidRPr="004941E0" w:rsidRDefault="00012624" w:rsidP="00012624">
      <w:pPr>
        <w:pStyle w:val="NormalHanging12a"/>
      </w:pPr>
      <w:r w:rsidRPr="004941E0">
        <w:t>–</w:t>
      </w:r>
      <w:r w:rsidRPr="004941E0">
        <w:tab/>
        <w:t>ob upoštevanju poročila Odbora za proračunski nadzor (A9</w:t>
      </w:r>
      <w:r w:rsidRPr="004941E0">
        <w:noBreakHyphen/>
        <w:t>0130/2024),</w:t>
      </w:r>
    </w:p>
    <w:p w:rsidR="00012624" w:rsidRPr="004941E0" w:rsidRDefault="00012624" w:rsidP="00012624">
      <w:pPr>
        <w:pStyle w:val="NormalHanging12a"/>
      </w:pPr>
      <w:r w:rsidRPr="004941E0">
        <w:t>1.</w:t>
      </w:r>
      <w:r w:rsidRPr="004941E0">
        <w:tab/>
        <w:t>odobri zaključni račun Evropske agencije za okolje za proračunsko leto 2022;</w:t>
      </w:r>
    </w:p>
    <w:p w:rsidR="00012624" w:rsidRPr="004941E0" w:rsidRDefault="00012624" w:rsidP="00012624">
      <w:pPr>
        <w:pStyle w:val="NormalHanging12a"/>
      </w:pPr>
      <w:r w:rsidRPr="004941E0">
        <w:t>2.</w:t>
      </w:r>
      <w:r w:rsidRPr="004941E0">
        <w:tab/>
        <w:t xml:space="preserve">naroči svoji predsednici, naj ta sklep posreduje izvršni direktorici Evropske agencije za okolje, Svetu, Komisiji in Računskemu sodišču in poskrbi za objavo v </w:t>
      </w:r>
      <w:r w:rsidRPr="004941E0">
        <w:rPr>
          <w:i/>
        </w:rPr>
        <w:t xml:space="preserve">Uradnem listu </w:t>
      </w:r>
      <w:r w:rsidRPr="004941E0">
        <w:rPr>
          <w:i/>
        </w:rPr>
        <w:lastRenderedPageBreak/>
        <w:t>Evropske unije</w:t>
      </w:r>
      <w:r w:rsidRPr="004941E0">
        <w:t xml:space="preserve"> (serija L).</w:t>
      </w:r>
    </w:p>
    <w:p w:rsidR="00012624" w:rsidRPr="004941E0" w:rsidRDefault="00012624" w:rsidP="00012624"/>
    <w:p w:rsidR="00012624" w:rsidRPr="004941E0" w:rsidRDefault="00012624" w:rsidP="00012624">
      <w:pPr>
        <w:pStyle w:val="PageHeading"/>
        <w:sectPr w:rsidR="00012624" w:rsidRPr="004941E0" w:rsidSect="00201A4F">
          <w:footnotePr>
            <w:numRestart w:val="eachPage"/>
          </w:footnotePr>
          <w:endnotePr>
            <w:numFmt w:val="decimal"/>
          </w:endnotePr>
          <w:pgSz w:w="11906" w:h="16838" w:code="9"/>
          <w:pgMar w:top="1134" w:right="1418" w:bottom="1418" w:left="1418" w:header="567" w:footer="567" w:gutter="0"/>
          <w:cols w:space="720"/>
          <w:noEndnote/>
          <w:docGrid w:linePitch="326"/>
        </w:sectPr>
      </w:pPr>
    </w:p>
    <w:p w:rsidR="00012624" w:rsidRPr="004941E0" w:rsidRDefault="00012624" w:rsidP="00BD6A22">
      <w:pPr>
        <w:pStyle w:val="ATHeading3"/>
      </w:pPr>
      <w:bookmarkStart w:id="10" w:name="_Toc161914433"/>
      <w:r w:rsidRPr="004941E0">
        <w:lastRenderedPageBreak/>
        <w:t xml:space="preserve">3. </w:t>
      </w:r>
      <w:bookmarkEnd w:id="10"/>
      <w:r w:rsidR="00BD6A22" w:rsidRPr="004941E0">
        <w:t xml:space="preserve">Resolucija Evropskega parlamenta z dne 11. aprila 2024 </w:t>
      </w:r>
      <w:r w:rsidRPr="004941E0">
        <w:t>s pripombami, ki so del sklepa o razrešnici glede izvrševanja proračuna Evropske agencije za okolje za proračunsko leto 2022</w:t>
      </w:r>
      <w:r w:rsidR="00BD6A22" w:rsidRPr="004941E0">
        <w:t xml:space="preserve"> (2023</w:t>
      </w:r>
      <w:r w:rsidRPr="004941E0">
        <w:t>/2149(DEC))</w:t>
      </w:r>
    </w:p>
    <w:p w:rsidR="00012624" w:rsidRPr="004941E0" w:rsidRDefault="00012624" w:rsidP="00012624">
      <w:pPr>
        <w:pStyle w:val="EPComma"/>
      </w:pPr>
      <w:r w:rsidRPr="004941E0">
        <w:rPr>
          <w:i/>
        </w:rPr>
        <w:t>Evropski parlament</w:t>
      </w:r>
      <w:r w:rsidRPr="004941E0">
        <w:t>,</w:t>
      </w:r>
    </w:p>
    <w:p w:rsidR="00012624" w:rsidRPr="004941E0" w:rsidRDefault="00012624" w:rsidP="00012624">
      <w:pPr>
        <w:pStyle w:val="NormalHanging12a"/>
      </w:pPr>
      <w:r w:rsidRPr="004941E0">
        <w:t>–</w:t>
      </w:r>
      <w:r w:rsidRPr="004941E0">
        <w:tab/>
        <w:t>ob upoštevanju sklepa o razrešnici glede izvrševanja proračuna Evropske agencije za okolje za proračunsko leto 2022,</w:t>
      </w:r>
    </w:p>
    <w:p w:rsidR="00012624" w:rsidRPr="004941E0" w:rsidRDefault="00012624" w:rsidP="00012624">
      <w:pPr>
        <w:pStyle w:val="NormalHanging12a"/>
      </w:pPr>
      <w:r w:rsidRPr="004941E0">
        <w:t>–</w:t>
      </w:r>
      <w:r w:rsidRPr="004941E0">
        <w:tab/>
        <w:t>ob upoštevanju člena 100 in Priloge V Poslovnika,</w:t>
      </w:r>
    </w:p>
    <w:p w:rsidR="00012624" w:rsidRPr="004941E0" w:rsidRDefault="00012624" w:rsidP="00012624">
      <w:pPr>
        <w:pStyle w:val="NormalHanging12a"/>
      </w:pPr>
      <w:r w:rsidRPr="004941E0">
        <w:t>–</w:t>
      </w:r>
      <w:r w:rsidRPr="004941E0">
        <w:tab/>
        <w:t>ob upoštevanju mnenja Odbora za okolje, javno zdravje in varnost hrane,</w:t>
      </w:r>
    </w:p>
    <w:p w:rsidR="00012624" w:rsidRPr="004941E0" w:rsidRDefault="00012624" w:rsidP="00012624">
      <w:pPr>
        <w:pStyle w:val="NormalHanging12a"/>
      </w:pPr>
      <w:r w:rsidRPr="004941E0">
        <w:t>–</w:t>
      </w:r>
      <w:r w:rsidRPr="004941E0">
        <w:tab/>
        <w:t>ob upoštevanju poročila Odbora za proračunski nadzor (A9</w:t>
      </w:r>
      <w:r w:rsidRPr="004941E0">
        <w:noBreakHyphen/>
        <w:t>0130/2024),</w:t>
      </w:r>
    </w:p>
    <w:p w:rsidR="00012624" w:rsidRPr="004941E0" w:rsidRDefault="00012624" w:rsidP="00012624">
      <w:pPr>
        <w:widowControl/>
        <w:spacing w:after="240"/>
        <w:ind w:left="567" w:hanging="567"/>
        <w:rPr>
          <w:szCs w:val="24"/>
        </w:rPr>
      </w:pPr>
      <w:r w:rsidRPr="004941E0">
        <w:t>A.</w:t>
      </w:r>
      <w:r w:rsidRPr="004941E0">
        <w:tab/>
        <w:t>ker je na podlagi poročila o prihodkih in odhodkih</w:t>
      </w:r>
      <w:r w:rsidRPr="004941E0">
        <w:rPr>
          <w:rStyle w:val="FootnoteReference"/>
          <w:szCs w:val="24"/>
        </w:rPr>
        <w:footnoteReference w:id="11"/>
      </w:r>
      <w:r w:rsidRPr="004941E0">
        <w:t xml:space="preserve"> Evropske agencije za okolje (v nadaljnjem besedilu: agencija) njen končni proračun v proračunskem letu 2022 znašal 88.173.021 EUR, kar je bilo 35,93 % več kot leta 2021; ker proračun agencije izvira iz proračuna Unije in iz prispevkov Efte (63,32 %) ter iz prispevkov na podlagi posebnih sporazumov (36,67 %);</w:t>
      </w:r>
    </w:p>
    <w:p w:rsidR="00012624" w:rsidRPr="004941E0" w:rsidRDefault="00012624" w:rsidP="00012624">
      <w:pPr>
        <w:widowControl/>
        <w:spacing w:after="240"/>
        <w:ind w:left="567" w:hanging="567"/>
        <w:rPr>
          <w:szCs w:val="24"/>
        </w:rPr>
      </w:pPr>
      <w:r w:rsidRPr="004941E0">
        <w:t>B.</w:t>
      </w:r>
      <w:r w:rsidRPr="004941E0">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w:t>
      </w:r>
    </w:p>
    <w:p w:rsidR="00012624" w:rsidRPr="004941E0" w:rsidRDefault="00012624" w:rsidP="00012624">
      <w:pPr>
        <w:widowControl/>
        <w:spacing w:after="240"/>
        <w:ind w:left="567" w:hanging="567"/>
        <w:rPr>
          <w:szCs w:val="24"/>
        </w:rPr>
      </w:pPr>
      <w:r w:rsidRPr="004941E0">
        <w:t>C.</w:t>
      </w:r>
      <w:r w:rsidRPr="004941E0">
        <w:tab/>
        <w:t>ker v zvezi z javnimi naročili agencije za leto 2022 niso bile sporočene nobene težave, zaradi katerih bi bili potrebni popravni ukrepi, in ker ni tekočih ali zapadlih popravnih ukrepov iz revizij in ocen iz prejšnjih let;</w:t>
      </w:r>
    </w:p>
    <w:p w:rsidR="00012624" w:rsidRPr="004941E0" w:rsidRDefault="00012624" w:rsidP="00012624">
      <w:pPr>
        <w:widowControl/>
        <w:spacing w:after="240"/>
        <w:ind w:left="567" w:hanging="567"/>
        <w:rPr>
          <w:b/>
          <w:i/>
          <w:szCs w:val="24"/>
        </w:rPr>
      </w:pPr>
      <w:r w:rsidRPr="004941E0">
        <w:rPr>
          <w:b/>
          <w:i/>
        </w:rPr>
        <w:t xml:space="preserve">Upravljanje proračuna in finančno </w:t>
      </w:r>
      <w:proofErr w:type="spellStart"/>
      <w:r w:rsidRPr="004941E0">
        <w:rPr>
          <w:b/>
          <w:i/>
        </w:rPr>
        <w:t>poslovodenje</w:t>
      </w:r>
      <w:proofErr w:type="spellEnd"/>
    </w:p>
    <w:p w:rsidR="00012624" w:rsidRPr="004941E0" w:rsidRDefault="00012624" w:rsidP="00012624">
      <w:pPr>
        <w:widowControl/>
        <w:spacing w:after="240"/>
        <w:ind w:left="567" w:hanging="567"/>
        <w:rPr>
          <w:szCs w:val="24"/>
        </w:rPr>
      </w:pPr>
      <w:r w:rsidRPr="004941E0">
        <w:t>1.</w:t>
      </w:r>
      <w:r w:rsidRPr="004941E0">
        <w:tab/>
        <w:t>z zadovoljstvom ugotavlja, da je stopnja izvrševanja odobritev za prevzem obveznosti zaradi proračunskega spremljanja v proračunskem letu 2022 znašala 100 %, kar je enako kot leta 2021; ugotavlja, da je stopnja izvrševanja odobritev plačil v letu 2022 znašala 86,66 %, kar je bilo 1,75 % več kot leta 2021;</w:t>
      </w:r>
    </w:p>
    <w:p w:rsidR="00012624" w:rsidRPr="004941E0" w:rsidRDefault="00012624" w:rsidP="00012624">
      <w:pPr>
        <w:widowControl/>
        <w:spacing w:after="240"/>
        <w:ind w:left="567" w:hanging="567"/>
        <w:rPr>
          <w:szCs w:val="24"/>
        </w:rPr>
      </w:pPr>
      <w:r w:rsidRPr="004941E0">
        <w:t>2.</w:t>
      </w:r>
      <w:r w:rsidRPr="004941E0">
        <w:tab/>
        <w:t>ugotavlja, da je Računsko sodišče v poročilu iz leta 2021 ugotovilo, da je bila uporaba postopka s pogajanji brez predhodne objave za spremembo okvirne pogodbe s podvojitvijo prvotnega proračuna na 1 milijon EUR nepravilna, zato so vsa nadaljnja plačila v zvezi s tem postopkom nepravilna; ugotavlja tudi, da se je pogodba iztekla decembra 2022, s tem povezana plačila za leto 2022 pa so znašala 470.660 EUR; ugotavlja, da je opažanje Računskega sodišča o tej zadevi zdaj že zaključeno;</w:t>
      </w:r>
    </w:p>
    <w:p w:rsidR="00012624" w:rsidRPr="004941E0" w:rsidRDefault="00012624" w:rsidP="00012624">
      <w:pPr>
        <w:widowControl/>
        <w:spacing w:after="240"/>
        <w:ind w:left="567" w:hanging="567"/>
        <w:rPr>
          <w:szCs w:val="24"/>
        </w:rPr>
      </w:pPr>
      <w:r w:rsidRPr="004941E0">
        <w:rPr>
          <w:b/>
          <w:i/>
        </w:rPr>
        <w:t>Uspešnost</w:t>
      </w:r>
    </w:p>
    <w:p w:rsidR="00012624" w:rsidRPr="004941E0" w:rsidRDefault="00012624" w:rsidP="00012624">
      <w:pPr>
        <w:widowControl/>
        <w:spacing w:after="240"/>
        <w:ind w:left="567" w:hanging="567"/>
        <w:rPr>
          <w:szCs w:val="24"/>
        </w:rPr>
      </w:pPr>
      <w:r w:rsidRPr="004941E0">
        <w:t>3.</w:t>
      </w:r>
      <w:r w:rsidRPr="004941E0">
        <w:tab/>
        <w:t xml:space="preserve">ugotavlja, da okvir uspešnosti agencije temelji na petih ciljih uspešnosti, ki se spremljajo s 17 večletnimi ključnimi kazalniki uspešnosti, ki med drugim vključujejo stopnjo zasedenosti delovnih mest, izvrševanje proračuna in uresničevanje letnega </w:t>
      </w:r>
      <w:r w:rsidRPr="004941E0">
        <w:lastRenderedPageBreak/>
        <w:t xml:space="preserve">delovnega programa; </w:t>
      </w:r>
      <w:r w:rsidR="00B13FE6" w:rsidRPr="004941E0">
        <w:t xml:space="preserve">ugotavlja, da je stopnja izvajanja letnega delovnega programa v zvezi s ključnimi poročili in oceno dosegla 95 % oziroma 96 % v zvezi s posodobljenimi osnovnimi kazalniki, kar je nad zastavljenim ciljem 90 %; </w:t>
      </w:r>
      <w:r w:rsidRPr="004941E0">
        <w:t>je seznanjen s kazalniki, ki še niso bili doseženi ali pri katerih napredek zaostaja;</w:t>
      </w:r>
    </w:p>
    <w:p w:rsidR="00012624" w:rsidRPr="004941E0" w:rsidRDefault="00012624" w:rsidP="00012624">
      <w:pPr>
        <w:pStyle w:val="NormalHanging12a"/>
      </w:pPr>
      <w:r w:rsidRPr="004941E0">
        <w:t>4.</w:t>
      </w:r>
      <w:r w:rsidRPr="004941E0">
        <w:tab/>
        <w:t>pozdravlja, da je imela agencija v letu 2022 še naprej ključno vlogo pri obveščanju o ukrepih za podporo okolju, pri čemer se je odzvala na cilje evropskega zelenega dogovora in osmega okoljskega akcijskega programa, pa tudi na splošne ambicije in globalne zaveze Evrope; pozdravlja, da je agencija še naprej izvajala dogovorjene ukrepe in naloge ter sprejela nove v podporo zelenemu prehodu in izvajanju evropskih podnebnih pravil, hkrati pa ukrepe povezala s strategijo EU za prilagajanje podnebnim spremembam; ugotavlja tudi, da je bilo to drugo leto izvajanja strategije Evropskega okoljskega informacijskega in opazovalnega omrežja (</w:t>
      </w:r>
      <w:proofErr w:type="spellStart"/>
      <w:r w:rsidRPr="004941E0">
        <w:t>Eionet</w:t>
      </w:r>
      <w:proofErr w:type="spellEnd"/>
      <w:r w:rsidRPr="004941E0">
        <w:t xml:space="preserve">) za obdobje 2021–2030, katere namen je oblikovalcem politik Unije in javnosti zagotoviti najboljše razpoložljivo znanje za doseganje ciljev glede okolja in </w:t>
      </w:r>
      <w:proofErr w:type="spellStart"/>
      <w:r w:rsidRPr="004941E0">
        <w:t>trajnostnosti</w:t>
      </w:r>
      <w:proofErr w:type="spellEnd"/>
      <w:r w:rsidRPr="004941E0">
        <w:t>;</w:t>
      </w:r>
    </w:p>
    <w:p w:rsidR="00012624" w:rsidRPr="004941E0" w:rsidRDefault="00012624" w:rsidP="00012624">
      <w:pPr>
        <w:widowControl/>
        <w:spacing w:after="240"/>
        <w:ind w:left="567" w:hanging="567"/>
        <w:rPr>
          <w:szCs w:val="24"/>
        </w:rPr>
      </w:pPr>
      <w:r w:rsidRPr="004941E0">
        <w:t>5.</w:t>
      </w:r>
      <w:r w:rsidRPr="004941E0">
        <w:tab/>
        <w:t>ugotavlja, da je bila agencija leta 2022 zaradi vročinskih valov, suše in gozdnih požarov, ki so prizadeli velik del Evrope, ter najbolj vročega poletja na celini omenjena v 27.000 spletnih člankih, medijske hiše po vsej Evropi pa so z več zaposlenimi opravili razgovore zaradi velikega zanimanja medijev, pri čemer je bil poudarek na vzrokih in posledicah ekstremnih vremenskih razmer;</w:t>
      </w:r>
    </w:p>
    <w:p w:rsidR="00012624" w:rsidRPr="004941E0" w:rsidRDefault="00012624" w:rsidP="00012624">
      <w:pPr>
        <w:pStyle w:val="NormalHanging12a"/>
      </w:pPr>
      <w:r w:rsidRPr="004941E0">
        <w:t>6.</w:t>
      </w:r>
      <w:r w:rsidRPr="004941E0">
        <w:tab/>
        <w:t>opozarja, da je agencija leta 2022 prevzela nove naloge v podporo zelenemu prehodu in izvajanju evropskih podnebnih pravil, kot je ustanovitev Evropskega znanstvenega svetovalnega odbora za podnebne spremembe, in obenem ukrepe povezala s strategijo EU za prilagajanje, s čimer se je povečala njena vloga pri podpiranju uresničevanja evropskih podnebnih ciljev; ceni podporo, ki jo agencija nudi članom Odbora Parlamenta za okolje, javno zdravje in varnost hrane (ENVI) s posodobljenimi podatki in informacijami, ki temeljijo na znanosti;</w:t>
      </w:r>
    </w:p>
    <w:p w:rsidR="00012624" w:rsidRPr="004941E0" w:rsidRDefault="00012624" w:rsidP="00012624">
      <w:pPr>
        <w:pStyle w:val="NormalHanging12a"/>
      </w:pPr>
      <w:r w:rsidRPr="004941E0">
        <w:t>7.</w:t>
      </w:r>
      <w:r w:rsidRPr="004941E0">
        <w:tab/>
        <w:t>pozdravlja, da je bil leta 2022 ustanovljen novi evropski tematski center za biotsko raznovrstnost in ekosisteme za obdobje 2023–2026;</w:t>
      </w:r>
    </w:p>
    <w:p w:rsidR="00012624" w:rsidRPr="004941E0" w:rsidRDefault="00012624" w:rsidP="00012624">
      <w:pPr>
        <w:widowControl/>
        <w:spacing w:after="240"/>
        <w:ind w:left="567" w:hanging="567"/>
        <w:rPr>
          <w:b/>
          <w:i/>
        </w:rPr>
      </w:pPr>
      <w:r w:rsidRPr="004941E0">
        <w:rPr>
          <w:b/>
          <w:i/>
        </w:rPr>
        <w:t>Povečanje učinkovitosti</w:t>
      </w:r>
    </w:p>
    <w:p w:rsidR="00012624" w:rsidRPr="004941E0" w:rsidRDefault="00012624" w:rsidP="00012624">
      <w:pPr>
        <w:widowControl/>
        <w:spacing w:after="240"/>
        <w:ind w:left="567" w:hanging="567"/>
      </w:pPr>
      <w:r w:rsidRPr="004941E0">
        <w:t>8.</w:t>
      </w:r>
      <w:r w:rsidRPr="004941E0">
        <w:tab/>
        <w:t>opozarja, da si je agencija v skladu s pristopom, sprejetim v zadnjih letih, v letu 2022 še naprej prizadevala za večjo učinkovitost s souporabo storitev s Komisijo, drugimi agencijami Unije in mrežo agencij EU (EUAN) – skupni urad za podporo v Bruslju; ugotavlja, da je agencija v skladu s to prakso izvajala skupna javna naročila s službami Komisije in mrežo EUAN bodisi z javnim naročanjem in vodenjem okvirnih pogodb, ki jih uporabljajo tudi Komisija in druge agencije Unije, bodisi z uporabo okvirnih pogodb, ki jih vodijo drugi;</w:t>
      </w:r>
    </w:p>
    <w:p w:rsidR="00012624" w:rsidRPr="004941E0" w:rsidRDefault="00012624" w:rsidP="00012624">
      <w:pPr>
        <w:widowControl/>
        <w:spacing w:after="240"/>
        <w:ind w:left="567" w:hanging="567"/>
      </w:pPr>
      <w:r w:rsidRPr="004941E0">
        <w:t>9.</w:t>
      </w:r>
      <w:r w:rsidRPr="004941E0">
        <w:tab/>
        <w:t xml:space="preserve">ugotavlja, da agencija uporablja tudi različne storitve (npr. plačilne liste, varnost IT) in sisteme (npr. ABAC, </w:t>
      </w:r>
      <w:proofErr w:type="spellStart"/>
      <w:r w:rsidRPr="004941E0">
        <w:t>Sysper</w:t>
      </w:r>
      <w:proofErr w:type="spellEnd"/>
      <w:r w:rsidRPr="004941E0">
        <w:t xml:space="preserve">, </w:t>
      </w:r>
      <w:proofErr w:type="spellStart"/>
      <w:r w:rsidRPr="004941E0">
        <w:t>Ares</w:t>
      </w:r>
      <w:proofErr w:type="spellEnd"/>
      <w:r w:rsidRPr="004941E0">
        <w:t>, e-Prior) Komisije v skladu z večjo učinkovitostjo, povezano z večjo uporabo elektronskih orodij za podporo upravnim postopkom, tudi na področjih javnih naročil, financ in človeških virov; ugotavlja tudi, da je agencija v odziv na omejitve zaradi pandemije covida-19 uporabljala spletno zaposlovanje in se pri tem oprla na izvajanje platforme za zaposlovanje (</w:t>
      </w:r>
      <w:proofErr w:type="spellStart"/>
      <w:r w:rsidRPr="004941E0">
        <w:t>Systal</w:t>
      </w:r>
      <w:proofErr w:type="spellEnd"/>
      <w:r w:rsidRPr="004941E0">
        <w:t>), kar ji je omogočilo, da je v letih 2021 in 2022 zaključila številne postopke zaposlovanja in ob koncu leta dosegla nizko stopnjo prostih delovnih mest;</w:t>
      </w:r>
    </w:p>
    <w:p w:rsidR="00012624" w:rsidRPr="004941E0" w:rsidRDefault="00012624" w:rsidP="00012624">
      <w:pPr>
        <w:widowControl/>
        <w:spacing w:after="240"/>
        <w:ind w:left="567" w:hanging="567"/>
        <w:rPr>
          <w:szCs w:val="24"/>
        </w:rPr>
      </w:pPr>
      <w:r w:rsidRPr="004941E0">
        <w:lastRenderedPageBreak/>
        <w:t>10.</w:t>
      </w:r>
      <w:r w:rsidRPr="004941E0">
        <w:tab/>
        <w:t>ugotavlja tudi, da je nadaljnji prehod agencije na delo, ki temelji na dejavnostih, prispeval k večji učinkovitosti pri dinamični in prožni uporabi prenovljenih pisarniških prostorov, poleg razširjene možnosti dela na daljavo za zaposlene v agenciji; z zadovoljstvom ugotavlja tudi, da je agencija v celoti prešla na uporabo mobilnih telefonov, kar je posledično privedlo do znatnih prihrankov pri telefonskih stroških;</w:t>
      </w:r>
    </w:p>
    <w:p w:rsidR="00012624" w:rsidRPr="004941E0" w:rsidRDefault="00012624" w:rsidP="00012624">
      <w:pPr>
        <w:pStyle w:val="NormalHanging12a"/>
      </w:pPr>
      <w:r w:rsidRPr="004941E0">
        <w:t>11.</w:t>
      </w:r>
      <w:r w:rsidRPr="004941E0">
        <w:tab/>
        <w:t>poudarja, kako pomembno je izboljšati digitalizacijo agencije, ko gre za notranje delovanje in upravljanje, pa tudi za hitrejšo digitalizacijo postopkov; poudarja, da mora biti agencija na tem področju še naprej proaktivna, da bi preprečili digitalno vrzel med agencijami Unije; opozarja pa, da je treba sprejeti vse potrebne varnostne ukrepe, da bi preprečili tveganje za spletno varnost obdelanih informacij; vztraja, da je treba okrepiti ukrepe proti kibernetskim napadom ali poskusom infiltracije, zlasti tistim, ki izvirajo iz Rusije ali Kitajske;</w:t>
      </w:r>
    </w:p>
    <w:p w:rsidR="00012624" w:rsidRPr="004941E0" w:rsidRDefault="00012624" w:rsidP="00012624">
      <w:pPr>
        <w:pStyle w:val="NormalHanging12a"/>
        <w:jc w:val="both"/>
      </w:pPr>
      <w:r w:rsidRPr="004941E0">
        <w:t>12.</w:t>
      </w:r>
      <w:r w:rsidRPr="004941E0">
        <w:tab/>
        <w:t>poziva agencijo, naj se še naprej zavzema za sodelovanje z drugimi agencijami Unije in mednarodnimi organizacijami, pa tudi za dialog z deležniki in državljani;</w:t>
      </w:r>
    </w:p>
    <w:p w:rsidR="00012624" w:rsidRPr="004941E0" w:rsidRDefault="00012624" w:rsidP="00012624">
      <w:pPr>
        <w:widowControl/>
        <w:spacing w:after="240"/>
        <w:ind w:left="567" w:hanging="567"/>
        <w:rPr>
          <w:b/>
          <w:i/>
          <w:szCs w:val="24"/>
        </w:rPr>
      </w:pPr>
      <w:r w:rsidRPr="004941E0">
        <w:rPr>
          <w:b/>
          <w:i/>
        </w:rPr>
        <w:t>Kadrovska politika</w:t>
      </w:r>
    </w:p>
    <w:p w:rsidR="00012624" w:rsidRPr="004941E0" w:rsidRDefault="00012624" w:rsidP="00012624">
      <w:pPr>
        <w:widowControl/>
        <w:spacing w:after="240"/>
        <w:ind w:left="567" w:hanging="567"/>
        <w:rPr>
          <w:b/>
          <w:i/>
          <w:szCs w:val="24"/>
        </w:rPr>
      </w:pPr>
      <w:r w:rsidRPr="004941E0">
        <w:t>13.</w:t>
      </w:r>
      <w:r w:rsidRPr="004941E0">
        <w:tab/>
        <w:t xml:space="preserve">ugotavlja, da je bil kadrovski načrt na dan 31. decembra 2022 uresničen 97,33-odstotno, saj je agencija na 150 delovnih mestih, odobrenih v proračunu Unije, zaposlovala tri uradnike za nedoločen čas in 143 začasnih uslužbencev (leta 2021 je bilo odobrenih 140 delovnih mest); ugotavlja tudi, da je za agencijo v letu 2022 delalo 84 pogodbenih uslužbencev in 13 napotenih nacionalnih strokovnjakov; ugotavlja, da se je kadrovski načrt, odobren v proračunu Unije, v obdobju 2021–2023 povečal za 25 delovnih mest za začasne in 14 delovnih mest za pogodbene uslužbence, ki bodo opravljali nove naloge v zvezi z znanstvenim svetovalnim odborom za podnebne spremembe, uredbo LULUCF, direktivo </w:t>
      </w:r>
      <w:proofErr w:type="spellStart"/>
      <w:r w:rsidRPr="004941E0">
        <w:t>Seveso</w:t>
      </w:r>
      <w:proofErr w:type="spellEnd"/>
      <w:r w:rsidRPr="004941E0">
        <w:t xml:space="preserve"> in zakonodajo o obnovi narave;</w:t>
      </w:r>
    </w:p>
    <w:p w:rsidR="00B13FE6" w:rsidRPr="004941E0" w:rsidRDefault="00012624" w:rsidP="00012624">
      <w:pPr>
        <w:pStyle w:val="NormalHanging12a"/>
      </w:pPr>
      <w:r w:rsidRPr="004941E0">
        <w:t>14.</w:t>
      </w:r>
      <w:r w:rsidRPr="004941E0">
        <w:tab/>
        <w:t>obžaluje, da zastopanost spolov v višjem vodstvu agencije ni uravnotežena, saj je 6 od 9 članov (67 %) moških; z zadovoljstvom opaža uravnoteženo zastopanost spolov v upravnem odboru agencije, v katerem je 18 od 36 članov (50 %) moških; je seznanjen z uravnoteženo zastopanostjo spolov med vsemi zaposlenimi v agenciji, v kateri je 118 od 221 uslužbencev (53 %) žensk; poziva agencijo, naj v prihodnje zagotovi uravnoteženo zastopanost spolov na ravni višjega vodstva; ugotavlja, da agencija ni sprejela listine o raznolikosti in vključevanju, in agencijo spodbuja, naj jo sprejme in dejavno sodeluje v pobudah, ki spodbujajo raznolikost in vključevanje na delovnem mestu;</w:t>
      </w:r>
    </w:p>
    <w:p w:rsidR="00012624" w:rsidRPr="004941E0" w:rsidRDefault="00012624" w:rsidP="00012624">
      <w:pPr>
        <w:pStyle w:val="NormalHanging12a"/>
      </w:pPr>
      <w:r w:rsidRPr="004941E0">
        <w:t>15.</w:t>
      </w:r>
      <w:r w:rsidRPr="004941E0">
        <w:tab/>
        <w:t>izraža zaskrbljenost zaradi geografske uravnoteženosti na višjih in srednjih vodstvenih položajih agencije, saj ni vodstvenih delavcev iz srednje in vzhodne Evrope; vztraja, da so potrebne izboljšave; prosi agencijo, naj o tem poroča organu za podelitev razrešnice;</w:t>
      </w:r>
    </w:p>
    <w:p w:rsidR="00012624" w:rsidRPr="004941E0" w:rsidRDefault="00012624" w:rsidP="00012624">
      <w:pPr>
        <w:pStyle w:val="NormalHanging12a"/>
      </w:pPr>
      <w:r w:rsidRPr="004941E0">
        <w:t>16.</w:t>
      </w:r>
      <w:r w:rsidRPr="004941E0">
        <w:tab/>
        <w:t>pozdravlja, da ima agencija koordinatorja za dobro počutje in da je opravila obsežno delo v zvezi z ozaveščanjem in vzpostavitvijo postopkov za zaposlene, ki se vračajo na delo po dolgotrajni odsotnosti, in da jim po potrebi nudi strokovno pomoč prek zdravstvenega svetovalca;</w:t>
      </w:r>
    </w:p>
    <w:p w:rsidR="00012624" w:rsidRPr="004941E0" w:rsidRDefault="00012624" w:rsidP="00012624">
      <w:pPr>
        <w:widowControl/>
        <w:spacing w:after="240"/>
        <w:ind w:left="567" w:hanging="567"/>
        <w:rPr>
          <w:szCs w:val="24"/>
        </w:rPr>
      </w:pPr>
      <w:r w:rsidRPr="004941E0">
        <w:t>17.</w:t>
      </w:r>
      <w:r w:rsidRPr="004941E0">
        <w:tab/>
        <w:t xml:space="preserve">ugotavlja, da je agencija za zmanjšanje tveganja izgorelosti skupaj z izvajalcem zdravstvene dejavnosti uvedla aplikacijo za spremljanje stresa (imenovano </w:t>
      </w:r>
      <w:proofErr w:type="spellStart"/>
      <w:r w:rsidRPr="004941E0">
        <w:t>Howdy</w:t>
      </w:r>
      <w:proofErr w:type="spellEnd"/>
      <w:r w:rsidRPr="004941E0">
        <w:t xml:space="preserve">); je seznanjen, da se zaposleni prijavijo v aplikacijo, ki jim redno postavlja vrsto vprašanj za spremljanje njihove ravni stresa, v primeru povišanja te ravni pa z njimi stopi v stik </w:t>
      </w:r>
      <w:r w:rsidRPr="004941E0">
        <w:lastRenderedPageBreak/>
        <w:t>medicinski psiholog, s katerim se pogovorijo o rezultatih; ugotavlja, da imajo zaposleni možnost, da v primeru težav največ trikrat obiščejo psihologa, ki dela za ponudnika zdravstvenih storitev za agencijo; poudarja, da vse to poteka anonimno, pri čemer se agenciji posredujejo le statistični podatki;</w:t>
      </w:r>
    </w:p>
    <w:p w:rsidR="00012624" w:rsidRPr="004941E0" w:rsidRDefault="00012624" w:rsidP="00012624">
      <w:pPr>
        <w:pStyle w:val="NormalHanging12a"/>
      </w:pPr>
      <w:r w:rsidRPr="004941E0">
        <w:t>18.</w:t>
      </w:r>
      <w:r w:rsidRPr="004941E0">
        <w:tab/>
        <w:t xml:space="preserve">ugotavlja, da je agencija uvedla politiko za zaščito človekovega dostojanstva ter preprečevanje psihičnega in spolnega nadlegovanja, prav tako pa sodeluje pri </w:t>
      </w:r>
      <w:proofErr w:type="spellStart"/>
      <w:r w:rsidRPr="004941E0">
        <w:t>medagencijski</w:t>
      </w:r>
      <w:proofErr w:type="spellEnd"/>
      <w:r w:rsidRPr="004941E0">
        <w:t xml:space="preserve"> projektni skupini zaupnih svetovalcev; z zanimanjem pričakuje njihovo poročilo in priporočila; ugotavlja, da v letu 2022 ni bilo prijavljenih primerov nadlegovanja, in spodbuja agencijo, naj tudi v prihodnje oblikuje in izvaja dejavnosti za preprečevanje teh primerov;</w:t>
      </w:r>
    </w:p>
    <w:p w:rsidR="00012624" w:rsidRPr="004941E0" w:rsidRDefault="00012624" w:rsidP="00012624">
      <w:pPr>
        <w:widowControl/>
        <w:spacing w:after="240"/>
        <w:ind w:left="567" w:hanging="567"/>
      </w:pPr>
      <w:r w:rsidRPr="004941E0">
        <w:t>19.</w:t>
      </w:r>
      <w:r w:rsidRPr="004941E0">
        <w:tab/>
        <w:t>z zaskrbljenostjo ugotavlja, da kljub večletni naravi nalog agencije obstaja neravnovesje med številom stalnih in pogodbenih delovnih mest ter operativnim osebjem v primerjavi s podpornim osebjem, zaradi česar prihaja do stalnih potreb po prekvalifikacijah, znanstveniki pa so preobremenjeni z administrativnim delom; poziva agencijo, naj pregleda svojo kadrovsko politiko; meni, da bi se moralo število zaposlenih v agenciji ob upoštevanju znatnega povečanja delovne obremenitve in za ustrezno opravljanje nalog v zvezi s cilji Unije, med drugim za podnebno nevtralnost, krožno gospodarstvo in obnovo narave, v prihodnjih letih še naprej znatno povečevati;</w:t>
      </w:r>
    </w:p>
    <w:p w:rsidR="00012624" w:rsidRPr="004941E0" w:rsidRDefault="00012624" w:rsidP="00012624">
      <w:pPr>
        <w:widowControl/>
        <w:spacing w:after="240"/>
        <w:ind w:left="567" w:hanging="567"/>
        <w:rPr>
          <w:b/>
          <w:i/>
          <w:szCs w:val="24"/>
        </w:rPr>
      </w:pPr>
      <w:r w:rsidRPr="004941E0">
        <w:rPr>
          <w:b/>
          <w:bCs/>
          <w:i/>
          <w:iCs/>
        </w:rPr>
        <w:t>Preprečevanje in obvladovanje nasprotij interesov ter preglednost</w:t>
      </w:r>
    </w:p>
    <w:p w:rsidR="00012624" w:rsidRPr="004941E0" w:rsidRDefault="00012624" w:rsidP="00012624">
      <w:pPr>
        <w:widowControl/>
        <w:spacing w:after="240"/>
        <w:ind w:left="567" w:hanging="567"/>
        <w:rPr>
          <w:rFonts w:eastAsiaTheme="minorHAnsi"/>
          <w:szCs w:val="24"/>
        </w:rPr>
      </w:pPr>
      <w:r w:rsidRPr="004941E0">
        <w:t>20.</w:t>
      </w:r>
      <w:r w:rsidRPr="004941E0">
        <w:tab/>
        <w:t xml:space="preserve">opozarja, da bi morali člani višjega vodstva in člani upravnega odbora predložiti izjave o interesih, ki se objavijo na spletnem mestu agencije; ugotavlja, da bi morali člani višjega vodstva v okviru dialoga o razvoju poklicne poti na podlagi </w:t>
      </w:r>
      <w:proofErr w:type="spellStart"/>
      <w:r w:rsidRPr="004941E0">
        <w:t>samoizjave</w:t>
      </w:r>
      <w:proofErr w:type="spellEnd"/>
      <w:r w:rsidRPr="004941E0">
        <w:t xml:space="preserve"> (v okviru samoocene) posodobiti ozaveščenost o nasprotju interesov, pri čemer bi moral višji vodstveni delavec kot uslužbenec navesti, ali so bile ali bodo izvedene nove zaveze ali dejavnosti, ki bi lahko povzročile morebitna nasprotja interesov; ugotavlja, da pristojni nadrejeni pri dokončnem oblikovanju načrta poklicne poti navede svojo oceno vprašanja nasprotij interesov; ugotavlja, da v letu 2022 ni bilo ugotovljenih primerov nasprotij interesov;</w:t>
      </w:r>
    </w:p>
    <w:p w:rsidR="00012624" w:rsidRPr="004941E0" w:rsidRDefault="00012624" w:rsidP="00012624">
      <w:pPr>
        <w:widowControl/>
        <w:spacing w:after="240"/>
        <w:ind w:left="567" w:hanging="567"/>
        <w:rPr>
          <w:szCs w:val="24"/>
        </w:rPr>
      </w:pPr>
      <w:r w:rsidRPr="004941E0">
        <w:t>21.</w:t>
      </w:r>
      <w:r w:rsidRPr="004941E0">
        <w:tab/>
        <w:t>ugotavlja, da agencija še naprej spremlja življenjepise in izjave o interesih, ki jih predložijo člani upravnega odbora in višji vodstveni delavci, ter da so objavljeni na njenem spletnem mestu;</w:t>
      </w:r>
    </w:p>
    <w:p w:rsidR="00012624" w:rsidRPr="004941E0" w:rsidRDefault="00012624" w:rsidP="00012624">
      <w:pPr>
        <w:spacing w:after="240"/>
        <w:ind w:left="567" w:hanging="567"/>
        <w:rPr>
          <w:szCs w:val="24"/>
        </w:rPr>
      </w:pPr>
      <w:r w:rsidRPr="004941E0">
        <w:t>22.</w:t>
      </w:r>
      <w:r w:rsidRPr="004941E0">
        <w:tab/>
        <w:t>na podlagi nadaljnjega ukrepanja na podlagi ugotovitev iz razrešnice za leto 2021 ugotavlja, da agencija pregleduje svojo politiko preprečevanja in obvladovanja nasprotij interesov, da bi ocenila njeno primernost in ustreznost na podlagi pristopa, ki temelji na tveganju; ugotavlja, da bo agencija pri tem preučila svoje mehanizme notranje kontrole in boja proti korupciji ter odpravila morebitne vrzeli, ki bi jih lahko odkrila; poziva agencijo, naj organu za podelitev razrešnice poroča o rezultatih zgoraj omenjenega ocenjevanja;</w:t>
      </w:r>
    </w:p>
    <w:p w:rsidR="00012624" w:rsidRPr="004941E0" w:rsidRDefault="00012624" w:rsidP="00012624">
      <w:pPr>
        <w:pStyle w:val="NormalHanging12a"/>
      </w:pPr>
      <w:r w:rsidRPr="004941E0">
        <w:t>23.</w:t>
      </w:r>
      <w:r w:rsidRPr="004941E0">
        <w:tab/>
        <w:t>je seznanjen s prepoznavnostjo, ki jo je dosegla agencija; meni, da lahko agencija doseže še večjo prepoznavnost v medijih, na internetu in v družbenih medijih, da bi državljane Unije seznanjala s svojim delom in z nevarnostmi za naše okolje;</w:t>
      </w:r>
    </w:p>
    <w:p w:rsidR="00012624" w:rsidRPr="004941E0" w:rsidRDefault="00012624" w:rsidP="00012624">
      <w:pPr>
        <w:widowControl/>
        <w:spacing w:after="240"/>
        <w:ind w:left="567" w:hanging="567"/>
        <w:rPr>
          <w:b/>
          <w:i/>
          <w:szCs w:val="24"/>
        </w:rPr>
      </w:pPr>
      <w:r w:rsidRPr="004941E0">
        <w:rPr>
          <w:b/>
          <w:i/>
        </w:rPr>
        <w:t>Notranje kontrole</w:t>
      </w:r>
    </w:p>
    <w:p w:rsidR="00012624" w:rsidRPr="004941E0" w:rsidRDefault="00012624" w:rsidP="00012624">
      <w:pPr>
        <w:widowControl/>
        <w:spacing w:after="240"/>
        <w:ind w:left="567" w:hanging="567"/>
        <w:rPr>
          <w:szCs w:val="24"/>
        </w:rPr>
      </w:pPr>
      <w:r w:rsidRPr="004941E0">
        <w:lastRenderedPageBreak/>
        <w:t>24.</w:t>
      </w:r>
      <w:r w:rsidRPr="004941E0">
        <w:tab/>
        <w:t>ugotavlja, da je agencija v letu 2022 nadaljevala delo v zvezi s strukturnimi spremembami načinov dela, ki so se začele izvajati leta 2021; ugotavlja, da bo po tem, ko bodo spremembe v celoti izvedene, posebna pozornost namenjena posodabljanju dokumentacije o postopkih, s čimer se bodo odpravile pomanjkljivosti, ugotovljene med notranjo kontrolo agencije; ugotavlja, da je pristop agencije k obvladovanju tveganj delno skladen, saj opredeljuje in analizira tveganja v organizaciji, vendar je sistematično prepoznavanje, ocenjevanje in spremljanje tveganj na ravni projektnih skupin omejeno;</w:t>
      </w:r>
    </w:p>
    <w:p w:rsidR="00012624" w:rsidRPr="004941E0" w:rsidRDefault="00012624" w:rsidP="00012624">
      <w:pPr>
        <w:widowControl/>
        <w:spacing w:after="240"/>
        <w:ind w:left="567" w:hanging="567"/>
        <w:rPr>
          <w:szCs w:val="24"/>
        </w:rPr>
      </w:pPr>
      <w:r w:rsidRPr="004941E0">
        <w:t>25.</w:t>
      </w:r>
      <w:r w:rsidRPr="004941E0">
        <w:tab/>
        <w:t>ugotavlja, da so tudi nadzorne dejavnosti za zmanjšanje tveganj delno skladne, saj so zastarele zaradi strukturnih sprememb iz leta 2022; ugotavlja, da sta politika evropskega tematskega centra in politika za nepovratna sredstva zastareli glede na spremembo strukture preverjanja, ki je bila uvedena leta 2022; ugotavlja, da so bili načrti neprekinjenega poslovanja vzpostavljeni in so se učinkovito uporabljajo med krizami, vendar so njihovi ukrepi razpršeni med različne dokumente in niso bili posodobljeni, da bi odražali nove načine dela; poziva agencijo, naj organu za podelitev razrešnice poroča o ukrepih, ki jih je sprejela za posodobitev dokumentacije o postopkih;</w:t>
      </w:r>
    </w:p>
    <w:p w:rsidR="00012624" w:rsidRPr="004941E0" w:rsidRDefault="00012624" w:rsidP="00012624">
      <w:pPr>
        <w:widowControl/>
        <w:spacing w:after="240"/>
        <w:ind w:left="567" w:hanging="567"/>
        <w:rPr>
          <w:b/>
          <w:i/>
          <w:szCs w:val="24"/>
        </w:rPr>
      </w:pPr>
      <w:r w:rsidRPr="004941E0">
        <w:rPr>
          <w:b/>
          <w:i/>
        </w:rPr>
        <w:t>Druge pripombe</w:t>
      </w:r>
    </w:p>
    <w:p w:rsidR="00012624" w:rsidRPr="004941E0" w:rsidRDefault="00012624" w:rsidP="00012624">
      <w:pPr>
        <w:widowControl/>
        <w:spacing w:after="240"/>
        <w:ind w:left="567" w:hanging="567"/>
        <w:rPr>
          <w:rFonts w:eastAsia="Calibri"/>
          <w:szCs w:val="24"/>
        </w:rPr>
      </w:pPr>
      <w:r w:rsidRPr="004941E0">
        <w:t>26.</w:t>
      </w:r>
      <w:r w:rsidRPr="004941E0">
        <w:tab/>
        <w:t>pozdravlja dejstvo, da je pristojni organ septembra 2022 uspešno podaljšal registracijo agencije v okviru sistema EU za okoljsko ravnanje in presojo (EMAS) za še eno leto; je zadovoljen zaradi ugotovitve iz poročila Računskega sodišča, da je agencija ena izmed tistih, ki izdajajo letno okoljsko izjavo;</w:t>
      </w:r>
    </w:p>
    <w:p w:rsidR="00012624" w:rsidRPr="004941E0" w:rsidRDefault="00012624" w:rsidP="00012624">
      <w:pPr>
        <w:widowControl/>
        <w:spacing w:after="240"/>
        <w:ind w:left="567" w:hanging="567"/>
        <w:rPr>
          <w:szCs w:val="24"/>
        </w:rPr>
      </w:pPr>
      <w:r w:rsidRPr="004941E0">
        <w:t>27.</w:t>
      </w:r>
      <w:r w:rsidRPr="004941E0">
        <w:tab/>
        <w:t>izreka pohvalo agenciji za njena stalna prizadevanja za javno prepoznavnost in prisotnost na spletu v letu 2022, kot je razvoj interaktivne digitalne korporativne publikacije „EEA 2021: leto na kratko“, da se pojasni, kaj agencija je in kaj počne, ter tekoči večletni spletni projekt, s katerim so bili leta 2022 zagotovljeni ključni elementi, med drugim navigacijska logika, osredotočena na uporabnika, in posodobljena vsebina na ključnih področjih znanja, ki temelji na intenzivni analizi uporabnikov;</w:t>
      </w:r>
    </w:p>
    <w:p w:rsidR="00012624" w:rsidRPr="004941E0" w:rsidRDefault="00012624" w:rsidP="00012624">
      <w:pPr>
        <w:widowControl/>
        <w:spacing w:after="240"/>
        <w:ind w:left="567" w:hanging="567"/>
        <w:rPr>
          <w:szCs w:val="24"/>
        </w:rPr>
      </w:pPr>
      <w:r w:rsidRPr="004941E0">
        <w:t>28.</w:t>
      </w:r>
      <w:r w:rsidRPr="004941E0">
        <w:tab/>
        <w:t xml:space="preserve">čestita agenciji za sodelovanje v posebni projektni skupini za združevanje znanja, strokovnega znanja in podatkov za kartiranje vpliva, ki ga je na okolje imel </w:t>
      </w:r>
      <w:proofErr w:type="spellStart"/>
      <w:r w:rsidRPr="004941E0">
        <w:t>neizzvani</w:t>
      </w:r>
      <w:proofErr w:type="spellEnd"/>
      <w:r w:rsidRPr="004941E0">
        <w:t xml:space="preserve"> in neupravičeni napad Rusije na Ukrajino;</w:t>
      </w:r>
    </w:p>
    <w:p w:rsidR="00012624" w:rsidRPr="004941E0" w:rsidRDefault="00012624" w:rsidP="00012624">
      <w:pPr>
        <w:pStyle w:val="NormalCenter12a"/>
        <w:widowControl/>
        <w:ind w:left="567" w:hanging="567"/>
      </w:pPr>
      <w:r w:rsidRPr="004941E0">
        <w:t>°</w:t>
      </w:r>
    </w:p>
    <w:p w:rsidR="00012624" w:rsidRPr="004941E0" w:rsidRDefault="00012624" w:rsidP="00012624">
      <w:pPr>
        <w:pStyle w:val="NormalCenter12a"/>
        <w:widowControl/>
        <w:ind w:left="567" w:hanging="567"/>
      </w:pPr>
      <w:r w:rsidRPr="004941E0">
        <w:t>°</w:t>
      </w:r>
      <w:r w:rsidRPr="004941E0">
        <w:tab/>
        <w:t>°</w:t>
      </w:r>
    </w:p>
    <w:p w:rsidR="00012624" w:rsidRPr="00201A4F" w:rsidRDefault="00012624" w:rsidP="00012624">
      <w:pPr>
        <w:pStyle w:val="NormalHanging12a"/>
        <w:widowControl/>
      </w:pPr>
      <w:r w:rsidRPr="004941E0">
        <w:t>29.</w:t>
      </w:r>
      <w:r w:rsidRPr="004941E0">
        <w:tab/>
        <w:t xml:space="preserve">sporoča, da so druge ugotovitve horizontalne narave, ki spremljajo sklep o razrešnici, zbrane v resoluciji z dne </w:t>
      </w:r>
      <w:r w:rsidR="00BD6A22" w:rsidRPr="004941E0">
        <w:t>11. aprila</w:t>
      </w:r>
      <w:r w:rsidR="00B13FE6" w:rsidRPr="004941E0">
        <w:t xml:space="preserve"> </w:t>
      </w:r>
      <w:r w:rsidR="00BD6A22" w:rsidRPr="004941E0">
        <w:t>2024</w:t>
      </w:r>
      <w:r w:rsidRPr="004941E0">
        <w:rPr>
          <w:vertAlign w:val="superscript"/>
        </w:rPr>
        <w:footnoteReference w:id="12"/>
      </w:r>
      <w:r w:rsidRPr="004941E0">
        <w:t xml:space="preserve"> o uspešnosti, finančnem </w:t>
      </w:r>
      <w:proofErr w:type="spellStart"/>
      <w:r w:rsidRPr="004941E0">
        <w:t>poslovodenju</w:t>
      </w:r>
      <w:proofErr w:type="spellEnd"/>
      <w:r w:rsidRPr="004941E0">
        <w:t xml:space="preserve"> in nadzoru agencij.</w:t>
      </w:r>
    </w:p>
    <w:sectPr w:rsidR="00012624" w:rsidRPr="00201A4F" w:rsidSect="00201A4F">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4DE" w:rsidRPr="00201A4F" w:rsidRDefault="00C114DE">
      <w:r w:rsidRPr="00201A4F">
        <w:separator/>
      </w:r>
    </w:p>
  </w:endnote>
  <w:endnote w:type="continuationSeparator" w:id="0">
    <w:p w:rsidR="00C114DE" w:rsidRPr="00201A4F" w:rsidRDefault="00C114DE">
      <w:r w:rsidRPr="00201A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24" w:rsidRPr="00201A4F" w:rsidRDefault="00012624" w:rsidP="0018532F">
    <w:pPr>
      <w:pStyle w:val="EPFooter"/>
    </w:pPr>
    <w:r w:rsidRPr="00201A4F">
      <w:t>PE</w:t>
    </w:r>
    <w:r w:rsidRPr="00201A4F">
      <w:rPr>
        <w:rStyle w:val="HideTWBExt"/>
      </w:rPr>
      <w:t>&lt;</w:t>
    </w:r>
    <w:proofErr w:type="spellStart"/>
    <w:r w:rsidRPr="00201A4F">
      <w:rPr>
        <w:rStyle w:val="HideTWBExt"/>
      </w:rPr>
      <w:t>NoPE</w:t>
    </w:r>
    <w:proofErr w:type="spellEnd"/>
    <w:r w:rsidRPr="00201A4F">
      <w:rPr>
        <w:rStyle w:val="HideTWBExt"/>
      </w:rPr>
      <w:t>&gt;</w:t>
    </w:r>
    <w:r w:rsidRPr="00201A4F">
      <w:t>753.517</w:t>
    </w:r>
    <w:r w:rsidRPr="00201A4F">
      <w:rPr>
        <w:rStyle w:val="HideTWBExt"/>
      </w:rPr>
      <w:t>&lt;/</w:t>
    </w:r>
    <w:proofErr w:type="spellStart"/>
    <w:r w:rsidRPr="00201A4F">
      <w:rPr>
        <w:rStyle w:val="HideTWBExt"/>
      </w:rPr>
      <w:t>NoPE</w:t>
    </w:r>
    <w:proofErr w:type="spellEnd"/>
    <w:r w:rsidRPr="00201A4F">
      <w:rPr>
        <w:rStyle w:val="HideTWBExt"/>
      </w:rPr>
      <w:t>&gt;&lt;Version&gt;</w:t>
    </w:r>
    <w:r w:rsidRPr="00201A4F">
      <w:t>v02-00</w:t>
    </w:r>
    <w:r w:rsidRPr="00201A4F">
      <w:rPr>
        <w:rStyle w:val="HideTWBExt"/>
      </w:rPr>
      <w:t>&lt;/</w:t>
    </w:r>
    <w:proofErr w:type="spellStart"/>
    <w:r w:rsidRPr="00201A4F">
      <w:rPr>
        <w:rStyle w:val="HideTWBExt"/>
      </w:rPr>
      <w:t>Version</w:t>
    </w:r>
    <w:proofErr w:type="spellEnd"/>
    <w:r w:rsidRPr="00201A4F">
      <w:rPr>
        <w:rStyle w:val="HideTWBExt"/>
      </w:rPr>
      <w:t>&gt;</w:t>
    </w:r>
    <w:r w:rsidRPr="00201A4F">
      <w:tab/>
    </w:r>
    <w:r w:rsidRPr="00201A4F">
      <w:fldChar w:fldCharType="begin"/>
    </w:r>
    <w:r w:rsidRPr="00201A4F">
      <w:instrText xml:space="preserve"> PAGE  \* MERGEFORMAT </w:instrText>
    </w:r>
    <w:r w:rsidRPr="00201A4F">
      <w:fldChar w:fldCharType="separate"/>
    </w:r>
    <w:r w:rsidR="00201A4F" w:rsidRPr="00201A4F">
      <w:rPr>
        <w:noProof/>
      </w:rPr>
      <w:t>2</w:t>
    </w:r>
    <w:r w:rsidRPr="00201A4F">
      <w:fldChar w:fldCharType="end"/>
    </w:r>
    <w:r w:rsidRPr="00201A4F">
      <w:t>/</w:t>
    </w:r>
    <w:fldSimple w:instr=" NUMPAGES  \* MERGEFORMAT ">
      <w:r w:rsidR="00201A4F" w:rsidRPr="00201A4F">
        <w:rPr>
          <w:noProof/>
        </w:rPr>
        <w:t>4</w:t>
      </w:r>
    </w:fldSimple>
    <w:r w:rsidRPr="00201A4F">
      <w:tab/>
    </w:r>
    <w:r w:rsidRPr="00201A4F">
      <w:rPr>
        <w:rStyle w:val="HideTWBExt"/>
      </w:rPr>
      <w:t>&lt;PathFdR&gt;</w:t>
    </w:r>
    <w:r w:rsidRPr="00201A4F">
      <w:t>RR\1299228SL.docx</w:t>
    </w:r>
    <w:r w:rsidRPr="00201A4F">
      <w:rPr>
        <w:rStyle w:val="HideTWBExt"/>
      </w:rPr>
      <w:t>&lt;/</w:t>
    </w:r>
    <w:proofErr w:type="spellStart"/>
    <w:r w:rsidRPr="00201A4F">
      <w:rPr>
        <w:rStyle w:val="HideTWBExt"/>
      </w:rPr>
      <w:t>PathFdR</w:t>
    </w:r>
    <w:proofErr w:type="spellEnd"/>
    <w:r w:rsidRPr="00201A4F">
      <w:rPr>
        <w:rStyle w:val="HideTWBExt"/>
      </w:rPr>
      <w:t>&gt;</w:t>
    </w:r>
  </w:p>
  <w:p w:rsidR="00012624" w:rsidRPr="00201A4F" w:rsidRDefault="00012624" w:rsidP="0018532F">
    <w:pPr>
      <w:pStyle w:val="EPFooter2"/>
    </w:pPr>
    <w:r w:rsidRPr="00201A4F">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24" w:rsidRPr="00201A4F" w:rsidRDefault="00012624" w:rsidP="0018532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24" w:rsidRPr="00201A4F" w:rsidRDefault="00012624" w:rsidP="0018532F">
    <w:pPr>
      <w:pStyle w:val="EPFooter"/>
    </w:pPr>
    <w:r w:rsidRPr="00201A4F">
      <w:rPr>
        <w:rStyle w:val="HideTWBExt"/>
      </w:rPr>
      <w:t>&lt;PathFdR&gt;</w:t>
    </w:r>
    <w:r w:rsidRPr="00201A4F">
      <w:t>RR\1299228SL.docx</w:t>
    </w:r>
    <w:r w:rsidRPr="00201A4F">
      <w:rPr>
        <w:rStyle w:val="HideTWBExt"/>
      </w:rPr>
      <w:t>&lt;/</w:t>
    </w:r>
    <w:proofErr w:type="spellStart"/>
    <w:r w:rsidRPr="00201A4F">
      <w:rPr>
        <w:rStyle w:val="HideTWBExt"/>
      </w:rPr>
      <w:t>PathFdR</w:t>
    </w:r>
    <w:proofErr w:type="spellEnd"/>
    <w:r w:rsidRPr="00201A4F">
      <w:rPr>
        <w:rStyle w:val="HideTWBExt"/>
      </w:rPr>
      <w:t>&gt;</w:t>
    </w:r>
    <w:r w:rsidRPr="00201A4F">
      <w:tab/>
    </w:r>
    <w:r w:rsidRPr="00201A4F">
      <w:tab/>
      <w:t>PE</w:t>
    </w:r>
    <w:r w:rsidRPr="00201A4F">
      <w:rPr>
        <w:rStyle w:val="HideTWBExt"/>
      </w:rPr>
      <w:t>&lt;</w:t>
    </w:r>
    <w:proofErr w:type="spellStart"/>
    <w:r w:rsidRPr="00201A4F">
      <w:rPr>
        <w:rStyle w:val="HideTWBExt"/>
      </w:rPr>
      <w:t>NoPE</w:t>
    </w:r>
    <w:proofErr w:type="spellEnd"/>
    <w:r w:rsidRPr="00201A4F">
      <w:rPr>
        <w:rStyle w:val="HideTWBExt"/>
      </w:rPr>
      <w:t>&gt;</w:t>
    </w:r>
    <w:r w:rsidRPr="00201A4F">
      <w:t>753.517</w:t>
    </w:r>
    <w:r w:rsidRPr="00201A4F">
      <w:rPr>
        <w:rStyle w:val="HideTWBExt"/>
      </w:rPr>
      <w:t>&lt;/</w:t>
    </w:r>
    <w:proofErr w:type="spellStart"/>
    <w:r w:rsidRPr="00201A4F">
      <w:rPr>
        <w:rStyle w:val="HideTWBExt"/>
      </w:rPr>
      <w:t>NoPE</w:t>
    </w:r>
    <w:proofErr w:type="spellEnd"/>
    <w:r w:rsidRPr="00201A4F">
      <w:rPr>
        <w:rStyle w:val="HideTWBExt"/>
      </w:rPr>
      <w:t>&gt;&lt;Version&gt;</w:t>
    </w:r>
    <w:r w:rsidRPr="00201A4F">
      <w:t>v02-00</w:t>
    </w:r>
    <w:r w:rsidRPr="00201A4F">
      <w:rPr>
        <w:rStyle w:val="HideTWBExt"/>
      </w:rPr>
      <w:t>&lt;/</w:t>
    </w:r>
    <w:proofErr w:type="spellStart"/>
    <w:r w:rsidRPr="00201A4F">
      <w:rPr>
        <w:rStyle w:val="HideTWBExt"/>
      </w:rPr>
      <w:t>Version</w:t>
    </w:r>
    <w:proofErr w:type="spellEnd"/>
    <w:r w:rsidRPr="00201A4F">
      <w:rPr>
        <w:rStyle w:val="HideTWBExt"/>
      </w:rPr>
      <w:t>&gt;</w:t>
    </w:r>
  </w:p>
  <w:p w:rsidR="00012624" w:rsidRPr="00201A4F" w:rsidRDefault="00012624" w:rsidP="0018532F">
    <w:pPr>
      <w:pStyle w:val="EPFooter2"/>
    </w:pPr>
    <w:r w:rsidRPr="00201A4F">
      <w:t>SL</w:t>
    </w:r>
    <w:r w:rsidRPr="00201A4F">
      <w:tab/>
    </w:r>
    <w:r w:rsidRPr="00201A4F">
      <w:rPr>
        <w:b w:val="0"/>
        <w:i/>
        <w:color w:val="C0C0C0"/>
        <w:sz w:val="22"/>
      </w:rPr>
      <w:t>Združena v raznolikosti</w:t>
    </w:r>
    <w:r w:rsidRPr="00201A4F">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A4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A4F"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A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4DE" w:rsidRPr="00201A4F" w:rsidRDefault="00C114DE">
      <w:r w:rsidRPr="00201A4F">
        <w:separator/>
      </w:r>
    </w:p>
  </w:footnote>
  <w:footnote w:type="continuationSeparator" w:id="0">
    <w:p w:rsidR="00C114DE" w:rsidRPr="00201A4F" w:rsidRDefault="00C114DE">
      <w:r w:rsidRPr="00201A4F">
        <w:continuationSeparator/>
      </w:r>
    </w:p>
  </w:footnote>
  <w:footnote w:id="1">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C, C/2023/594, 27.10.2023.</w:t>
      </w:r>
    </w:p>
  </w:footnote>
  <w:footnote w:id="2">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C, C/2023/112, 12.10.2023.</w:t>
      </w:r>
    </w:p>
  </w:footnote>
  <w:footnote w:id="3">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L 193, 30.7.2018, str. 1.</w:t>
      </w:r>
    </w:p>
  </w:footnote>
  <w:footnote w:id="4">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L 126, 21.5.2009, str. 13.</w:t>
      </w:r>
    </w:p>
  </w:footnote>
  <w:footnote w:id="5">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L 122, 10.5.2019, str. 1.</w:t>
      </w:r>
    </w:p>
  </w:footnote>
  <w:footnote w:id="6">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C, C/2023/594, 27.10.2023.</w:t>
      </w:r>
    </w:p>
  </w:footnote>
  <w:footnote w:id="7">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C, C/2023/112, 12.10.2023.</w:t>
      </w:r>
    </w:p>
  </w:footnote>
  <w:footnote w:id="8">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L 193, 30.7.2018, str. 1.</w:t>
      </w:r>
    </w:p>
  </w:footnote>
  <w:footnote w:id="9">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L 126, 21.5.2009, str. 13.</w:t>
      </w:r>
    </w:p>
  </w:footnote>
  <w:footnote w:id="10">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L 122, 10.5.2019, str. 1.</w:t>
      </w:r>
    </w:p>
  </w:footnote>
  <w:footnote w:id="11">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UL C 38, 31.01.2023, str. 6.</w:t>
      </w:r>
    </w:p>
  </w:footnote>
  <w:footnote w:id="12">
    <w:p w:rsidR="00012624" w:rsidRPr="00201A4F" w:rsidRDefault="00012624" w:rsidP="00201A4F">
      <w:pPr>
        <w:pStyle w:val="FootnoteText"/>
        <w:ind w:left="567" w:hanging="567"/>
        <w:rPr>
          <w:sz w:val="24"/>
          <w:lang w:val="sl-SI"/>
        </w:rPr>
      </w:pPr>
      <w:r w:rsidRPr="00201A4F">
        <w:rPr>
          <w:rStyle w:val="FootnoteReference"/>
          <w:sz w:val="24"/>
          <w:lang w:val="sl-SI"/>
        </w:rPr>
        <w:footnoteRef/>
      </w:r>
      <w:r w:rsidR="00201A4F" w:rsidRPr="00201A4F">
        <w:rPr>
          <w:sz w:val="24"/>
          <w:lang w:val="sl-SI"/>
        </w:rPr>
        <w:t xml:space="preserve"> </w:t>
      </w:r>
      <w:r w:rsidR="00201A4F" w:rsidRPr="00201A4F">
        <w:rPr>
          <w:sz w:val="24"/>
          <w:lang w:val="sl-SI"/>
        </w:rPr>
        <w:tab/>
      </w:r>
      <w:r w:rsidRPr="00201A4F">
        <w:rPr>
          <w:sz w:val="24"/>
          <w:lang w:val="sl-SI"/>
        </w:rPr>
        <w:t>Sprejeta besedila, P9_TA(2024)</w:t>
      </w:r>
      <w:r w:rsidR="001B0BA2">
        <w:rPr>
          <w:sz w:val="24"/>
          <w:lang w:val="sl-SI"/>
        </w:rPr>
        <w:t>0280</w:t>
      </w:r>
      <w:r w:rsidRPr="00201A4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24" w:rsidRPr="00201A4F" w:rsidRDefault="00012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24" w:rsidRPr="00201A4F" w:rsidRDefault="00012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624" w:rsidRPr="00201A4F" w:rsidRDefault="000126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A4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A4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01A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SL"/>
    <w:docVar w:name="dvnumam" w:val="0"/>
    <w:docVar w:name="dvpe" w:val="753.517"/>
    <w:docVar w:name="dvrapporteur" w:val="Poročevalec: "/>
    <w:docVar w:name="dvtitre" w:val="Sklep Evropskega parlamenta z dne … 2024 o razrešnici glede izvrševanja proračuna Evropske agencije za okolje za proračunsko leto 2022(2023/2149(DEC))"/>
  </w:docVars>
  <w:rsids>
    <w:rsidRoot w:val="00C114DE"/>
    <w:rsid w:val="00002272"/>
    <w:rsid w:val="00012624"/>
    <w:rsid w:val="00064002"/>
    <w:rsid w:val="000677B9"/>
    <w:rsid w:val="000831BA"/>
    <w:rsid w:val="000A42CC"/>
    <w:rsid w:val="000E7DD9"/>
    <w:rsid w:val="0010095E"/>
    <w:rsid w:val="00125B37"/>
    <w:rsid w:val="00187494"/>
    <w:rsid w:val="001B0BA2"/>
    <w:rsid w:val="001F32AE"/>
    <w:rsid w:val="00201A4F"/>
    <w:rsid w:val="002767FF"/>
    <w:rsid w:val="002B18FE"/>
    <w:rsid w:val="002B5493"/>
    <w:rsid w:val="00343214"/>
    <w:rsid w:val="00361C00"/>
    <w:rsid w:val="00395FA1"/>
    <w:rsid w:val="003E15D4"/>
    <w:rsid w:val="00411CCE"/>
    <w:rsid w:val="0041666E"/>
    <w:rsid w:val="00421060"/>
    <w:rsid w:val="00471C19"/>
    <w:rsid w:val="004867E3"/>
    <w:rsid w:val="004941E0"/>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FE6"/>
    <w:rsid w:val="00B22876"/>
    <w:rsid w:val="00B558F0"/>
    <w:rsid w:val="00B56675"/>
    <w:rsid w:val="00BD48FE"/>
    <w:rsid w:val="00BD6A22"/>
    <w:rsid w:val="00BD7BD8"/>
    <w:rsid w:val="00BE6ADC"/>
    <w:rsid w:val="00C05BFE"/>
    <w:rsid w:val="00C114D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DEAA9"/>
  <w15:chartTrackingRefBased/>
  <w15:docId w15:val="{056787CD-203A-4742-ADB6-74681910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262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12624"/>
    <w:pPr>
      <w:spacing w:before="480" w:after="240"/>
    </w:pPr>
  </w:style>
  <w:style w:type="paragraph" w:customStyle="1" w:styleId="PageHeading">
    <w:name w:val="PageHeading"/>
    <w:basedOn w:val="Normal"/>
    <w:rsid w:val="00012624"/>
    <w:pPr>
      <w:keepNext/>
      <w:spacing w:after="480"/>
      <w:jc w:val="center"/>
    </w:pPr>
    <w:rPr>
      <w:rFonts w:ascii="Arial" w:hAnsi="Arial" w:cs="Arial"/>
      <w:b/>
    </w:rPr>
  </w:style>
  <w:style w:type="paragraph" w:customStyle="1" w:styleId="NormalBold">
    <w:name w:val="NormalBold"/>
    <w:basedOn w:val="Normal"/>
    <w:rsid w:val="00012624"/>
    <w:rPr>
      <w:b/>
    </w:rPr>
  </w:style>
  <w:style w:type="paragraph" w:customStyle="1" w:styleId="NormalHanging12a">
    <w:name w:val="NormalHanging12a"/>
    <w:basedOn w:val="Normal"/>
    <w:link w:val="NormalHanging12aChar"/>
    <w:rsid w:val="00012624"/>
    <w:pPr>
      <w:spacing w:after="240"/>
      <w:ind w:left="567" w:hanging="567"/>
    </w:pPr>
  </w:style>
  <w:style w:type="paragraph" w:customStyle="1" w:styleId="NormalCenter12a">
    <w:name w:val="NormalCenter12a"/>
    <w:basedOn w:val="Normal"/>
    <w:rsid w:val="00012624"/>
    <w:pPr>
      <w:spacing w:after="240"/>
      <w:jc w:val="center"/>
    </w:pPr>
  </w:style>
  <w:style w:type="paragraph" w:styleId="Header">
    <w:name w:val="header"/>
    <w:basedOn w:val="Normal"/>
    <w:link w:val="HeaderChar"/>
    <w:rsid w:val="00012624"/>
    <w:pPr>
      <w:tabs>
        <w:tab w:val="center" w:pos="4513"/>
        <w:tab w:val="right" w:pos="9026"/>
      </w:tabs>
    </w:pPr>
  </w:style>
  <w:style w:type="character" w:customStyle="1" w:styleId="HeaderChar">
    <w:name w:val="Header Char"/>
    <w:basedOn w:val="DefaultParagraphFont"/>
    <w:link w:val="Header"/>
    <w:rsid w:val="00012624"/>
    <w:rPr>
      <w:sz w:val="24"/>
      <w:lang w:val="sl-SI"/>
    </w:rPr>
  </w:style>
  <w:style w:type="paragraph" w:customStyle="1" w:styleId="EPFooter">
    <w:name w:val="EPFooter"/>
    <w:basedOn w:val="Normal"/>
    <w:rsid w:val="0001262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12624"/>
    <w:rPr>
      <w:sz w:val="24"/>
      <w:lang w:val="sl-SI"/>
    </w:rPr>
  </w:style>
  <w:style w:type="character" w:styleId="CommentReference">
    <w:name w:val="annotation reference"/>
    <w:basedOn w:val="DefaultParagraphFont"/>
    <w:rsid w:val="00B13FE6"/>
    <w:rPr>
      <w:sz w:val="16"/>
      <w:szCs w:val="16"/>
    </w:rPr>
  </w:style>
  <w:style w:type="paragraph" w:styleId="CommentText">
    <w:name w:val="annotation text"/>
    <w:basedOn w:val="Normal"/>
    <w:link w:val="CommentTextChar"/>
    <w:rsid w:val="00B13FE6"/>
    <w:rPr>
      <w:sz w:val="20"/>
      <w:lang w:val="en-GB"/>
    </w:rPr>
  </w:style>
  <w:style w:type="character" w:customStyle="1" w:styleId="CommentTextChar">
    <w:name w:val="Comment Text Char"/>
    <w:basedOn w:val="DefaultParagraphFont"/>
    <w:link w:val="CommentText"/>
    <w:rsid w:val="00B13FE6"/>
  </w:style>
  <w:style w:type="paragraph" w:styleId="BalloonText">
    <w:name w:val="Balloon Text"/>
    <w:basedOn w:val="Normal"/>
    <w:link w:val="BalloonTextChar"/>
    <w:rsid w:val="00B13FE6"/>
    <w:rPr>
      <w:rFonts w:ascii="Segoe UI" w:hAnsi="Segoe UI" w:cs="Segoe UI"/>
      <w:sz w:val="18"/>
      <w:szCs w:val="18"/>
    </w:rPr>
  </w:style>
  <w:style w:type="character" w:customStyle="1" w:styleId="BalloonTextChar">
    <w:name w:val="Balloon Text Char"/>
    <w:basedOn w:val="DefaultParagraphFont"/>
    <w:link w:val="BalloonText"/>
    <w:rsid w:val="00B13FE6"/>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72A5B-AB73-4BA3-B58B-1AAC0883E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2916</Words>
  <Characters>17110</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2024-05-21T12:10:00Z</dcterms:created>
  <dcterms:modified xsi:type="dcterms:W3CDTF">2024-05-21T12:10:00Z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P9_TA(2024)0242_</vt:lpwstr>
  </property>
  <property fmtid="{D5CDD505-2E9C-101B-9397-08002B2CF9AE}" pid="4" name="&lt;Type&gt;">
    <vt:lpwstr>RR</vt:lpwstr>
  </property>
</Properties>
</file>