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35520" w:rsidTr="0010095E">
        <w:trPr>
          <w:trHeight w:hRule="exact" w:val="1418"/>
        </w:trPr>
        <w:tc>
          <w:tcPr>
            <w:tcW w:w="6804" w:type="dxa"/>
            <w:shd w:val="clear" w:color="auto" w:fill="auto"/>
            <w:vAlign w:val="center"/>
          </w:tcPr>
          <w:p w:rsidR="00751A4A" w:rsidRPr="00F35520" w:rsidRDefault="00E57F04" w:rsidP="0010095E">
            <w:pPr>
              <w:pStyle w:val="EPName"/>
            </w:pPr>
            <w:r w:rsidRPr="00F35520">
              <w:t>Европейски</w:t>
            </w:r>
            <w:r w:rsidR="003D5862" w:rsidRPr="00F35520">
              <w:t xml:space="preserve"> парламент</w:t>
            </w:r>
          </w:p>
          <w:p w:rsidR="00751A4A" w:rsidRPr="00F35520" w:rsidRDefault="00E57F04" w:rsidP="00756632">
            <w:pPr>
              <w:pStyle w:val="EPTerm"/>
              <w:rPr>
                <w:rStyle w:val="HideTWBExt"/>
                <w:noProof w:val="0"/>
                <w:vanish w:val="0"/>
                <w:color w:val="auto"/>
              </w:rPr>
            </w:pPr>
            <w:r>
              <w:t>2019 – </w:t>
            </w:r>
            <w:r w:rsidR="00817416" w:rsidRPr="00F35520">
              <w:t>2024</w:t>
            </w:r>
          </w:p>
        </w:tc>
        <w:tc>
          <w:tcPr>
            <w:tcW w:w="2268" w:type="dxa"/>
            <w:shd w:val="clear" w:color="auto" w:fill="auto"/>
          </w:tcPr>
          <w:p w:rsidR="00751A4A" w:rsidRPr="00F35520" w:rsidRDefault="00187494" w:rsidP="0010095E">
            <w:pPr>
              <w:pStyle w:val="EPLogo"/>
            </w:pPr>
            <w:r w:rsidRPr="00F3552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35520" w:rsidRDefault="00D058B8" w:rsidP="004C5D52">
      <w:pPr>
        <w:pStyle w:val="LineTop"/>
      </w:pPr>
    </w:p>
    <w:p w:rsidR="00680577" w:rsidRPr="00F35520" w:rsidRDefault="003D5862" w:rsidP="00680577">
      <w:pPr>
        <w:pStyle w:val="EPBodyTA1"/>
      </w:pPr>
      <w:r w:rsidRPr="00F35520">
        <w:t>ПРИЕТИ ТЕКСТОВЕ</w:t>
      </w:r>
    </w:p>
    <w:p w:rsidR="00D058B8" w:rsidRPr="00F35520" w:rsidRDefault="00D058B8" w:rsidP="00D058B8">
      <w:pPr>
        <w:pStyle w:val="LineBottom"/>
      </w:pPr>
    </w:p>
    <w:p w:rsidR="003D5862" w:rsidRPr="00F35520" w:rsidRDefault="003D5862" w:rsidP="003D5862">
      <w:pPr>
        <w:pStyle w:val="ATHeading1"/>
      </w:pPr>
      <w:bookmarkStart w:id="0" w:name="TANumber"/>
      <w:r w:rsidRPr="00F35520">
        <w:t>P9_TA(2024)0</w:t>
      </w:r>
      <w:r w:rsidR="00B54289">
        <w:rPr>
          <w:lang w:val="en-GB"/>
        </w:rPr>
        <w:t>245</w:t>
      </w:r>
      <w:bookmarkEnd w:id="0"/>
    </w:p>
    <w:p w:rsidR="003D5862" w:rsidRPr="00F35520" w:rsidRDefault="003D5862" w:rsidP="003D5862">
      <w:pPr>
        <w:pStyle w:val="ATHeading2"/>
      </w:pPr>
      <w:bookmarkStart w:id="1" w:name="title"/>
      <w:r w:rsidRPr="00F35520">
        <w:t>Освобождаване от отговорност във връзка с изпълнението на бюджета за 2022 г.: Европейска агенция по лекарствата</w:t>
      </w:r>
      <w:bookmarkEnd w:id="1"/>
    </w:p>
    <w:p w:rsidR="003D5862" w:rsidRPr="00F35520" w:rsidRDefault="003D5862" w:rsidP="003D5862">
      <w:pPr>
        <w:rPr>
          <w:i/>
          <w:vanish/>
        </w:rPr>
      </w:pPr>
      <w:r w:rsidRPr="00F35520">
        <w:rPr>
          <w:i/>
        </w:rPr>
        <w:fldChar w:fldCharType="begin"/>
      </w:r>
      <w:r w:rsidRPr="00F35520">
        <w:rPr>
          <w:i/>
        </w:rPr>
        <w:instrText xml:space="preserve"> TC"(</w:instrText>
      </w:r>
      <w:bookmarkStart w:id="2" w:name="DocNumber"/>
      <w:r w:rsidRPr="00F35520">
        <w:rPr>
          <w:i/>
        </w:rPr>
        <w:instrText>A9-0133/2024</w:instrText>
      </w:r>
      <w:bookmarkEnd w:id="2"/>
      <w:r w:rsidRPr="00F35520">
        <w:rPr>
          <w:i/>
        </w:rPr>
        <w:instrText xml:space="preserve"> - Докладчик: </w:instrText>
      </w:r>
      <w:proofErr w:type="spellStart"/>
      <w:r w:rsidRPr="00F35520">
        <w:rPr>
          <w:i/>
        </w:rPr>
        <w:instrText>Петри</w:instrText>
      </w:r>
      <w:proofErr w:type="spellEnd"/>
      <w:r w:rsidRPr="00F35520">
        <w:rPr>
          <w:i/>
        </w:rPr>
        <w:instrText xml:space="preserve"> </w:instrText>
      </w:r>
      <w:proofErr w:type="spellStart"/>
      <w:r w:rsidRPr="00F35520">
        <w:rPr>
          <w:i/>
        </w:rPr>
        <w:instrText>Сарвама</w:instrText>
      </w:r>
      <w:proofErr w:type="spellEnd"/>
      <w:r w:rsidRPr="00F35520">
        <w:rPr>
          <w:i/>
        </w:rPr>
        <w:instrText xml:space="preserve">)"\l3 \n&gt; \* MERGEFORMAT </w:instrText>
      </w:r>
      <w:r w:rsidRPr="00F35520">
        <w:rPr>
          <w:i/>
        </w:rPr>
        <w:fldChar w:fldCharType="end"/>
      </w:r>
    </w:p>
    <w:p w:rsidR="003D5862" w:rsidRPr="00F35520" w:rsidRDefault="003D5862" w:rsidP="003D5862">
      <w:pPr>
        <w:rPr>
          <w:vanish/>
        </w:rPr>
      </w:pPr>
      <w:bookmarkStart w:id="3" w:name="Commission"/>
      <w:r w:rsidRPr="00F35520">
        <w:rPr>
          <w:vanish/>
        </w:rPr>
        <w:t>Комисия по бюджетен контрол</w:t>
      </w:r>
      <w:bookmarkEnd w:id="3"/>
    </w:p>
    <w:p w:rsidR="003D5862" w:rsidRPr="00F35520" w:rsidRDefault="003D5862" w:rsidP="003D5862">
      <w:pPr>
        <w:rPr>
          <w:vanish/>
        </w:rPr>
      </w:pPr>
      <w:bookmarkStart w:id="4" w:name="PE"/>
      <w:r w:rsidRPr="00F35520">
        <w:rPr>
          <w:vanish/>
        </w:rPr>
        <w:t>PE753.524</w:t>
      </w:r>
      <w:bookmarkEnd w:id="4"/>
    </w:p>
    <w:p w:rsidR="003D5862" w:rsidRPr="00F35520" w:rsidRDefault="00E57F04" w:rsidP="00E57F04">
      <w:pPr>
        <w:pStyle w:val="ATHeading3"/>
      </w:pPr>
      <w:bookmarkStart w:id="5" w:name="Sujet"/>
      <w:r>
        <w:t xml:space="preserve">1. </w:t>
      </w:r>
      <w:r w:rsidR="003D5862" w:rsidRPr="00F35520">
        <w:t xml:space="preserve">Решение на Европейския парламент от </w:t>
      </w:r>
      <w:r w:rsidR="001C570A">
        <w:rPr>
          <w:lang w:val="en-GB"/>
        </w:rPr>
        <w:t>11</w:t>
      </w:r>
      <w:r w:rsidR="001C570A">
        <w:t xml:space="preserve"> април</w:t>
      </w:r>
      <w:r w:rsidR="001C570A" w:rsidRPr="00F35520">
        <w:t xml:space="preserve"> </w:t>
      </w:r>
      <w:r w:rsidR="003D5862" w:rsidRPr="00F35520">
        <w:t>2024 г. относно освобождаването от отговорност във връзка с изпълнението на бюджета на Европейската агенция по лекарствата (ЕМА) за финансовата 2022 година</w:t>
      </w:r>
      <w:bookmarkEnd w:id="5"/>
      <w:r w:rsidR="003D5862" w:rsidRPr="00F35520">
        <w:t xml:space="preserve"> </w:t>
      </w:r>
      <w:bookmarkStart w:id="6" w:name="References"/>
      <w:r w:rsidR="003D5862" w:rsidRPr="00F35520">
        <w:t>(2023/2156(DEC))</w:t>
      </w:r>
      <w:bookmarkEnd w:id="6"/>
    </w:p>
    <w:p w:rsidR="00B22C49" w:rsidRPr="00F35520" w:rsidRDefault="00B22C49" w:rsidP="00B22C49">
      <w:pPr>
        <w:pStyle w:val="EPComma"/>
      </w:pPr>
      <w:bookmarkStart w:id="7" w:name="TextBodyBegin"/>
      <w:bookmarkEnd w:id="7"/>
      <w:r w:rsidRPr="00F35520">
        <w:rPr>
          <w:i/>
        </w:rPr>
        <w:t>Европейският парламент</w:t>
      </w:r>
      <w:r w:rsidRPr="00F35520">
        <w:t>,</w:t>
      </w:r>
    </w:p>
    <w:p w:rsidR="00B22C49" w:rsidRPr="00F35520" w:rsidRDefault="00B22C49" w:rsidP="00B22C49">
      <w:pPr>
        <w:pStyle w:val="NormalHanging12a"/>
      </w:pPr>
      <w:r w:rsidRPr="00F35520">
        <w:t>–</w:t>
      </w:r>
      <w:r w:rsidRPr="00F35520">
        <w:tab/>
        <w:t>като взе предвид окончателните годишни отчети на Европейската агенция по лекарствата за финансовата 2022 година,</w:t>
      </w:r>
    </w:p>
    <w:p w:rsidR="00B22C49" w:rsidRPr="00F35520" w:rsidRDefault="00B22C49" w:rsidP="00B22C49">
      <w:pPr>
        <w:pStyle w:val="NormalHanging12a"/>
      </w:pPr>
      <w:r w:rsidRPr="00F35520">
        <w:t>–</w:t>
      </w:r>
      <w:r w:rsidRPr="00F35520">
        <w:tab/>
        <w:t>като взе предвид годишния доклад на Сметната палата относно агенциите на ЕС за финансовата 2022 година, придружен от отговорите на агенциите</w:t>
      </w:r>
      <w:r w:rsidRPr="00F35520">
        <w:rPr>
          <w:rStyle w:val="FootnoteReference"/>
        </w:rPr>
        <w:footnoteReference w:id="1"/>
      </w:r>
      <w:r w:rsidRPr="00F35520">
        <w:t>,</w:t>
      </w:r>
    </w:p>
    <w:p w:rsidR="00B22C49" w:rsidRPr="00F35520" w:rsidRDefault="00B22C49" w:rsidP="00B22C49">
      <w:pPr>
        <w:pStyle w:val="NormalHanging12a"/>
      </w:pPr>
      <w:r w:rsidRPr="00F35520">
        <w:t>–</w:t>
      </w:r>
      <w:r w:rsidRPr="00F35520">
        <w:tab/>
        <w:t>като взе предвид декларацията за достоверност</w:t>
      </w:r>
      <w:r w:rsidRPr="00F35520">
        <w:rPr>
          <w:rStyle w:val="FootnoteReference"/>
        </w:rPr>
        <w:footnoteReference w:id="2"/>
      </w:r>
      <w:r w:rsidRPr="00F35520">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B22C49" w:rsidRPr="00F35520" w:rsidRDefault="00B22C49" w:rsidP="00B22C49">
      <w:pPr>
        <w:pStyle w:val="NormalHanging12a"/>
      </w:pPr>
      <w:r w:rsidRPr="00F35520">
        <w:t>–</w:t>
      </w:r>
      <w:r w:rsidRPr="00F35520">
        <w:tab/>
        <w:t>като взе предвид препоръката на Съвета от 22 февруари 2024 г. относно освобождаването от отговорност на Агенцията във връзка с изпълнението на бюджета за финансовата 2022 година (</w:t>
      </w:r>
      <w:r w:rsidR="006A281E" w:rsidRPr="006A281E">
        <w:t>06180</w:t>
      </w:r>
      <w:r w:rsidRPr="00F35520">
        <w:t>/2024 – C9</w:t>
      </w:r>
      <w:r w:rsidRPr="00F35520">
        <w:noBreakHyphen/>
      </w:r>
      <w:r w:rsidR="006A281E" w:rsidRPr="006A281E">
        <w:t>0094</w:t>
      </w:r>
      <w:r w:rsidRPr="00F35520">
        <w:t>/2024),</w:t>
      </w:r>
    </w:p>
    <w:p w:rsidR="00B22C49" w:rsidRPr="00F35520" w:rsidRDefault="00B22C49" w:rsidP="00B22C49">
      <w:pPr>
        <w:pStyle w:val="NormalHanging12a"/>
      </w:pPr>
      <w:r w:rsidRPr="00F35520">
        <w:t>–</w:t>
      </w:r>
      <w:r w:rsidRPr="00F35520">
        <w:tab/>
        <w:t>като взе предвид член 319 от Договора за функционирането на Европейския съюз,</w:t>
      </w:r>
    </w:p>
    <w:p w:rsidR="00B22C49" w:rsidRPr="00F35520" w:rsidRDefault="00B22C49" w:rsidP="00B22C49">
      <w:pPr>
        <w:pStyle w:val="NormalHanging12a"/>
      </w:pPr>
      <w:r w:rsidRPr="00F35520">
        <w:t>–</w:t>
      </w:r>
      <w:r w:rsidRPr="00F35520">
        <w:tab/>
        <w:t xml:space="preserve">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w:t>
      </w:r>
      <w:r w:rsidRPr="00F35520">
        <w:lastRenderedPageBreak/>
        <w:t>отмяна на Регламент (ЕС, Евратом) № 966/2012</w:t>
      </w:r>
      <w:r w:rsidRPr="00F35520">
        <w:rPr>
          <w:rStyle w:val="FootnoteReference"/>
        </w:rPr>
        <w:footnoteReference w:id="3"/>
      </w:r>
      <w:r w:rsidRPr="00F35520">
        <w:t>, и по-специално член 70 от него,</w:t>
      </w:r>
    </w:p>
    <w:p w:rsidR="00B22C49" w:rsidRPr="00F35520" w:rsidRDefault="00B22C49" w:rsidP="00B22C49">
      <w:pPr>
        <w:pStyle w:val="NormalHanging12a"/>
      </w:pPr>
      <w:r w:rsidRPr="00F35520">
        <w:t>–</w:t>
      </w:r>
      <w:r w:rsidRPr="00F35520">
        <w:tab/>
        <w:t>като взе предвид Регламент (ЕО) № 726/2004 на Европейския парламент и на Съвета от 31 март 2004 г. за установяване на процедури на Съюза за разрешаване и контрол на лекарствени продукти за хуманна употреба и за създаване на Европейска агенция по лекарствата</w:t>
      </w:r>
      <w:r w:rsidRPr="00F35520">
        <w:rPr>
          <w:rStyle w:val="FootnoteReference"/>
        </w:rPr>
        <w:footnoteReference w:id="4"/>
      </w:r>
      <w:r w:rsidRPr="00F35520">
        <w:t>, и по-специално член 68 от него,</w:t>
      </w:r>
    </w:p>
    <w:p w:rsidR="00B22C49" w:rsidRPr="00F35520" w:rsidRDefault="00B22C49" w:rsidP="00B22C49">
      <w:pPr>
        <w:pStyle w:val="NormalHanging12a"/>
      </w:pPr>
      <w:r w:rsidRPr="00F35520">
        <w:t>–</w:t>
      </w:r>
      <w:r w:rsidRPr="00F35520">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F35520">
        <w:rPr>
          <w:rStyle w:val="FootnoteReference"/>
        </w:rPr>
        <w:footnoteReference w:id="5"/>
      </w:r>
      <w:r w:rsidRPr="00F35520">
        <w:t>, и по-специално член 105 от него,</w:t>
      </w:r>
    </w:p>
    <w:p w:rsidR="00B22C49" w:rsidRPr="00F35520" w:rsidRDefault="00B22C49" w:rsidP="00B22C49">
      <w:pPr>
        <w:pStyle w:val="NormalHanging12a"/>
      </w:pPr>
      <w:r w:rsidRPr="00F35520">
        <w:t>–</w:t>
      </w:r>
      <w:r w:rsidRPr="00F35520">
        <w:tab/>
        <w:t>като взе предвид член 100 и приложение V към своя Правилник за дейността,</w:t>
      </w:r>
    </w:p>
    <w:p w:rsidR="00B22C49" w:rsidRPr="00F35520" w:rsidRDefault="00B22C49" w:rsidP="00B22C49">
      <w:pPr>
        <w:pStyle w:val="NormalHanging12a"/>
      </w:pPr>
      <w:r w:rsidRPr="00F35520">
        <w:t>–</w:t>
      </w:r>
      <w:r w:rsidRPr="00F35520">
        <w:tab/>
        <w:t>като взе предвид становището на комисията по околна среда, обществено здраве и безопасност на храните,</w:t>
      </w:r>
    </w:p>
    <w:p w:rsidR="00B22C49" w:rsidRPr="00F35520" w:rsidRDefault="00B22C49" w:rsidP="00B22C49">
      <w:pPr>
        <w:pStyle w:val="NormalHanging12a"/>
      </w:pPr>
      <w:r w:rsidRPr="00F35520">
        <w:t>–</w:t>
      </w:r>
      <w:r w:rsidRPr="00F35520">
        <w:tab/>
        <w:t>като взе предвид доклада на комисията по бюджетен контрол (A9-0133/2024),</w:t>
      </w:r>
    </w:p>
    <w:p w:rsidR="00B22C49" w:rsidRPr="00F35520" w:rsidRDefault="00B22C49" w:rsidP="00B22C49">
      <w:pPr>
        <w:pStyle w:val="NormalHanging12a"/>
      </w:pPr>
      <w:r w:rsidRPr="00F35520">
        <w:t>1.</w:t>
      </w:r>
      <w:r w:rsidRPr="00F35520">
        <w:tab/>
        <w:t>освобождава от отговорност изпълнителния директор на Европейската агенция по лекарствата във връзка с изпълнението на бюджета на Агенцията за финансовата 2022 година;</w:t>
      </w:r>
    </w:p>
    <w:p w:rsidR="00B22C49" w:rsidRPr="00F35520" w:rsidRDefault="00B22C49" w:rsidP="00B22C49">
      <w:pPr>
        <w:pStyle w:val="NormalHanging12a"/>
      </w:pPr>
      <w:r w:rsidRPr="00F35520">
        <w:t>2.</w:t>
      </w:r>
      <w:r w:rsidRPr="00F35520">
        <w:tab/>
        <w:t>представя своите забележки в резолюцията по-долу;</w:t>
      </w:r>
    </w:p>
    <w:p w:rsidR="00B22C49" w:rsidRPr="00F35520" w:rsidRDefault="00B22C49" w:rsidP="00B22C49">
      <w:pPr>
        <w:pStyle w:val="NormalHanging12a"/>
      </w:pPr>
      <w:r w:rsidRPr="00F35520">
        <w:t>3.</w:t>
      </w:r>
      <w:r w:rsidRPr="00F35520">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Европейската агенция по лекарствата, на Съвета, Комисията и Сметната палата и да осигури публикуването им в </w:t>
      </w:r>
      <w:r w:rsidRPr="00F35520">
        <w:rPr>
          <w:i/>
          <w:iCs/>
        </w:rPr>
        <w:t>Официален вестник на Европейския съюз</w:t>
      </w:r>
      <w:r w:rsidRPr="00F35520">
        <w:t xml:space="preserve"> (серия L).</w:t>
      </w:r>
    </w:p>
    <w:p w:rsidR="00B22C49" w:rsidRPr="00F35520" w:rsidRDefault="00B22C49" w:rsidP="00B22C49"/>
    <w:p w:rsidR="00B22C49" w:rsidRPr="00F35520" w:rsidRDefault="00B22C49" w:rsidP="00B22C49">
      <w:pPr>
        <w:widowControl/>
        <w:rPr>
          <w:rFonts w:ascii="Arial" w:hAnsi="Arial" w:cs="Arial"/>
          <w:b/>
        </w:rPr>
        <w:sectPr w:rsidR="00B22C49" w:rsidRPr="00F35520" w:rsidSect="00F35520">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B22C49" w:rsidRPr="00F35520" w:rsidRDefault="00B22C49" w:rsidP="00E57F04">
      <w:pPr>
        <w:pStyle w:val="ATHeading3"/>
      </w:pPr>
      <w:bookmarkStart w:id="8" w:name="_Toc146810493"/>
      <w:bookmarkStart w:id="9" w:name="_Toc161995073"/>
      <w:r w:rsidRPr="00F35520">
        <w:lastRenderedPageBreak/>
        <w:t xml:space="preserve">2. </w:t>
      </w:r>
      <w:bookmarkEnd w:id="8"/>
      <w:bookmarkEnd w:id="9"/>
      <w:r w:rsidR="00E57F04">
        <w:t xml:space="preserve">Решение на Европейския парламент от 11 април 2024 г. </w:t>
      </w:r>
      <w:r w:rsidRPr="00F35520">
        <w:t>относно приключването на сметките на Европейската агенция по лекарствата за финансовата 2022 година</w:t>
      </w:r>
      <w:r w:rsidR="00E57F04">
        <w:t xml:space="preserve"> (2023</w:t>
      </w:r>
      <w:r w:rsidRPr="00F35520">
        <w:t>/2156(DEC))</w:t>
      </w:r>
    </w:p>
    <w:p w:rsidR="00B22C49" w:rsidRPr="00F35520" w:rsidRDefault="00B22C49" w:rsidP="00B22C49">
      <w:pPr>
        <w:pStyle w:val="EPComma"/>
      </w:pPr>
      <w:r w:rsidRPr="00F35520">
        <w:rPr>
          <w:i/>
        </w:rPr>
        <w:t>Европейският парламент</w:t>
      </w:r>
      <w:r w:rsidRPr="00F35520">
        <w:t>,</w:t>
      </w:r>
    </w:p>
    <w:p w:rsidR="00B22C49" w:rsidRPr="00F35520" w:rsidRDefault="00B22C49" w:rsidP="00B22C49">
      <w:pPr>
        <w:pStyle w:val="NormalHanging12a"/>
      </w:pPr>
      <w:r w:rsidRPr="00F35520">
        <w:t>–</w:t>
      </w:r>
      <w:r w:rsidRPr="00F35520">
        <w:tab/>
        <w:t>като взе предвид окончателните годишни отчети на Европейската агенция по лекарствата за финансовата 2022 година,</w:t>
      </w:r>
    </w:p>
    <w:p w:rsidR="00B22C49" w:rsidRPr="00F35520" w:rsidRDefault="00B22C49" w:rsidP="00B22C49">
      <w:pPr>
        <w:pStyle w:val="NormalHanging12a"/>
      </w:pPr>
      <w:r w:rsidRPr="00F35520">
        <w:t>–</w:t>
      </w:r>
      <w:r w:rsidRPr="00F35520">
        <w:tab/>
        <w:t>като взе предвид годишния доклад на Сметната палата относно агенциите на ЕС за финансовата 2022 година, придружен от отговорите на агенциите</w:t>
      </w:r>
      <w:r w:rsidRPr="00F35520">
        <w:rPr>
          <w:rStyle w:val="FootnoteReference"/>
        </w:rPr>
        <w:footnoteReference w:id="6"/>
      </w:r>
      <w:r w:rsidRPr="00F35520">
        <w:t>,</w:t>
      </w:r>
    </w:p>
    <w:p w:rsidR="00B22C49" w:rsidRPr="00F35520" w:rsidRDefault="00B22C49" w:rsidP="00B22C49">
      <w:pPr>
        <w:pStyle w:val="NormalHanging12a"/>
      </w:pPr>
      <w:r w:rsidRPr="00F35520">
        <w:t>–</w:t>
      </w:r>
      <w:r w:rsidRPr="00F35520">
        <w:tab/>
        <w:t>като взе предвид декларацията за достоверност</w:t>
      </w:r>
      <w:r w:rsidRPr="00F35520">
        <w:rPr>
          <w:rStyle w:val="FootnoteReference"/>
        </w:rPr>
        <w:footnoteReference w:id="7"/>
      </w:r>
      <w:r w:rsidRPr="00F35520">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B22C49" w:rsidRPr="00F35520" w:rsidRDefault="00B22C49" w:rsidP="00B22C49">
      <w:pPr>
        <w:pStyle w:val="NormalHanging12a"/>
      </w:pPr>
      <w:r w:rsidRPr="00F35520">
        <w:t>–</w:t>
      </w:r>
      <w:r w:rsidRPr="00F35520">
        <w:tab/>
        <w:t>като взе предвид препоръката на Съвета от 22 февруари 2024 г. относно освобождаването от отговорност на Агенцията във връзка с изпълнението на бюджета за финансовата 2022 година (</w:t>
      </w:r>
      <w:r w:rsidR="006A281E" w:rsidRPr="006A281E">
        <w:t>06180</w:t>
      </w:r>
      <w:r w:rsidRPr="00F35520">
        <w:t>/2024 – C9</w:t>
      </w:r>
      <w:r w:rsidRPr="00F35520">
        <w:noBreakHyphen/>
      </w:r>
      <w:r w:rsidR="006A281E" w:rsidRPr="006A281E">
        <w:t>0094</w:t>
      </w:r>
      <w:r w:rsidRPr="00F35520">
        <w:t>/2024),</w:t>
      </w:r>
    </w:p>
    <w:p w:rsidR="00B22C49" w:rsidRPr="00F35520" w:rsidRDefault="00B22C49" w:rsidP="00B22C49">
      <w:pPr>
        <w:pStyle w:val="NormalHanging12a"/>
      </w:pPr>
      <w:r w:rsidRPr="00F35520">
        <w:t>–</w:t>
      </w:r>
      <w:r w:rsidRPr="00F35520">
        <w:tab/>
        <w:t>като взе предвид член 319 от Договора за функционирането на Европейския съюз,</w:t>
      </w:r>
    </w:p>
    <w:p w:rsidR="00B22C49" w:rsidRPr="00F35520" w:rsidRDefault="00B22C49" w:rsidP="00B22C49">
      <w:pPr>
        <w:pStyle w:val="NormalHanging12a"/>
      </w:pPr>
      <w:r w:rsidRPr="00F35520">
        <w:t>–</w:t>
      </w:r>
      <w:r w:rsidRPr="00F35520">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F35520">
        <w:rPr>
          <w:rStyle w:val="FootnoteReference"/>
        </w:rPr>
        <w:footnoteReference w:id="8"/>
      </w:r>
      <w:r w:rsidRPr="00F35520">
        <w:t>, и по-специално член 70 от него,</w:t>
      </w:r>
    </w:p>
    <w:p w:rsidR="00B22C49" w:rsidRPr="00F35520" w:rsidRDefault="00B22C49" w:rsidP="00B22C49">
      <w:pPr>
        <w:pStyle w:val="NormalHanging12a"/>
      </w:pPr>
      <w:r w:rsidRPr="00F35520">
        <w:t>–</w:t>
      </w:r>
      <w:r w:rsidRPr="00F35520">
        <w:tab/>
        <w:t>като взе предвид Регламент (ЕО) № 726/2004 на Европейския парламент и на Съвета от 31 март 2004 г. за установяване на процедури на Съюза за разрешаване и контрол на лекарствени продукти за хуманна употреба и за създаване на Европейска агенция по лекарствата</w:t>
      </w:r>
      <w:r w:rsidRPr="00F35520">
        <w:rPr>
          <w:rStyle w:val="FootnoteReference"/>
        </w:rPr>
        <w:footnoteReference w:id="9"/>
      </w:r>
      <w:r w:rsidRPr="00F35520">
        <w:t>, и по-специално член 68 от него,</w:t>
      </w:r>
    </w:p>
    <w:p w:rsidR="00B22C49" w:rsidRPr="00F35520" w:rsidRDefault="00B22C49" w:rsidP="00B22C49">
      <w:pPr>
        <w:pStyle w:val="NormalHanging12a"/>
      </w:pPr>
      <w:r w:rsidRPr="00F35520">
        <w:t>–</w:t>
      </w:r>
      <w:r w:rsidRPr="00F35520">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F35520">
        <w:rPr>
          <w:rStyle w:val="FootnoteReference"/>
        </w:rPr>
        <w:footnoteReference w:id="10"/>
      </w:r>
      <w:r w:rsidRPr="00F35520">
        <w:t>, и по-специално член 105 от него,</w:t>
      </w:r>
    </w:p>
    <w:p w:rsidR="00B22C49" w:rsidRPr="00F35520" w:rsidRDefault="00B22C49" w:rsidP="00B22C49">
      <w:pPr>
        <w:pStyle w:val="NormalHanging12a"/>
      </w:pPr>
      <w:r w:rsidRPr="00F35520">
        <w:t>–</w:t>
      </w:r>
      <w:r w:rsidRPr="00F35520">
        <w:tab/>
        <w:t>като взе предвид член 100 и приложение V към своя Правилник за дейността,</w:t>
      </w:r>
    </w:p>
    <w:p w:rsidR="00B22C49" w:rsidRPr="00F35520" w:rsidRDefault="00B22C49" w:rsidP="00B22C49">
      <w:pPr>
        <w:pStyle w:val="NormalHanging12a"/>
      </w:pPr>
      <w:r w:rsidRPr="00F35520">
        <w:t>–</w:t>
      </w:r>
      <w:r w:rsidRPr="00F35520">
        <w:tab/>
        <w:t>като взе предвид становището на комисията по околна среда, обществено здраве и безопасност на храните,</w:t>
      </w:r>
    </w:p>
    <w:p w:rsidR="00B22C49" w:rsidRPr="00F35520" w:rsidRDefault="00B22C49" w:rsidP="00B22C49">
      <w:pPr>
        <w:pStyle w:val="NormalHanging12a"/>
      </w:pPr>
      <w:r w:rsidRPr="00F35520">
        <w:lastRenderedPageBreak/>
        <w:t>–</w:t>
      </w:r>
      <w:r w:rsidRPr="00F35520">
        <w:tab/>
        <w:t>като взе предвид доклада на комисията по бюджетен контрол (A9-0133/2024),</w:t>
      </w:r>
    </w:p>
    <w:p w:rsidR="00B22C49" w:rsidRPr="00F35520" w:rsidRDefault="00B22C49" w:rsidP="00B22C49">
      <w:pPr>
        <w:pStyle w:val="NormalHanging12a"/>
      </w:pPr>
      <w:r w:rsidRPr="00F35520">
        <w:t>1.</w:t>
      </w:r>
      <w:r w:rsidRPr="00F35520">
        <w:tab/>
        <w:t>одобрява приключването на сметките на Европейската агенция по лекарствата за финансовата 2022 година;</w:t>
      </w:r>
    </w:p>
    <w:p w:rsidR="00B22C49" w:rsidRPr="00F35520" w:rsidRDefault="00B22C49" w:rsidP="00B22C49">
      <w:pPr>
        <w:pStyle w:val="NormalHanging12a"/>
      </w:pPr>
      <w:r w:rsidRPr="00F35520">
        <w:t>2.</w:t>
      </w:r>
      <w:r w:rsidRPr="00F35520">
        <w:tab/>
        <w:t xml:space="preserve">възлага на своя председател да предаде настоящото решение на изпълнителния директор на Европейската агенция по лекарствата, на Съвета, Комисията и Сметната палата и да осигури публикуването му в </w:t>
      </w:r>
      <w:r w:rsidRPr="00F35520">
        <w:rPr>
          <w:i/>
          <w:iCs/>
        </w:rPr>
        <w:t>Официален вестник на Европейския съюз</w:t>
      </w:r>
      <w:r w:rsidRPr="00F35520">
        <w:t xml:space="preserve"> (серия L).</w:t>
      </w:r>
    </w:p>
    <w:p w:rsidR="00B22C49" w:rsidRPr="00F35520" w:rsidRDefault="00B22C49" w:rsidP="00B22C49"/>
    <w:p w:rsidR="00B22C49" w:rsidRPr="00F35520" w:rsidRDefault="00B22C49" w:rsidP="00B22C49">
      <w:pPr>
        <w:widowControl/>
        <w:rPr>
          <w:rFonts w:ascii="Arial" w:hAnsi="Arial" w:cs="Arial"/>
          <w:b/>
        </w:rPr>
        <w:sectPr w:rsidR="00B22C49" w:rsidRPr="00F35520" w:rsidSect="00F35520">
          <w:footnotePr>
            <w:numRestart w:val="eachPage"/>
          </w:footnotePr>
          <w:endnotePr>
            <w:numFmt w:val="decimal"/>
          </w:endnotePr>
          <w:pgSz w:w="11906" w:h="16838"/>
          <w:pgMar w:top="1134" w:right="1418" w:bottom="1418" w:left="1418" w:header="567" w:footer="567" w:gutter="0"/>
          <w:cols w:space="720"/>
          <w:docGrid w:linePitch="326"/>
        </w:sectPr>
      </w:pPr>
    </w:p>
    <w:p w:rsidR="00B22C49" w:rsidRPr="00F35520" w:rsidRDefault="00B22C49" w:rsidP="00E57F04">
      <w:pPr>
        <w:pStyle w:val="ATHeading3"/>
      </w:pPr>
      <w:bookmarkStart w:id="10" w:name="_Toc146810494"/>
      <w:bookmarkStart w:id="11" w:name="_Toc161995074"/>
      <w:r w:rsidRPr="00F35520">
        <w:lastRenderedPageBreak/>
        <w:t xml:space="preserve">3. </w:t>
      </w:r>
      <w:bookmarkEnd w:id="10"/>
      <w:bookmarkEnd w:id="11"/>
      <w:r w:rsidR="00E57F04">
        <w:t>Резолюция на Европейския парламент от 11 април 2024 г., съдържаща</w:t>
      </w:r>
      <w:r w:rsidRPr="00F35520">
        <w:t xml:space="preserve"> забележките, които са неразделна част от решението за освобождаване от отговорност във връзка с изпълнението на бюджета на Европейската агенция по лекарствата за финансовата 2022 година</w:t>
      </w:r>
      <w:r w:rsidR="00E57F04">
        <w:t xml:space="preserve"> (2023</w:t>
      </w:r>
      <w:r w:rsidRPr="00F35520">
        <w:t>/2156(DEC))</w:t>
      </w:r>
    </w:p>
    <w:p w:rsidR="00B22C49" w:rsidRPr="00F35520" w:rsidRDefault="00B22C49" w:rsidP="00B22C49">
      <w:pPr>
        <w:pStyle w:val="EPComma"/>
      </w:pPr>
      <w:r w:rsidRPr="00F35520">
        <w:rPr>
          <w:i/>
        </w:rPr>
        <w:t>Европейският парламент</w:t>
      </w:r>
      <w:r w:rsidRPr="00F35520">
        <w:t>,</w:t>
      </w:r>
    </w:p>
    <w:p w:rsidR="00B22C49" w:rsidRPr="00F35520" w:rsidRDefault="00B22C49" w:rsidP="00B22C49">
      <w:pPr>
        <w:pStyle w:val="NormalHanging12a"/>
      </w:pPr>
      <w:r w:rsidRPr="00F35520">
        <w:t>–</w:t>
      </w:r>
      <w:r w:rsidRPr="00F35520">
        <w:tab/>
        <w:t>като взе предвид своето решение за освобождаване от отговорност във връзка с изпълнението на бюджета на Европейската агенция по лекарствата за финансовата 2022 година,</w:t>
      </w:r>
    </w:p>
    <w:p w:rsidR="00B22C49" w:rsidRPr="00F35520" w:rsidRDefault="00B22C49" w:rsidP="00B22C49">
      <w:pPr>
        <w:pStyle w:val="NormalHanging12a"/>
      </w:pPr>
      <w:r w:rsidRPr="00F35520">
        <w:t>–</w:t>
      </w:r>
      <w:r w:rsidRPr="00F35520">
        <w:tab/>
        <w:t>като взе предвид член 100 и приложение V към своя Правилник за дейността,</w:t>
      </w:r>
    </w:p>
    <w:p w:rsidR="00B22C49" w:rsidRPr="00F35520" w:rsidRDefault="00B22C49" w:rsidP="00B22C49">
      <w:pPr>
        <w:pStyle w:val="NormalHanging12a"/>
      </w:pPr>
      <w:r w:rsidRPr="00F35520">
        <w:t>–</w:t>
      </w:r>
      <w:r w:rsidRPr="00F35520">
        <w:tab/>
        <w:t>като взе предвид становището на комисията по околна среда, обществено здраве и безопасност на храните,</w:t>
      </w:r>
    </w:p>
    <w:p w:rsidR="00B22C49" w:rsidRPr="00F35520" w:rsidRDefault="00B22C49" w:rsidP="00B22C49">
      <w:pPr>
        <w:pStyle w:val="NormalHanging12a"/>
      </w:pPr>
      <w:r w:rsidRPr="00F35520">
        <w:t>–</w:t>
      </w:r>
      <w:r w:rsidRPr="00F35520">
        <w:tab/>
        <w:t>като взе предвид доклада на комисията по бюджетен контрол (A9-0133/2024),</w:t>
      </w:r>
    </w:p>
    <w:p w:rsidR="00B22C49" w:rsidRPr="00F35520" w:rsidRDefault="00B22C49" w:rsidP="00B22C49">
      <w:pPr>
        <w:pStyle w:val="Normal12Hanging"/>
        <w:widowControl/>
        <w:rPr>
          <w:szCs w:val="24"/>
        </w:rPr>
      </w:pPr>
      <w:r w:rsidRPr="00F35520">
        <w:t>А.</w:t>
      </w:r>
      <w:r w:rsidRPr="00F35520">
        <w:tab/>
        <w:t>като има предвид, че според отчета за приходите и разходите</w:t>
      </w:r>
      <w:r w:rsidRPr="00F35520">
        <w:rPr>
          <w:szCs w:val="24"/>
          <w:vertAlign w:val="superscript"/>
        </w:rPr>
        <w:footnoteReference w:id="11"/>
      </w:r>
      <w:r w:rsidRPr="00F35520">
        <w:t xml:space="preserve"> на Европейската агенция по лекарствата („Агенцията“) нейният окончателен бюджет за финансовата 2022 година възлиза на 421 815 000 EUR, което представлява увеличение с 11,23% спрямо 2021 г.; като има предвид, че Агенцията се финансира чрез такси, като приблизително 88% от нейните приходи за 2022 г. са от такси, получени от оценката на лекарства и други стопански дейности, и 12% са от бюджета на Съюза и от други приходи;</w:t>
      </w:r>
    </w:p>
    <w:p w:rsidR="00B22C49" w:rsidRPr="00F35520" w:rsidRDefault="00B22C49" w:rsidP="00B22C49">
      <w:pPr>
        <w:pStyle w:val="Normal12Hanging"/>
        <w:widowControl/>
        <w:rPr>
          <w:szCs w:val="24"/>
        </w:rPr>
      </w:pPr>
      <w:r w:rsidRPr="00F35520">
        <w:t>Б.</w:t>
      </w:r>
      <w:r w:rsidRPr="00F35520">
        <w:tab/>
        <w:t>като има предвид, че в своя доклад относно годишните отчети на Агенцията за финансовата 2022 година („доклада на Палатата“) Сметната палата („Палатата“) заявява, че е получила достатъчна увереност, че годишните отчети на Агенцията са надеждни и че свързаните с тях операции са законосъобразни и редовни;</w:t>
      </w:r>
    </w:p>
    <w:p w:rsidR="00B22C49" w:rsidRPr="00F35520" w:rsidRDefault="00B22C49" w:rsidP="00B22C49">
      <w:pPr>
        <w:pStyle w:val="Normal12Hanging"/>
        <w:rPr>
          <w:szCs w:val="24"/>
        </w:rPr>
      </w:pPr>
      <w:r w:rsidRPr="00F35520">
        <w:t>В.</w:t>
      </w:r>
      <w:r w:rsidRPr="00F35520">
        <w:tab/>
        <w:t>като има предвид, че за 2022 г. по отношение на сектора на обществените поръчки на Агенцията не са докладвани проблеми, изискващи предприемането на корективни действия, нито има текущи или неизпълнени корективни действия от одити и оценки от предходни години;</w:t>
      </w:r>
    </w:p>
    <w:p w:rsidR="00B22C49" w:rsidRPr="00F35520" w:rsidRDefault="00B22C49" w:rsidP="00B22C49">
      <w:pPr>
        <w:pStyle w:val="Normal12Hanging"/>
        <w:widowControl/>
        <w:rPr>
          <w:b/>
          <w:i/>
          <w:szCs w:val="24"/>
        </w:rPr>
      </w:pPr>
      <w:r w:rsidRPr="00F35520">
        <w:rPr>
          <w:b/>
          <w:i/>
        </w:rPr>
        <w:t>Бюджетно и финансово управление</w:t>
      </w:r>
    </w:p>
    <w:p w:rsidR="00B22C49" w:rsidRPr="00F35520" w:rsidRDefault="00B22C49" w:rsidP="00B22C49">
      <w:pPr>
        <w:pStyle w:val="Normal12Hanging"/>
        <w:widowControl/>
      </w:pPr>
      <w:r w:rsidRPr="00F35520">
        <w:t>1.</w:t>
      </w:r>
      <w:r w:rsidRPr="00F35520">
        <w:tab/>
        <w:t>отбелязва, че усилията за контрол на бюджета през финансовата 2022 година са довели до степен на изпълнение на бюджетните кредити за поети задължения за текущата година от 96,80%, което представлява намаление с 0,42% спрямо 2021 г.; изразява съжаление, че степента на изпълнение на бюджетните кредити за плащания за текущата година е 71,48%, което представлява намаление с 0,88% спрямо 2021 г.;</w:t>
      </w:r>
    </w:p>
    <w:p w:rsidR="00B22C49" w:rsidRPr="00F35520" w:rsidRDefault="00B22C49" w:rsidP="00B22C49">
      <w:pPr>
        <w:pStyle w:val="Normal12Hanging"/>
        <w:widowControl/>
      </w:pPr>
      <w:r w:rsidRPr="00F35520">
        <w:t>2.</w:t>
      </w:r>
      <w:r w:rsidRPr="00F35520">
        <w:tab/>
        <w:t xml:space="preserve">отбелязва, че за едно одитирано плащане в размер на 2 млн. евро Агенцията е разрешила съответното бюджетно задължение, едва след като правното задължение е било прието; припомня, че това представлява нарушение на член 73, </w:t>
      </w:r>
      <w:r w:rsidRPr="00F35520">
        <w:lastRenderedPageBreak/>
        <w:t>параграф 2 от финансовия регламент на Агенцията; призовава Агенцията да предприеме незабавни действия и да приложи мерки, за да гарантира, че всички финансови операции са в съответствие с финансовия регламент на Агенцията;</w:t>
      </w:r>
    </w:p>
    <w:p w:rsidR="00B22C49" w:rsidRPr="00F35520" w:rsidRDefault="00B22C49" w:rsidP="00B22C49">
      <w:pPr>
        <w:pStyle w:val="NormalHanging12a"/>
      </w:pPr>
      <w:r w:rsidRPr="00F35520">
        <w:t>3.</w:t>
      </w:r>
      <w:r w:rsidRPr="00F35520">
        <w:tab/>
        <w:t xml:space="preserve">припомня, че потенциалните задължения до 2039 г., произтичащи от наема на бившата офис сграда на Агенцията в Лондон, продължават да пораждат загриженост; отбелязва със загриженост, че към 31 декември 2022 г. общият изчислен размер на дължимия наем, свързаните с него такси за услуги и застраховката на собственика, които Агенцията трябва да плати до изтичането на договора за наем, възлиза на 366 млн. евро, което означава около 23 милиона евро годишно; отбелязва, че през юли 2019 г. Агенцията постигна споразумение със собственика на сградата и отдаде под наем предишната си сграда на </w:t>
      </w:r>
      <w:proofErr w:type="spellStart"/>
      <w:r w:rsidRPr="00F35520">
        <w:t>поднаемател</w:t>
      </w:r>
      <w:proofErr w:type="spellEnd"/>
      <w:r w:rsidRPr="00F35520">
        <w:t xml:space="preserve">, считано от юли 2019 г., при условия, които съответстват на условията на първоначалния наем; потвърждава, че срокът на договора за пренаемане продължава до изтичането на договора за наем на Агенцията през юни 2039 г. и че, тъй като Агенцията все още е страна по основния договор за наем, тя продължава да носи отговорност за цялата дължима сума съгласно договорните задължения, в случай че </w:t>
      </w:r>
      <w:proofErr w:type="spellStart"/>
      <w:r w:rsidRPr="00F35520">
        <w:t>поднаемателят</w:t>
      </w:r>
      <w:proofErr w:type="spellEnd"/>
      <w:r w:rsidRPr="00F35520">
        <w:t xml:space="preserve"> не може да изпълнява задълженията си; обръща внимание и на още един въпрос, посочен в отчетите на Агенцията, а именно несигурността, свързана с финансовите резултати на дружеството майка на </w:t>
      </w:r>
      <w:proofErr w:type="spellStart"/>
      <w:r w:rsidRPr="00F35520">
        <w:t>поднаемателя</w:t>
      </w:r>
      <w:proofErr w:type="spellEnd"/>
      <w:r w:rsidRPr="00F35520">
        <w:t xml:space="preserve">, в резултат на влошаване на кредитния му рейтинг и извършено неотдавна преструктуриране на дълга, което води до спиране на неговите плащания; отбелязва, че Агенцията и нейният управителен съвет изразяват загриженост от факта, че вместо да съсредоточи усилията си изцяло върху мисията си да защитава и насърчава общественото здраве, понастоящем Агенцията трябва да управлява и недвижима собственост в трета държава, което ще отклони човешките и финансовите ресурси на Агенцията от отговорностите ѝ в областта на общественото здравеопазване във връзка с гражданите на Съюза; знае, че на 11 януари 2024 г. комисията по бюджети на Парламента е провела размяна на мнения с Агенцията относно потенциалната промяна в договора на Агенцията за преотдаване под наем на бившата ѝ сграда в Лондон; настоява върху това, че трябва да се вземе политическо решение, за да се осигури дългосрочно решение по този въпрос; настоява, че докато се вземе дългосрочно решение, следва да се намери и приложи краткосрочна мярка за решаване и ограничаване на проблема, ако </w:t>
      </w:r>
      <w:proofErr w:type="spellStart"/>
      <w:r w:rsidRPr="00F35520">
        <w:t>поднаемателят</w:t>
      </w:r>
      <w:proofErr w:type="spellEnd"/>
      <w:r w:rsidRPr="00F35520">
        <w:t xml:space="preserve"> продължава да не плаща наема си;</w:t>
      </w:r>
    </w:p>
    <w:p w:rsidR="00B22C49" w:rsidRPr="00F35520" w:rsidRDefault="00B22C49" w:rsidP="00B22C49">
      <w:pPr>
        <w:pStyle w:val="Normal12Hanging"/>
        <w:widowControl/>
        <w:rPr>
          <w:b/>
          <w:i/>
          <w:szCs w:val="24"/>
        </w:rPr>
      </w:pPr>
      <w:r w:rsidRPr="00F35520">
        <w:rPr>
          <w:b/>
          <w:i/>
        </w:rPr>
        <w:t>Изпълнение</w:t>
      </w:r>
    </w:p>
    <w:p w:rsidR="00B22C49" w:rsidRPr="00F35520" w:rsidRDefault="00B22C49" w:rsidP="00B22C49">
      <w:pPr>
        <w:pStyle w:val="Normal12Hanging"/>
        <w:widowControl/>
        <w:rPr>
          <w:szCs w:val="24"/>
        </w:rPr>
      </w:pPr>
      <w:r w:rsidRPr="00F35520">
        <w:t>4.</w:t>
      </w:r>
      <w:r w:rsidRPr="00F35520">
        <w:tab/>
        <w:t xml:space="preserve">отбелязва, че през 2022 г. Агенцията е докладвала по 41 показателя за изпълнение, като степента на изпълнение е 92,60%; отбелязва, че през 2022 г. Агенцията е използвала позицията си на председател на Международното обединение на регулаторните органи по лекарствата, за да постигне напредък във връзка с работата по хармонизирането на международните регулаторни системи; отбелязва, че тя също така е осигурила прилагането на три основни законодателни </w:t>
      </w:r>
      <w:r w:rsidRPr="00F35520">
        <w:lastRenderedPageBreak/>
        <w:t>акта (Регламент (ЕС) № 536/2014</w:t>
      </w:r>
      <w:r w:rsidRPr="00F35520">
        <w:rPr>
          <w:rStyle w:val="FootnoteReference"/>
          <w:szCs w:val="24"/>
        </w:rPr>
        <w:footnoteReference w:id="12"/>
      </w:r>
      <w:r w:rsidRPr="00F35520">
        <w:t>, Регламент (ЕС) 2019/6</w:t>
      </w:r>
      <w:r w:rsidRPr="00F35520">
        <w:rPr>
          <w:rStyle w:val="FootnoteReference"/>
          <w:szCs w:val="24"/>
        </w:rPr>
        <w:footnoteReference w:id="13"/>
      </w:r>
      <w:r w:rsidRPr="00F35520">
        <w:t xml:space="preserve"> и разширения мандат в Регламент (ЕС) 2022/123</w:t>
      </w:r>
      <w:r w:rsidRPr="00F35520">
        <w:rPr>
          <w:rStyle w:val="FootnoteReference"/>
          <w:szCs w:val="24"/>
        </w:rPr>
        <w:footnoteReference w:id="14"/>
      </w:r>
      <w:r w:rsidRPr="00F35520">
        <w:t>) и е постигнала напредък в областта на управлението на данните;</w:t>
      </w:r>
    </w:p>
    <w:p w:rsidR="00B22C49" w:rsidRPr="00F35520" w:rsidRDefault="00B22C49" w:rsidP="00B22C49">
      <w:pPr>
        <w:pStyle w:val="Normal12Hanging"/>
        <w:widowControl/>
        <w:rPr>
          <w:szCs w:val="24"/>
        </w:rPr>
      </w:pPr>
      <w:r w:rsidRPr="00F35520">
        <w:t>5.</w:t>
      </w:r>
      <w:r w:rsidRPr="00F35520">
        <w:tab/>
        <w:t>приветства факта, че на 1 март 2022 г. мандатът на Агенцията беше удължен с влизането в сила на Регламент (ЕС) 2022/123, с който се засилва нейната роля в готовността за действия при кризи и управлението на кризи във връзка с лекарствени продукти и медицински изделия; отбелязва, че регламентът изискваше от Агенцията да създаде нови органи, като например ръководната група за недостига на лекарства и работната група за извънредните ситуации, а освен това Агенцията пое управлението на експертните групи за медицинските изделия, които бяха прехвърлени към Агенцията от Съвместния изследователски център на Комисията; отбелязва освен това, че съгласно Регламент (ЕС) 2022/123 Агенцията отговаря за проследяването на събития, които могат да доведат до криза, както и за докладването и координирането на реакцията на Съюза при недостига на критично важни лекарства, медицински изделия и инвитро диагностика по време на криза;</w:t>
      </w:r>
    </w:p>
    <w:p w:rsidR="00B22C49" w:rsidRPr="00F35520" w:rsidRDefault="00B22C49" w:rsidP="00B22C49">
      <w:pPr>
        <w:pStyle w:val="Normal12Hanging"/>
        <w:widowControl/>
        <w:rPr>
          <w:szCs w:val="24"/>
        </w:rPr>
      </w:pPr>
      <w:r w:rsidRPr="00F35520">
        <w:t>6.</w:t>
      </w:r>
      <w:r w:rsidRPr="00F35520">
        <w:tab/>
        <w:t>подчертава факта, че други ключови постижения през 2022 г. включват одобряването на две нови ваксини и две лечения за COVID-19, като работната група за извънредните ситуации препоръча временното използване на одобрената от САЩ ваксина „</w:t>
      </w:r>
      <w:proofErr w:type="spellStart"/>
      <w:r w:rsidRPr="00F35520">
        <w:t>Jynneos</w:t>
      </w:r>
      <w:proofErr w:type="spellEnd"/>
      <w:r w:rsidRPr="00F35520">
        <w:t xml:space="preserve"> </w:t>
      </w:r>
      <w:proofErr w:type="spellStart"/>
      <w:r w:rsidRPr="00F35520">
        <w:t>for</w:t>
      </w:r>
      <w:proofErr w:type="spellEnd"/>
      <w:r w:rsidRPr="00F35520">
        <w:t xml:space="preserve"> </w:t>
      </w:r>
      <w:proofErr w:type="spellStart"/>
      <w:r w:rsidRPr="00F35520">
        <w:t>Monkeypox</w:t>
      </w:r>
      <w:proofErr w:type="spellEnd"/>
      <w:r w:rsidRPr="00F35520">
        <w:t>“ срещу маймунската шарка, с цел подкрепа на усилията на националните органи от ЕС за ваксиниране на населението, наред с разширяването на употребата на „</w:t>
      </w:r>
      <w:proofErr w:type="spellStart"/>
      <w:r w:rsidRPr="00F35520">
        <w:t>Imvanex</w:t>
      </w:r>
      <w:proofErr w:type="spellEnd"/>
      <w:r w:rsidRPr="00F35520">
        <w:t>“ за защита също така и на възрастните хора от маймунска шарка; отбелязва, че освен това Агенцията си сътрудничи с Медицинския център на Университета „Еразъм“ в Ротердам за създаването на Координационния център на Мрежата за анализ на данни и събиране на реална информация (DARWIN EU®), който да подготви почвата за предложения Регламент за европейско пространство на здравни данни (ЕПЗД) и за свързване на центъра с услугите на ЕПЗД при регламентирането на лекарствата; отбелязва освен това, че за прилагането на рамката „</w:t>
      </w:r>
      <w:proofErr w:type="spellStart"/>
      <w:r w:rsidRPr="00F35520">
        <w:t>Scaled</w:t>
      </w:r>
      <w:proofErr w:type="spellEnd"/>
      <w:r w:rsidRPr="00F35520">
        <w:t xml:space="preserve"> </w:t>
      </w:r>
      <w:proofErr w:type="spellStart"/>
      <w:r w:rsidRPr="00F35520">
        <w:t>Agile</w:t>
      </w:r>
      <w:proofErr w:type="spellEnd"/>
      <w:r w:rsidRPr="00F35520">
        <w:t xml:space="preserve"> “ портфейлът от информационни технологии на Агенцията трябваше да бъде адаптиран към начина на работа на </w:t>
      </w:r>
      <w:proofErr w:type="spellStart"/>
      <w:r w:rsidRPr="00F35520">
        <w:t>Agile</w:t>
      </w:r>
      <w:proofErr w:type="spellEnd"/>
      <w:r w:rsidRPr="00F35520">
        <w:t xml:space="preserve"> и беше необходимо създаването на потоци от стойност, приведени в съответствие с основната мисия на Агенцията, както и задействането на продуктови екипи по тази рамка; призовава Агенцията да се поучи от този опит и в бъдеще да използва най-добрите практики, извлечени от него;</w:t>
      </w:r>
    </w:p>
    <w:p w:rsidR="00B22C49" w:rsidRPr="00F35520" w:rsidRDefault="00B22C49" w:rsidP="00B22C49">
      <w:pPr>
        <w:pStyle w:val="NormalHanging12a"/>
      </w:pPr>
      <w:r w:rsidRPr="00F35520">
        <w:t>7.</w:t>
      </w:r>
      <w:r w:rsidRPr="00F35520">
        <w:tab/>
        <w:t xml:space="preserve">отново посочва ключовата роля на Агенцията за защита на човешкото здраве и здравето на животните чрез извършване на оценка и контрол върху лекарствата, </w:t>
      </w:r>
      <w:r w:rsidRPr="00F35520">
        <w:lastRenderedPageBreak/>
        <w:t xml:space="preserve">предназначени за хуманна или ветеринарна употреба, както и за защита на общественото здраве чрез повишаване на осведомеността по някои ключови въпроси, включително </w:t>
      </w:r>
      <w:proofErr w:type="spellStart"/>
      <w:r w:rsidRPr="00F35520">
        <w:t>антимикробната</w:t>
      </w:r>
      <w:proofErr w:type="spellEnd"/>
      <w:r w:rsidRPr="00F35520">
        <w:t xml:space="preserve"> резистентност и превенцията на заразните болести чрез ваксинация;</w:t>
      </w:r>
    </w:p>
    <w:p w:rsidR="00B22C49" w:rsidRPr="00F35520" w:rsidRDefault="00B22C49" w:rsidP="00B22C49">
      <w:pPr>
        <w:pStyle w:val="NormalHanging12a"/>
      </w:pPr>
      <w:r w:rsidRPr="00F35520">
        <w:t>8.</w:t>
      </w:r>
      <w:r w:rsidRPr="00F35520">
        <w:tab/>
        <w:t>отбелязва обаче, че недостатъчните средства за Агенцията могат да подкопаят нейната способност да изпълнява своята мисия, и призовава Комисията и Съвета да осигурят подходящо финансиране от Съюза, за да се гарантира, че Агенцията разполага с достатъчно средства, за да осъществява всички свои дейности по широк спектър от регулаторни механизми, включително улесняване на разработването и достъпа до лекарства, подкрепа за научни изследвания и иновации и изпълнение на задълженията на Агенцията за извършване на мониторинг и незабавно смекчаване на потенциалния или реалния недостиг на лекарства от критично значение;</w:t>
      </w:r>
    </w:p>
    <w:p w:rsidR="00B22C49" w:rsidRPr="00F35520" w:rsidRDefault="00B22C49" w:rsidP="00B22C49">
      <w:pPr>
        <w:pStyle w:val="Normal12Hanging"/>
      </w:pPr>
      <w:r w:rsidRPr="00F35520">
        <w:t>9.</w:t>
      </w:r>
      <w:r w:rsidRPr="00F35520">
        <w:tab/>
        <w:t>признава, че 2022 г. все още се характеризира със значително равнище на дейности, свързани с COVID-19, с преминаване от дейности по предварително и първоначално разрешаване за употреба към дейности след разрешаване за употреба;</w:t>
      </w:r>
    </w:p>
    <w:p w:rsidR="00B22C49" w:rsidRPr="00F35520" w:rsidRDefault="00B22C49" w:rsidP="00B22C49">
      <w:pPr>
        <w:pStyle w:val="NormalHanging12a"/>
      </w:pPr>
      <w:r w:rsidRPr="00F35520">
        <w:t>10.</w:t>
      </w:r>
      <w:r w:rsidRPr="00F35520">
        <w:tab/>
        <w:t>приветства факта, че 52% от кандидатите, които са получили положително становище за техния лекарствен продукт, са получили от Агенцията научна консултация или съдействие при изготвянето на протоколите на етапа на разработване на техния продукт, като тази цифра нараства до 78% за кандидатите за лекарствени продукти с нови активни вещества; счита, че предоставянето на консултации на ранен етап може да рационализира значително процеса на одобрение и да доведе до разработването на безопасни и ефективни лекарствени продукти;</w:t>
      </w:r>
    </w:p>
    <w:p w:rsidR="00B22C49" w:rsidRPr="00F35520" w:rsidRDefault="00B22C49" w:rsidP="00B22C49">
      <w:pPr>
        <w:pStyle w:val="Normal12Hanging"/>
        <w:widowControl/>
        <w:rPr>
          <w:b/>
          <w:i/>
          <w:szCs w:val="24"/>
        </w:rPr>
      </w:pPr>
      <w:r w:rsidRPr="00F35520">
        <w:rPr>
          <w:b/>
          <w:i/>
        </w:rPr>
        <w:t>Ефикасност и успехи</w:t>
      </w:r>
    </w:p>
    <w:p w:rsidR="00B22C49" w:rsidRPr="00F35520" w:rsidRDefault="00B22C49" w:rsidP="00B22C49">
      <w:pPr>
        <w:pStyle w:val="Normal12Hanging"/>
        <w:widowControl/>
        <w:rPr>
          <w:szCs w:val="24"/>
        </w:rPr>
      </w:pPr>
      <w:r w:rsidRPr="00F35520">
        <w:t>11.</w:t>
      </w:r>
      <w:r w:rsidRPr="00F35520">
        <w:tab/>
        <w:t>е информиран, че през 2022 г. Агенцията е продължила да изпълнява своята стратегия за повишаване на ефективността, като е съсредоточила усилията си върху подобряването на процесите и цифровизацията;</w:t>
      </w:r>
    </w:p>
    <w:p w:rsidR="00B22C49" w:rsidRPr="00F35520" w:rsidRDefault="00B22C49" w:rsidP="00B22C49">
      <w:pPr>
        <w:pStyle w:val="Normal12Hanging"/>
        <w:widowControl/>
        <w:rPr>
          <w:szCs w:val="24"/>
        </w:rPr>
      </w:pPr>
      <w:r w:rsidRPr="00F35520">
        <w:t>12.</w:t>
      </w:r>
      <w:r w:rsidRPr="00F35520">
        <w:tab/>
        <w:t>отбелязва, че чрез работата на своята лаборатория за цифрови иновации (</w:t>
      </w:r>
      <w:proofErr w:type="spellStart"/>
      <w:r w:rsidRPr="00F35520">
        <w:t>DigiLab</w:t>
      </w:r>
      <w:proofErr w:type="spellEnd"/>
      <w:r w:rsidRPr="00F35520">
        <w:t xml:space="preserve">) Агенцията е проучила възможностите за автоматизация на административната работа; отбелязва, че </w:t>
      </w:r>
      <w:proofErr w:type="spellStart"/>
      <w:r w:rsidRPr="00F35520">
        <w:t>DigiLab</w:t>
      </w:r>
      <w:proofErr w:type="spellEnd"/>
      <w:r w:rsidRPr="00F35520">
        <w:t xml:space="preserve"> е стартирала 14 проекта за автоматизация, </w:t>
      </w:r>
      <w:proofErr w:type="spellStart"/>
      <w:r w:rsidRPr="00F35520">
        <w:t>приоритизирани</w:t>
      </w:r>
      <w:proofErr w:type="spellEnd"/>
      <w:r w:rsidRPr="00F35520">
        <w:t xml:space="preserve"> и одобрени от ръководния екип за цифрово ускоряване, заедно с Аналитичния център за високи постижения (ACE), включително автоматизация за категоризация на имейлите, изготвяне на списък с клинични гранични стойности и пилотна база данни на ЕС със списък на референтни дати, с цел по-ефективна поддръжка и публикуване на информация на уебсайта на Агенцията;  отбелязва, че лабораторията за цифрови иновации (</w:t>
      </w:r>
      <w:proofErr w:type="spellStart"/>
      <w:r w:rsidRPr="00F35520">
        <w:t>DigiLab</w:t>
      </w:r>
      <w:proofErr w:type="spellEnd"/>
      <w:r w:rsidRPr="00F35520">
        <w:t>) е работила и с ACE във връзка с пет потенциални пилотни решения за бизнес предизвикателства;</w:t>
      </w:r>
    </w:p>
    <w:p w:rsidR="00B22C49" w:rsidRPr="00F35520" w:rsidRDefault="00B22C49" w:rsidP="00B22C49">
      <w:pPr>
        <w:pStyle w:val="Normal12Hanging"/>
        <w:widowControl/>
        <w:rPr>
          <w:szCs w:val="24"/>
        </w:rPr>
      </w:pPr>
      <w:r w:rsidRPr="00F35520">
        <w:t>13.</w:t>
      </w:r>
      <w:r w:rsidRPr="00F35520">
        <w:tab/>
        <w:t xml:space="preserve">приветства факта, че като част от усилията си за цифровизация през 2022 г., Агенцията е приключила интегрирането на проверките за добра клинична практика и добра практика в областта на фармакологичната бдителност в своята информационна платформа IRIS, като е подобрила ефективността, прозрачността и съвместната работа в съответствие с програмата за цифрова трансформация на </w:t>
      </w:r>
      <w:r w:rsidRPr="00F35520">
        <w:lastRenderedPageBreak/>
        <w:t>Агенцията, чрез която тя упражнява контрол върху проверките на лекарствени продукти за хуманна и ветеринарна употреба по линия на централизираната процедура или процеса на насочване, по искане на Комитета по лекарствените продукти за хуманна употреба или на Комитета по ветеринарните лекарствени продукти; приканва институцията да идентифицира повече вътрешни процедури, които биха могли да бъдат рационализирани чрез цифровизация;</w:t>
      </w:r>
    </w:p>
    <w:p w:rsidR="00B22C49" w:rsidRPr="00F35520" w:rsidRDefault="00B22C49" w:rsidP="00B22C49">
      <w:pPr>
        <w:pStyle w:val="Normal12Hanging"/>
        <w:widowControl/>
        <w:rPr>
          <w:szCs w:val="24"/>
        </w:rPr>
      </w:pPr>
      <w:r w:rsidRPr="00F35520">
        <w:t>14.</w:t>
      </w:r>
      <w:r w:rsidRPr="00F35520">
        <w:tab/>
        <w:t xml:space="preserve">отбелязва, че като част от промените за подобряване на процеса, през 2022 г. Агенцията е работила по промени в метода </w:t>
      </w:r>
      <w:proofErr w:type="spellStart"/>
      <w:r w:rsidRPr="00F35520">
        <w:t>Agile</w:t>
      </w:r>
      <w:proofErr w:type="spellEnd"/>
      <w:r w:rsidRPr="00F35520">
        <w:t xml:space="preserve"> с цел осигуряване на по-голяма прозрачност, намалена административна тежест и по-ясна отчетност посредством нов модел на управление и нов начин на работа във връзка с управлението на информацията и информационните технологии;</w:t>
      </w:r>
    </w:p>
    <w:p w:rsidR="00B22C49" w:rsidRPr="00F35520" w:rsidRDefault="00B22C49" w:rsidP="00B22C49">
      <w:pPr>
        <w:pStyle w:val="Normal12Hanging"/>
        <w:widowControl/>
        <w:rPr>
          <w:szCs w:val="24"/>
        </w:rPr>
      </w:pPr>
      <w:r w:rsidRPr="00F35520">
        <w:t>15.</w:t>
      </w:r>
      <w:r w:rsidRPr="00F35520">
        <w:tab/>
        <w:t>посочва, че през 2022 г. Агенцията постепенно е възобновила работата с физическо присъствие на служителите в нейната сграда, като същевременно е поддържала гъвкави схеми на работа, позволяващи до 60% работа от разстояние месечно; отбелязва, че с временните правила за служебните пътувания се дава приоритет на виртуалното участие в конференции, срещи и обучения, като физическото присъствие се разглежда като добавена стратегическа стойност, и се прилага решение за съчетаване на виртуални и присъствени заседания на научните комитети и работните групи, с цел управление на капацитета на място и допринасяне за контрол на въглеродния отпечатък, което води до по-ниски емисии на въглероден двуокис в сравнение с годините отпреди пандемията, въпреки възобновяването на присъствените дейности;</w:t>
      </w:r>
    </w:p>
    <w:p w:rsidR="00B22C49" w:rsidRPr="00F35520" w:rsidRDefault="00B22C49" w:rsidP="00B22C49">
      <w:pPr>
        <w:pStyle w:val="NormalHanging12a"/>
      </w:pPr>
      <w:r w:rsidRPr="00F35520">
        <w:t>16.</w:t>
      </w:r>
      <w:r w:rsidRPr="00F35520">
        <w:tab/>
        <w:t xml:space="preserve">припомня, че е важно да се увеличи цифровизацията на Агенцията от гледна точка на вътрешното функциониране и управление, а също така и с цел ускоряване на цифровизацията на процедурите; подчертава необходимостта Агенцията да продължи да бъде проактивна в това отношение, за да се избегне цифрово разделение между агенциите; обръща внимание обаче, че трябва да се вземат всички необходими мерки за сигурност, за да се избегне всякакъв риск за онлайн сигурността на обработваната информация; настоява, че е необходимо да се засилят действията срещу </w:t>
      </w:r>
      <w:proofErr w:type="spellStart"/>
      <w:r w:rsidRPr="00F35520">
        <w:t>кибератаките</w:t>
      </w:r>
      <w:proofErr w:type="spellEnd"/>
      <w:r w:rsidRPr="00F35520">
        <w:t xml:space="preserve"> или опитите за проникване, и по-специално тези, които идват от Русия или Китай;</w:t>
      </w:r>
    </w:p>
    <w:p w:rsidR="00B22C49" w:rsidRPr="00F35520" w:rsidRDefault="00B22C49" w:rsidP="00B22C49">
      <w:pPr>
        <w:pStyle w:val="NormalHanging12a"/>
      </w:pPr>
      <w:r w:rsidRPr="00F35520">
        <w:t>17.</w:t>
      </w:r>
      <w:r w:rsidRPr="00F35520">
        <w:tab/>
        <w:t xml:space="preserve">отбелязва със задоволство, че Агенцията си сътрудничи с други агенции, по-специално с Европейския център за профилактика и контрол върху заболяванията и с Европейския орган за безопасност на храните, включително относно Европейския информационен портал за ваксиниране, с цел мониторинг на безопасността на ваксините и информиране за странични ефекти, както и във връзка с потреблението на </w:t>
      </w:r>
      <w:proofErr w:type="spellStart"/>
      <w:r w:rsidRPr="00F35520">
        <w:t>антимикробни</w:t>
      </w:r>
      <w:proofErr w:type="spellEnd"/>
      <w:r w:rsidRPr="00F35520">
        <w:t xml:space="preserve"> средства и </w:t>
      </w:r>
      <w:proofErr w:type="spellStart"/>
      <w:r w:rsidRPr="00F35520">
        <w:t>антимикробната</w:t>
      </w:r>
      <w:proofErr w:type="spellEnd"/>
      <w:r w:rsidRPr="00F35520">
        <w:t xml:space="preserve"> резистентност;</w:t>
      </w:r>
    </w:p>
    <w:p w:rsidR="00B22C49" w:rsidRPr="00F35520" w:rsidRDefault="00B22C49" w:rsidP="00B22C49">
      <w:pPr>
        <w:pStyle w:val="NormalHanging12a"/>
      </w:pPr>
      <w:r w:rsidRPr="00F35520">
        <w:t>18.</w:t>
      </w:r>
      <w:r w:rsidRPr="00F35520">
        <w:tab/>
        <w:t>приканва Агенцията да продължи да развива сътрудничеството си с други агенции на Съюза и международни организации и да насърчава диалога със заинтересованите страни и гражданите;</w:t>
      </w:r>
    </w:p>
    <w:p w:rsidR="00B22C49" w:rsidRPr="00F35520" w:rsidRDefault="00B22C49" w:rsidP="00B22C49">
      <w:pPr>
        <w:pStyle w:val="Normal12Hanging"/>
        <w:widowControl/>
        <w:rPr>
          <w:b/>
          <w:i/>
          <w:szCs w:val="24"/>
        </w:rPr>
      </w:pPr>
      <w:r w:rsidRPr="00F35520">
        <w:rPr>
          <w:b/>
          <w:i/>
        </w:rPr>
        <w:t>Политика относно персонала</w:t>
      </w:r>
    </w:p>
    <w:p w:rsidR="00B22C49" w:rsidRPr="00F35520" w:rsidRDefault="00B22C49" w:rsidP="00B22C49">
      <w:pPr>
        <w:pStyle w:val="Normal12Hanging"/>
        <w:widowControl/>
        <w:rPr>
          <w:szCs w:val="24"/>
        </w:rPr>
      </w:pPr>
      <w:r w:rsidRPr="00F35520">
        <w:t>19.</w:t>
      </w:r>
      <w:r w:rsidRPr="00F35520">
        <w:tab/>
        <w:t xml:space="preserve">отбелязва, че към 31 декември 2022 г. щатното разписание е било изпълнено на 99,39%, като са били назначени 658 срочно наети служители от общо 662-те </w:t>
      </w:r>
      <w:r w:rsidRPr="00F35520">
        <w:lastRenderedPageBreak/>
        <w:t>работни места за тази категория служители, разрешени съгласно бюджета на Съюза (спрямо 657 разрешени длъжности през 2021 г.); отбелязва, че освен това през 2022 г. за Агенцията са работили 192 договорно наети служители, 25 командировани национални експерти и 114 временни служители;</w:t>
      </w:r>
    </w:p>
    <w:p w:rsidR="00B22C49" w:rsidRPr="00F35520" w:rsidRDefault="00B22C49" w:rsidP="00B22C49">
      <w:pPr>
        <w:pStyle w:val="NormalHanging12a"/>
      </w:pPr>
      <w:r w:rsidRPr="00F35520">
        <w:t>20.</w:t>
      </w:r>
      <w:r w:rsidRPr="00F35520">
        <w:tab/>
        <w:t>изразява съжаление относно липсата на баланс между половете в управителния съвет на Агенцията, където 36 от общо 67 членове са мъже (54%), а при служителите жените са 568 (66%) от общо 865 служители; освен това изразява съжаление, че 17 от 27-те висши ръководни длъжности се заемат от мъже (63%); изразява категоричното си становище, че балансът между половете при членовете на висшето и средното ръководство на Агенцията и при служителите от администрацията трябва да бъде подобрен с по-бързи темпове;</w:t>
      </w:r>
    </w:p>
    <w:p w:rsidR="00B22C49" w:rsidRPr="00F35520" w:rsidRDefault="00B22C49" w:rsidP="00B22C49">
      <w:pPr>
        <w:pStyle w:val="NormalHanging12a"/>
      </w:pPr>
      <w:r w:rsidRPr="00F35520">
        <w:t>21.</w:t>
      </w:r>
      <w:r w:rsidRPr="00F35520">
        <w:tab/>
        <w:t>изразява загриженост относно географския баланс при висшето и средното ръководство на Агенцията, тъй като има само един ръководител от Централна и Източна Европа; настоява, че трябва да се направят подобрения; изисква от Агенцията да докладва за това на органа по освобождаване от отговорност;</w:t>
      </w:r>
    </w:p>
    <w:p w:rsidR="00B22C49" w:rsidRPr="00F35520" w:rsidRDefault="00B22C49" w:rsidP="00B22C49">
      <w:pPr>
        <w:pStyle w:val="NormalHanging12a"/>
      </w:pPr>
      <w:r w:rsidRPr="00F35520">
        <w:t>22.</w:t>
      </w:r>
      <w:r w:rsidRPr="00F35520">
        <w:tab/>
        <w:t>припомня колко е важно да се гарантира баланс между половете и в тази връзка признава, че Агенцията осъществява различни инициативи за преодоляване на неравнопоставеността между половете при висшите ръководни длъжности, включително програма за развитие на управлението, възможности за вътрешна мобилност и създаване на управленски общности за насърчаване и подкрепа на служителите от женски пол; отбелязва, че се създава мрежа от началници на отдели, служби и работни потоци, като броят на жените ръководители постепенно се увеличава; отбелязва освен това, че пенсионирането на мъже на важни ръководни длъжности осигурява възможност за назначаването на жени на тези позиции, наред със стратегията за изграждане на имидж на добър работодател, целенасочените кампании за набиране на служители, създаването на работна група за многообразието и приобщаването и приемането на Хартата за многообразието и приобщаването през март 2022 г.;</w:t>
      </w:r>
    </w:p>
    <w:p w:rsidR="00B22C49" w:rsidRPr="00F35520" w:rsidRDefault="00B22C49" w:rsidP="00B22C49">
      <w:pPr>
        <w:pStyle w:val="NormalHanging12a"/>
      </w:pPr>
      <w:r w:rsidRPr="00F35520">
        <w:t>23.</w:t>
      </w:r>
      <w:r w:rsidRPr="00F35520">
        <w:tab/>
        <w:t>отбелязва, че през 2022 г. декларираният извънреден труд от 72 463 часа е бил с 30% по-малко спрямо 102 912-те часа, отчетени през 2021 г.; отбелязва освен това, че през 2022 г. средният извънреден труд е бил 4,3%, в сравнение с отчетените през 2021 г. 6,3%, което е близо до средната стойност от 4,0%, регистрирана за периода 2016—2019 г.; подчертава значението на добрия баланс между професионалния и личния живот, гъвкавото работно време, дистанционната работа и правото на откъсване от работната среда за подобряване на благосъстоянието на служителите;</w:t>
      </w:r>
    </w:p>
    <w:p w:rsidR="00B22C49" w:rsidRPr="00F35520" w:rsidRDefault="00B22C49" w:rsidP="00B22C49">
      <w:pPr>
        <w:widowControl/>
        <w:spacing w:after="240"/>
        <w:ind w:left="567" w:hanging="567"/>
        <w:rPr>
          <w:szCs w:val="24"/>
        </w:rPr>
      </w:pPr>
      <w:r w:rsidRPr="00F35520">
        <w:t>24.</w:t>
      </w:r>
      <w:r w:rsidRPr="00F35520">
        <w:tab/>
        <w:t>приветства факта, че през 2022 г. Агенцията е провела всеобхватно проучване за благосъстоянието на служителите и че съответните препоръки са включени в стратегията на Агенцията за човешките ресурси за периода 2023—2025 г.;</w:t>
      </w:r>
    </w:p>
    <w:p w:rsidR="00B22C49" w:rsidRPr="00F35520" w:rsidRDefault="00B22C49" w:rsidP="00B22C49">
      <w:pPr>
        <w:pStyle w:val="NormalHanging12a"/>
      </w:pPr>
      <w:r w:rsidRPr="00F35520">
        <w:t>25.</w:t>
      </w:r>
      <w:r w:rsidRPr="00F35520">
        <w:tab/>
        <w:t>отбелязва, че Агенцията прилага политика за защита на личното достойнство и предотвратяване на психическия и сексуалния тормоз, и че Агенцията участва в междуведомствената работна група от доверени съветници; очаква с нетърпение да получи техния доклад и препоръки; отбелязва, че през 2022 г. не са докладвани случаи на тормоз, и насърчава Агенцията да продължи и да доразвие работата си с цел предотвратяване на подобни случаи в бъдеще;</w:t>
      </w:r>
    </w:p>
    <w:p w:rsidR="00B22C49" w:rsidRPr="00F35520" w:rsidRDefault="00B22C49" w:rsidP="00B22C49">
      <w:pPr>
        <w:pStyle w:val="NormalHanging12a"/>
        <w:rPr>
          <w:b/>
          <w:i/>
        </w:rPr>
      </w:pPr>
      <w:r w:rsidRPr="00F35520">
        <w:rPr>
          <w:b/>
          <w:i/>
        </w:rPr>
        <w:lastRenderedPageBreak/>
        <w:t>Предотвратяване и управление на конфликти на интереси и прозрачност</w:t>
      </w:r>
    </w:p>
    <w:p w:rsidR="00B22C49" w:rsidRPr="00F35520" w:rsidRDefault="00B22C49" w:rsidP="00B22C49">
      <w:pPr>
        <w:pStyle w:val="NormalHanging12a"/>
      </w:pPr>
      <w:r w:rsidRPr="00F35520">
        <w:t>26.</w:t>
      </w:r>
      <w:r w:rsidRPr="00F35520">
        <w:tab/>
        <w:t>отбелязва, че за да се запази безпристрастността и обективността в дейността на Агенцията, тя редовно коригира обхвата на политиките и процесите на изпълнение спрямо нововъзникващите рискове, произтичащи от новите дейности и/или взаимодействията с нови категории заинтересовани страни; отбелязва, че през 2022 г. в резултат на новите отговорности на Агенцията в областта на медицинските изделия и медицинските изделия за инвитро диагностика, както и нейните отговорности във връзка с разширения ѝ мандат, беше направен преглед на политиката за конкуриращи се интереси на членовете на управителния съвет, политиката за конкуриращи се интереси на експертите и правилата за прилагане във връзка с третирането на декларираните интереси на служителите и кандидатите преди тяхното назначаване;</w:t>
      </w:r>
    </w:p>
    <w:p w:rsidR="00B22C49" w:rsidRPr="00F35520" w:rsidRDefault="00B22C49" w:rsidP="00B22C49">
      <w:pPr>
        <w:pStyle w:val="NormalHanging12a"/>
      </w:pPr>
      <w:r w:rsidRPr="00F35520">
        <w:t>27.</w:t>
      </w:r>
      <w:r w:rsidRPr="00F35520">
        <w:tab/>
        <w:t>отбелязва, че Агенцията е въвела процедура за случаите на злоупотреба с доверие, която определя как Агенцията трябва да реагира в случай на неверни или непълни електронни декларации за интереси (e-</w:t>
      </w:r>
      <w:proofErr w:type="spellStart"/>
      <w:r w:rsidRPr="00F35520">
        <w:t>DoI</w:t>
      </w:r>
      <w:proofErr w:type="spellEnd"/>
      <w:r w:rsidRPr="00F35520">
        <w:t>) на експерти и членове на комисии, както и при разкриването на поверителна информация; отбелязва, че процедурата за случаите на злоупотреба с доверие беше преразгледана през декември 2022 г.; подчертава факта, че в преразгледаната процедура за случаите на злоупотреба с доверие се посочва, че тя се прилага и за другите органи, създадени в рамките на Агенцията, в контекста на разширения мандат (например, работната група за извънредните ситуации и двете ръководни групи за недостига на лекарства);</w:t>
      </w:r>
    </w:p>
    <w:p w:rsidR="00B22C49" w:rsidRPr="00F35520" w:rsidRDefault="00B22C49" w:rsidP="00B22C49">
      <w:pPr>
        <w:pStyle w:val="NormalHanging12a"/>
      </w:pPr>
      <w:r w:rsidRPr="00F35520">
        <w:t>28.</w:t>
      </w:r>
      <w:r w:rsidRPr="00F35520">
        <w:tab/>
        <w:t>отбелязва, че през 2022 г. спрямо експерти са били стартирани две процедури за случаи на злоупотреба с доверие; отбелязва, че един случай е засягал член на комисия, който не е оповестил хонорар за изнасянето на лекции, което е довело до преразглеждането на декларации и до тригодишно ограничение за съответното лице, а вторият случай засяга член на комисия, който е пропуснал да посочи наличието на интерес във връзка с близък член на семейството, което е довело до 9-месечно отстраняване на лицето от дейността на Агенцията;</w:t>
      </w:r>
    </w:p>
    <w:p w:rsidR="00B22C49" w:rsidRPr="00F35520" w:rsidRDefault="00B22C49" w:rsidP="00B22C49">
      <w:pPr>
        <w:pStyle w:val="NormalHanging12a"/>
      </w:pPr>
      <w:r w:rsidRPr="00F35520">
        <w:t>29.</w:t>
      </w:r>
      <w:r w:rsidRPr="00F35520">
        <w:tab/>
        <w:t>подчертава, че служителите, които са напускали Агенцията, са искали разрешение за упражняване на определени професии след напускането на работата, като през 2022 г. са били подадени 22 заявления за различни разрешения, включително ограничени и неограничени разрешения; отбелязва, че от декември 2020 г. Агенцията публикува на служебния си уебсайт решенията за напускане на ръководни кадри, което допринася в значителна степен за прозрачността при разглеждането на конкуриращи се интереси;</w:t>
      </w:r>
    </w:p>
    <w:p w:rsidR="00B22C49" w:rsidRPr="00F35520" w:rsidRDefault="00B22C49" w:rsidP="00B22C49">
      <w:pPr>
        <w:pStyle w:val="NormalHanging12a"/>
      </w:pPr>
      <w:r w:rsidRPr="00F35520">
        <w:t>30.</w:t>
      </w:r>
      <w:r w:rsidRPr="00F35520">
        <w:tab/>
        <w:t>отбелязва със задоволство, че докладът на Службата за вътрешен одит на Комисията, който беше публикуван през 2022 г. и беше насочен към въпроси, свързани с човешките ресурси, потвърди надеждността на въведената система поради добрата осведоменост на служителите за съществуващите рискове и зрелостта на вътрешния контрол при управлението на потенциалните конфликти на интереси;</w:t>
      </w:r>
    </w:p>
    <w:p w:rsidR="00B22C49" w:rsidRPr="00F35520" w:rsidRDefault="00B22C49" w:rsidP="00B22C49">
      <w:pPr>
        <w:pStyle w:val="NormalHanging12a"/>
      </w:pPr>
      <w:r w:rsidRPr="00F35520">
        <w:t>31.</w:t>
      </w:r>
      <w:r w:rsidRPr="00F35520">
        <w:tab/>
        <w:t xml:space="preserve">отбелязва, че в качеството си на технически и научен орган на Съюза, Агенцията не влиза във формални отношения, нито се среща с лобисти, но поддържа отношения и се среща със заинтересовани страни, в съответствие с официалните си правила за взаимодействие със заинтересованите страни; отбелязва освен това, </w:t>
      </w:r>
      <w:r w:rsidRPr="00F35520">
        <w:lastRenderedPageBreak/>
        <w:t>че срещите с външни заинтересовани страни са публични и подробностите за тях се публикуват на страницата за проявите, на уебсайта на Агенцията;</w:t>
      </w:r>
    </w:p>
    <w:p w:rsidR="00B22C49" w:rsidRPr="00F35520" w:rsidRDefault="00B22C49" w:rsidP="00B22C49">
      <w:pPr>
        <w:pStyle w:val="NormalHanging12a"/>
      </w:pPr>
      <w:r w:rsidRPr="00F35520">
        <w:t>32.</w:t>
      </w:r>
      <w:r w:rsidRPr="00F35520">
        <w:tab/>
        <w:t>признава видимостта, която Агенцията е постигнала; счита, че има възможност за постигане на още по-голяма видимост в медиите, в интернет и в социалните медии, за да може гражданите да се информират за нейната работа и за опасностите за нашата среда;</w:t>
      </w:r>
    </w:p>
    <w:p w:rsidR="00B22C49" w:rsidRPr="00F35520" w:rsidRDefault="00B22C49" w:rsidP="00B22C49">
      <w:pPr>
        <w:pStyle w:val="NormalHanging12a"/>
      </w:pPr>
      <w:r w:rsidRPr="00F35520">
        <w:t>33.</w:t>
      </w:r>
      <w:r w:rsidRPr="00F35520">
        <w:tab/>
        <w:t xml:space="preserve">отбелязва, че през 2022 г. Агенцията е получила 676 искания за достъп до документи, което е по-малко спрямо броя на исканията, получени през 2019 г. (783 искания) или през 2021 г. (710 искания), и е публикувала 216 666 страници, което е повече в сравнение със 165 943 страници през 2021 г., но е значително по-малко спрямо 318 013 страници през 2019 г.; отбелязва, че Агенцията прилага механизъм за чакане на ред при управлението на обработката на множество искания за достъп до документи, подадени от един и същ заявител, което представлява пречка за навременния достъп до документите, съхранявани от Агенцията, и което обезкуражава заявителите да подават нови искания; призовава Агенцията да предостави подробна информация относно броя на исканията за достъп до документи, които остават </w:t>
      </w:r>
      <w:proofErr w:type="spellStart"/>
      <w:r w:rsidRPr="00F35520">
        <w:t>неактивирани</w:t>
      </w:r>
      <w:proofErr w:type="spellEnd"/>
      <w:r w:rsidRPr="00F35520">
        <w:t xml:space="preserve"> в системата за чакане на ред, както и средното време на чакане в тази система преди активирането на заявките; призовава за започване на одит относно правилата на Агенцията за обработка на исканията за достъп до документи, механизма за чакане на ред, развитието във връзка със заявленията с течение на времето и последиците за заявителите;</w:t>
      </w:r>
    </w:p>
    <w:p w:rsidR="00B22C49" w:rsidRPr="00F35520" w:rsidRDefault="00B22C49" w:rsidP="00B22C49">
      <w:pPr>
        <w:pStyle w:val="NormalHanging12a"/>
      </w:pPr>
      <w:r w:rsidRPr="00F35520">
        <w:t>34.</w:t>
      </w:r>
      <w:r w:rsidRPr="00F35520">
        <w:tab/>
        <w:t>призовава Комисията да гарантира, че Агенцията получава подходящи ресурси за изпълнение на задачите, възложени на Агенцията чрез приемането на Регламент (ЕС) № 536/2014, и за избягване на недостига на персонал, който ще се отрази неблагоприятно на политиката на Агенцията за прозрачност, включително за своевременното публикуване на клинични данни, протоколите от заседанията и навременните отговори на исканията за достъп до документи;</w:t>
      </w:r>
    </w:p>
    <w:p w:rsidR="00B22C49" w:rsidRPr="00F35520" w:rsidRDefault="00B22C49" w:rsidP="00B22C49">
      <w:pPr>
        <w:pStyle w:val="Normal12Hanging"/>
        <w:widowControl/>
        <w:rPr>
          <w:szCs w:val="24"/>
          <w:u w:val="single"/>
        </w:rPr>
      </w:pPr>
      <w:r w:rsidRPr="00F35520">
        <w:rPr>
          <w:b/>
          <w:i/>
        </w:rPr>
        <w:t>Вътрешен контрол</w:t>
      </w:r>
    </w:p>
    <w:p w:rsidR="00B22C49" w:rsidRPr="00F35520" w:rsidRDefault="00B22C49" w:rsidP="00B22C49">
      <w:pPr>
        <w:pStyle w:val="Normal12Hanging"/>
        <w:widowControl/>
        <w:rPr>
          <w:szCs w:val="24"/>
        </w:rPr>
      </w:pPr>
      <w:r w:rsidRPr="00F35520">
        <w:t>35.</w:t>
      </w:r>
      <w:r w:rsidRPr="00F35520">
        <w:tab/>
        <w:t>отбелязва, че е изготвен въпросник за оценка на прилагането, функционирането и подобряването на 17-те принципа в рамките на вътрешния контрол; отбелязва, че ръководителите и служителите, отговарящи за конкретни принципи или елементи, са получили въпросника, и че са проведени интервюта за доизясняване на някои аспекти; отбелязва освен това, че общото заключение е, че системата за вътрешен контрол се счита за ефективна и ефикасна, нейните компоненти и принципи като цяло са налице и функционират достатъчно добре, а за някои принципи биха могли да се предоставят незначителни разяснения или допълнителна информация, като се предлагат корекции и подобрения;</w:t>
      </w:r>
    </w:p>
    <w:p w:rsidR="00B22C49" w:rsidRPr="00F35520" w:rsidRDefault="00B22C49" w:rsidP="00B22C49">
      <w:pPr>
        <w:pStyle w:val="Normal12Hanging"/>
        <w:widowControl/>
        <w:rPr>
          <w:szCs w:val="24"/>
        </w:rPr>
      </w:pPr>
      <w:r w:rsidRPr="00F35520">
        <w:t>36.</w:t>
      </w:r>
      <w:r w:rsidRPr="00F35520">
        <w:tab/>
        <w:t xml:space="preserve">обръща внимание на факта, че при преместването си през 2019 г. Агенцията е наела сграда в Амстердам, която е изцяло оборудвана и обзаведена по схемата за стимулиране на нидерландското правителство, дотирана с 15 млн. евро, включително осигурени мебели и оборудване за кетъринг; отбелязва, че Палатата е установила, че Агенцията не е идентифицирала ясно (например, чрез етикети с баркодове) част от тези активи, главно мебели; отбелязва също така, че четири инвентаризации, извършени от Агенцията след нейното преместване, са показвали многократни несъответствия (чийто размер с времето е намалял от </w:t>
      </w:r>
      <w:r w:rsidRPr="00F35520">
        <w:lastRenderedPageBreak/>
        <w:t>534 331 евро на 15 000 евро) между списъка на активите, дарени от нидерландското правителство, регистъра на активите на Агенцията и активите, открити в сградата; подчертава факта, че липсата на пълен и актуален инвентарен опис с точно местонахождение на материалните активи на Агенцията противоречи на член 87 от Финансовия регламент и оказва отрицателно отражение върху нейната способност да гарантира опазването на своите активи; приветства факта, че водена от намерението непрекъснато да подобрява работните си процеси, Агенцията ще публикува актуализирани вътрешни насоки за управлението на инвентаризацията на активите си, ще приеме основан на риска подход към етикетирането на мебелите и ще публикува текущ план за физически проверки с цел непрекъснато потвърждаване на точността на инвентаризацията;</w:t>
      </w:r>
    </w:p>
    <w:p w:rsidR="00B22C49" w:rsidRPr="00F35520" w:rsidRDefault="00B22C49" w:rsidP="00B22C49">
      <w:pPr>
        <w:pStyle w:val="Normal12Hanging"/>
        <w:widowControl/>
        <w:rPr>
          <w:szCs w:val="24"/>
        </w:rPr>
      </w:pPr>
      <w:r w:rsidRPr="00F35520">
        <w:t>37.</w:t>
      </w:r>
      <w:r w:rsidRPr="00F35520">
        <w:tab/>
        <w:t>отбелязва забележката от доклада на Палатата относно поемането от Агенцията на част от разходите на нейните служители във връзка с определени грижи за техните деца, като например предучилищни и извънучилищни грижи в Нидерландия; отбелязва, че по отношение на разходите за храна в училище Палатата е установила, че Агенцията не е в състояние да представи доказателства за извършени проверки, чрез които да се гарантира, че разходите за храна в училище не се поемат, което поставя под съмнение дали такива проверки са осъществявани систематично; отбелязва въз основа на отговора на Агенцията, че разходите за храна са изключени от училищните такси и че Агенцията ще представи документи за това, че разходите за храна в училище са изключени от изчисляваните такси;</w:t>
      </w:r>
    </w:p>
    <w:p w:rsidR="00B22C49" w:rsidRPr="00F35520" w:rsidRDefault="00B22C49" w:rsidP="00B22C49">
      <w:pPr>
        <w:pStyle w:val="Normal12Hanging"/>
        <w:widowControl/>
        <w:rPr>
          <w:szCs w:val="24"/>
        </w:rPr>
      </w:pPr>
      <w:r w:rsidRPr="00F35520">
        <w:t>38.</w:t>
      </w:r>
      <w:r w:rsidRPr="00F35520">
        <w:tab/>
        <w:t>отбелязва резултата от дейностите на структурата за вътрешен одит на Агенцията, като през 2022 г. са били отправени 6 критични и 19 много важни препоръки; призовава Агенцията да изпълни 14-те основни препоръки, в очакване на план за действие за извършване на подобрения, считано от 31 декември 2022 г., и да докладва на органа по освобождаване от отговорност за развитието нещата в това отношение;</w:t>
      </w:r>
    </w:p>
    <w:p w:rsidR="00B22C49" w:rsidRPr="00F35520" w:rsidRDefault="00B22C49" w:rsidP="00B22C49">
      <w:pPr>
        <w:pStyle w:val="Normal12Hanging"/>
        <w:widowControl/>
        <w:rPr>
          <w:szCs w:val="24"/>
        </w:rPr>
      </w:pPr>
      <w:r w:rsidRPr="00F35520">
        <w:rPr>
          <w:b/>
          <w:i/>
        </w:rPr>
        <w:t>Други коментари</w:t>
      </w:r>
    </w:p>
    <w:p w:rsidR="00B22C49" w:rsidRPr="00F35520" w:rsidRDefault="00B22C49" w:rsidP="00B22C49">
      <w:pPr>
        <w:pStyle w:val="NormalHanging12a"/>
        <w:widowControl/>
        <w:rPr>
          <w:szCs w:val="24"/>
        </w:rPr>
      </w:pPr>
      <w:r w:rsidRPr="00F35520">
        <w:t>39.</w:t>
      </w:r>
      <w:r w:rsidRPr="00F35520">
        <w:tab/>
        <w:t>приветства факта, че Агенцията е съгласувала своите дългосрочни цели в областта на климата с определената в Регламент (ЕС) 2021/1119</w:t>
      </w:r>
      <w:r w:rsidRPr="00F35520">
        <w:rPr>
          <w:rStyle w:val="FootnoteReference"/>
          <w:szCs w:val="24"/>
        </w:rPr>
        <w:footnoteReference w:id="15"/>
      </w:r>
      <w:r w:rsidRPr="00F35520">
        <w:t xml:space="preserve"> цел за нетно намаляване с 55% на емисиите на парникови газове до 2030 г. (спрямо нивата от 1990 г.) и за постигане на неутралност по отношение на климата до 2050 г.; отбелязва, че по отношение на потреблението на енергия и вода Агенцията е преобразувала тази цел за контекста на своята дейност, като е предвидила в периода от 2012 г. до 2021 г. потреблението да бъде намалено с 15% на квадратен метър офисно пространство; отбелязва, че при залагането на тази цел се взема предвид разрастването на Агенцията през този период, както и фактът, че след преместването на офиса ѝ от Лондон в Амстердам, тя се помещава в сграда, която е по-голяма, но с по-висока енергийна ефективност; отбелязва, че поставената цел е надхвърлена както по отношение на потреблението на енергия, така и по </w:t>
      </w:r>
      <w:r w:rsidRPr="00F35520">
        <w:lastRenderedPageBreak/>
        <w:t>отношение на потреблението на вода — Агенцията е постигнала намаление съответно от 45% и 63% на квадратен метър;</w:t>
      </w:r>
    </w:p>
    <w:p w:rsidR="00B22C49" w:rsidRPr="00F35520" w:rsidRDefault="00B22C49" w:rsidP="00B22C49">
      <w:pPr>
        <w:pStyle w:val="NormalHanging12a"/>
        <w:widowControl/>
        <w:rPr>
          <w:szCs w:val="24"/>
        </w:rPr>
      </w:pPr>
      <w:r w:rsidRPr="00F35520">
        <w:t>40.</w:t>
      </w:r>
      <w:r w:rsidRPr="00F35520">
        <w:tab/>
        <w:t>отбелязва, че Агенцията е в процес на подготовка за сертифициране по Схемата за управление по околна среда и одит (EMAS);</w:t>
      </w:r>
    </w:p>
    <w:p w:rsidR="00B22C49" w:rsidRPr="00F35520" w:rsidRDefault="00B22C49" w:rsidP="00B22C49">
      <w:pPr>
        <w:pStyle w:val="NormalHanging12a"/>
        <w:widowControl/>
        <w:rPr>
          <w:szCs w:val="24"/>
        </w:rPr>
      </w:pPr>
      <w:r w:rsidRPr="00F35520">
        <w:t>41.</w:t>
      </w:r>
      <w:r w:rsidRPr="00F35520">
        <w:tab/>
        <w:t>приветства факта, че през 2022 г. с цел повишаване на киберсигурността Агенцията е приела стратегия за информационната сигурност и свързания с нея план за изпълнение, като те са насочени към подобряване на съществуващите гаранции и процеси на сигурност, с цел защита на информационните активи на Агенцията, като същевременно се подкрепят новите бизнес и технологични предизвикателства; отбелязва, че през 2022 г. са били приложени и други важни мерки, включително изготвянето на програма за обучение, повишаване на осведомеността по въпросите на сигурността и създаването на Оперативния център за сигурност, който цели непрекъснато наблюдение и подобряване на положението на Агенцията във връзка със сигурността, като същевременно се предотвратяват, откриват и анализират инциденти с киберсигурността, и се предприемат съответни мерки за противодействие; отбелязва освен това, че Агенцията работи в тясно сътрудничество с екипа за незабавно реагиране при компютърни инциденти за институциите, органите и агенциите на ЕС и с Агенцията на Европейския съюз за киберсигурност, като включва много аспекти от областите на информационната сигурност и киберсигурността, в това число провеждане на дискусии и редовни актуализации на предстоящия регламент в областта на киберсигурността за институциите, агенциите и органите на ЕС;</w:t>
      </w:r>
    </w:p>
    <w:p w:rsidR="00B22C49" w:rsidRDefault="00B22C49" w:rsidP="00E57F04">
      <w:pPr>
        <w:pStyle w:val="NormalHanging12a"/>
        <w:widowControl/>
      </w:pPr>
      <w:r w:rsidRPr="00F35520">
        <w:t>42.</w:t>
      </w:r>
      <w:r w:rsidRPr="00F35520">
        <w:tab/>
        <w:t>приветства Агенцията за това, че е предоставила първоначални съвети на спонсорите относно управлението на процеса на клиничните изпитвания в контекста на проблемите, причинени от руското нашествие в Украйна;</w:t>
      </w:r>
    </w:p>
    <w:p w:rsidR="00E57F04" w:rsidRDefault="00E57F04" w:rsidP="00E57F04">
      <w:pPr>
        <w:pStyle w:val="NormalHanging12a"/>
        <w:widowControl/>
        <w:ind w:left="0" w:firstLine="0"/>
        <w:jc w:val="center"/>
      </w:pPr>
      <w:r>
        <w:t>°</w:t>
      </w:r>
    </w:p>
    <w:p w:rsidR="00E57F04" w:rsidRDefault="00E57F04" w:rsidP="00E57F04">
      <w:pPr>
        <w:pStyle w:val="NormalHanging12a"/>
        <w:widowControl/>
        <w:ind w:left="0" w:firstLine="0"/>
        <w:jc w:val="center"/>
      </w:pPr>
      <w:r>
        <w:t>°     °</w:t>
      </w:r>
    </w:p>
    <w:p w:rsidR="00B22C49" w:rsidRPr="00F35520" w:rsidRDefault="00B22C49" w:rsidP="00B22C49">
      <w:pPr>
        <w:pStyle w:val="NormalHanging12a"/>
        <w:widowControl/>
      </w:pPr>
      <w:r w:rsidRPr="00F35520">
        <w:t>43.</w:t>
      </w:r>
      <w:r w:rsidRPr="00F35520">
        <w:tab/>
        <w:t xml:space="preserve">по отношение на други забележки, придружаващи решението за освобождаване от отговорност, които имат хоризонтален характер, препраща към своята резолюция от </w:t>
      </w:r>
      <w:r w:rsidR="001C570A">
        <w:rPr>
          <w:lang w:val="en-GB"/>
        </w:rPr>
        <w:t>11</w:t>
      </w:r>
      <w:r w:rsidR="001C570A">
        <w:t xml:space="preserve"> април</w:t>
      </w:r>
      <w:r w:rsidR="001C570A" w:rsidRPr="00F35520">
        <w:t xml:space="preserve"> 2024 г.</w:t>
      </w:r>
      <w:r w:rsidRPr="00F35520">
        <w:rPr>
          <w:vertAlign w:val="superscript"/>
        </w:rPr>
        <w:footnoteReference w:id="16"/>
      </w:r>
      <w:r w:rsidRPr="00F35520">
        <w:t xml:space="preserve"> относно резултатите от дейността, финансовото управление и контрола на агенциите.</w:t>
      </w:r>
    </w:p>
    <w:p w:rsidR="00B22C49" w:rsidRPr="00F35520" w:rsidRDefault="00B22C49" w:rsidP="00B22C49"/>
    <w:sectPr w:rsidR="00B22C49" w:rsidRPr="00F35520" w:rsidSect="00F35520">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5862" w:rsidRPr="00F35520" w:rsidRDefault="003D5862">
      <w:r w:rsidRPr="00F35520">
        <w:separator/>
      </w:r>
    </w:p>
  </w:endnote>
  <w:endnote w:type="continuationSeparator" w:id="0">
    <w:p w:rsidR="003D5862" w:rsidRPr="00F35520" w:rsidRDefault="003D5862">
      <w:r w:rsidRPr="00F3552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C49" w:rsidRPr="00F35520" w:rsidRDefault="00B22C49" w:rsidP="00DD200B">
    <w:pPr>
      <w:pStyle w:val="EPFooter"/>
    </w:pPr>
    <w:r w:rsidRPr="00F35520">
      <w:t>PE</w:t>
    </w:r>
    <w:r w:rsidRPr="00F35520">
      <w:rPr>
        <w:rStyle w:val="HideTWBExt"/>
      </w:rPr>
      <w:t>&lt;</w:t>
    </w:r>
    <w:proofErr w:type="spellStart"/>
    <w:r w:rsidRPr="00F35520">
      <w:rPr>
        <w:rStyle w:val="HideTWBExt"/>
      </w:rPr>
      <w:t>NoPE</w:t>
    </w:r>
    <w:proofErr w:type="spellEnd"/>
    <w:r w:rsidRPr="00F35520">
      <w:rPr>
        <w:rStyle w:val="HideTWBExt"/>
      </w:rPr>
      <w:t>&gt;</w:t>
    </w:r>
    <w:r w:rsidRPr="00F35520">
      <w:t>753.524</w:t>
    </w:r>
    <w:r w:rsidRPr="00F35520">
      <w:rPr>
        <w:rStyle w:val="HideTWBExt"/>
      </w:rPr>
      <w:t>&lt;/</w:t>
    </w:r>
    <w:proofErr w:type="spellStart"/>
    <w:r w:rsidRPr="00F35520">
      <w:rPr>
        <w:rStyle w:val="HideTWBExt"/>
      </w:rPr>
      <w:t>NoPE</w:t>
    </w:r>
    <w:proofErr w:type="spellEnd"/>
    <w:r w:rsidRPr="00F35520">
      <w:rPr>
        <w:rStyle w:val="HideTWBExt"/>
      </w:rPr>
      <w:t>&gt;&lt;Version&gt;</w:t>
    </w:r>
    <w:r w:rsidRPr="00F35520">
      <w:t>v02-00</w:t>
    </w:r>
    <w:r w:rsidRPr="00F35520">
      <w:rPr>
        <w:rStyle w:val="HideTWBExt"/>
      </w:rPr>
      <w:t>&lt;/</w:t>
    </w:r>
    <w:proofErr w:type="spellStart"/>
    <w:r w:rsidRPr="00F35520">
      <w:rPr>
        <w:rStyle w:val="HideTWBExt"/>
      </w:rPr>
      <w:t>Version</w:t>
    </w:r>
    <w:proofErr w:type="spellEnd"/>
    <w:r w:rsidRPr="00F35520">
      <w:rPr>
        <w:rStyle w:val="HideTWBExt"/>
      </w:rPr>
      <w:t>&gt;</w:t>
    </w:r>
    <w:r w:rsidRPr="00F35520">
      <w:tab/>
    </w:r>
    <w:r w:rsidRPr="00F35520">
      <w:fldChar w:fldCharType="begin"/>
    </w:r>
    <w:r w:rsidRPr="00F35520">
      <w:instrText xml:space="preserve"> PAGE  \* MERGEFORMAT </w:instrText>
    </w:r>
    <w:r w:rsidRPr="00F35520">
      <w:fldChar w:fldCharType="separate"/>
    </w:r>
    <w:r w:rsidR="00F35520" w:rsidRPr="00F35520">
      <w:rPr>
        <w:noProof/>
      </w:rPr>
      <w:t>2</w:t>
    </w:r>
    <w:r w:rsidRPr="00F35520">
      <w:fldChar w:fldCharType="end"/>
    </w:r>
    <w:r w:rsidRPr="00F35520">
      <w:t>/</w:t>
    </w:r>
    <w:r w:rsidR="007A7020">
      <w:fldChar w:fldCharType="begin"/>
    </w:r>
    <w:r w:rsidR="007A7020">
      <w:instrText xml:space="preserve"> NUMPAGES  \* MERGEFORMAT</w:instrText>
    </w:r>
    <w:r w:rsidR="007A7020">
      <w:instrText xml:space="preserve"> </w:instrText>
    </w:r>
    <w:r w:rsidR="007A7020">
      <w:fldChar w:fldCharType="separate"/>
    </w:r>
    <w:r w:rsidR="00F35520" w:rsidRPr="00F35520">
      <w:rPr>
        <w:noProof/>
      </w:rPr>
      <w:t>4</w:t>
    </w:r>
    <w:r w:rsidR="007A7020">
      <w:rPr>
        <w:noProof/>
      </w:rPr>
      <w:fldChar w:fldCharType="end"/>
    </w:r>
    <w:r w:rsidRPr="00F35520">
      <w:tab/>
    </w:r>
    <w:r w:rsidRPr="00F35520">
      <w:rPr>
        <w:rStyle w:val="HideTWBExt"/>
      </w:rPr>
      <w:t>&lt;PathFdR&gt;</w:t>
    </w:r>
    <w:r w:rsidRPr="00F35520">
      <w:t>RR\1299241BG.docx</w:t>
    </w:r>
    <w:r w:rsidRPr="00F35520">
      <w:rPr>
        <w:rStyle w:val="HideTWBExt"/>
      </w:rPr>
      <w:t>&lt;/</w:t>
    </w:r>
    <w:proofErr w:type="spellStart"/>
    <w:r w:rsidRPr="00F35520">
      <w:rPr>
        <w:rStyle w:val="HideTWBExt"/>
      </w:rPr>
      <w:t>PathFdR</w:t>
    </w:r>
    <w:proofErr w:type="spellEnd"/>
    <w:r w:rsidRPr="00F35520">
      <w:rPr>
        <w:rStyle w:val="HideTWBExt"/>
      </w:rPr>
      <w:t>&gt;</w:t>
    </w:r>
  </w:p>
  <w:p w:rsidR="00B22C49" w:rsidRPr="00F35520" w:rsidRDefault="00B22C49" w:rsidP="00DD200B">
    <w:pPr>
      <w:pStyle w:val="EPFooter2"/>
    </w:pPr>
    <w:r w:rsidRPr="00F35520">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C49" w:rsidRPr="00F35520" w:rsidRDefault="00B22C49" w:rsidP="00DD200B">
    <w:pPr>
      <w:pStyle w:val="EPFooter"/>
    </w:pPr>
    <w:r w:rsidRPr="00F35520">
      <w:rPr>
        <w:rStyle w:val="HideTWBExt"/>
      </w:rPr>
      <w:t>&lt;PathFdR&gt;</w:t>
    </w:r>
    <w:r w:rsidRPr="00F35520">
      <w:t>RR\1299241BG.docx</w:t>
    </w:r>
    <w:r w:rsidRPr="00F35520">
      <w:rPr>
        <w:rStyle w:val="HideTWBExt"/>
      </w:rPr>
      <w:t>&lt;/</w:t>
    </w:r>
    <w:proofErr w:type="spellStart"/>
    <w:r w:rsidRPr="00F35520">
      <w:rPr>
        <w:rStyle w:val="HideTWBExt"/>
      </w:rPr>
      <w:t>PathFdR</w:t>
    </w:r>
    <w:proofErr w:type="spellEnd"/>
    <w:r w:rsidRPr="00F35520">
      <w:rPr>
        <w:rStyle w:val="HideTWBExt"/>
      </w:rPr>
      <w:t>&gt;</w:t>
    </w:r>
    <w:r w:rsidRPr="00F35520">
      <w:tab/>
    </w:r>
    <w:r w:rsidRPr="00F35520">
      <w:tab/>
      <w:t>PE</w:t>
    </w:r>
    <w:r w:rsidRPr="00F35520">
      <w:rPr>
        <w:rStyle w:val="HideTWBExt"/>
      </w:rPr>
      <w:t>&lt;</w:t>
    </w:r>
    <w:proofErr w:type="spellStart"/>
    <w:r w:rsidRPr="00F35520">
      <w:rPr>
        <w:rStyle w:val="HideTWBExt"/>
      </w:rPr>
      <w:t>NoPE</w:t>
    </w:r>
    <w:proofErr w:type="spellEnd"/>
    <w:r w:rsidRPr="00F35520">
      <w:rPr>
        <w:rStyle w:val="HideTWBExt"/>
      </w:rPr>
      <w:t>&gt;</w:t>
    </w:r>
    <w:r w:rsidRPr="00F35520">
      <w:t>753.524</w:t>
    </w:r>
    <w:r w:rsidRPr="00F35520">
      <w:rPr>
        <w:rStyle w:val="HideTWBExt"/>
      </w:rPr>
      <w:t>&lt;/</w:t>
    </w:r>
    <w:proofErr w:type="spellStart"/>
    <w:r w:rsidRPr="00F35520">
      <w:rPr>
        <w:rStyle w:val="HideTWBExt"/>
      </w:rPr>
      <w:t>NoPE</w:t>
    </w:r>
    <w:proofErr w:type="spellEnd"/>
    <w:r w:rsidRPr="00F35520">
      <w:rPr>
        <w:rStyle w:val="HideTWBExt"/>
      </w:rPr>
      <w:t>&gt;&lt;Version&gt;</w:t>
    </w:r>
    <w:r w:rsidRPr="00F35520">
      <w:t>v02-00</w:t>
    </w:r>
    <w:r w:rsidRPr="00F35520">
      <w:rPr>
        <w:rStyle w:val="HideTWBExt"/>
      </w:rPr>
      <w:t>&lt;/</w:t>
    </w:r>
    <w:proofErr w:type="spellStart"/>
    <w:r w:rsidRPr="00F35520">
      <w:rPr>
        <w:rStyle w:val="HideTWBExt"/>
      </w:rPr>
      <w:t>Version</w:t>
    </w:r>
    <w:proofErr w:type="spellEnd"/>
    <w:r w:rsidRPr="00F35520">
      <w:rPr>
        <w:rStyle w:val="HideTWBExt"/>
      </w:rPr>
      <w:t>&gt;</w:t>
    </w:r>
  </w:p>
  <w:p w:rsidR="00B22C49" w:rsidRPr="00F35520" w:rsidRDefault="00B22C49" w:rsidP="00DD200B">
    <w:pPr>
      <w:pStyle w:val="EPFooter2"/>
    </w:pPr>
    <w:r w:rsidRPr="00F35520">
      <w:t>BG</w:t>
    </w:r>
    <w:r w:rsidRPr="00F35520">
      <w:tab/>
    </w:r>
    <w:r w:rsidRPr="00F35520">
      <w:rPr>
        <w:b w:val="0"/>
        <w:i/>
        <w:color w:val="C0C0C0"/>
        <w:sz w:val="22"/>
      </w:rPr>
      <w:t>Единство в многообразието</w:t>
    </w:r>
    <w:r w:rsidRPr="00F35520">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5520"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5520"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552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5862" w:rsidRPr="00F35520" w:rsidRDefault="003D5862">
      <w:r w:rsidRPr="00F35520">
        <w:separator/>
      </w:r>
    </w:p>
  </w:footnote>
  <w:footnote w:type="continuationSeparator" w:id="0">
    <w:p w:rsidR="003D5862" w:rsidRPr="00F35520" w:rsidRDefault="003D5862">
      <w:r w:rsidRPr="00F35520">
        <w:continuationSeparator/>
      </w:r>
    </w:p>
  </w:footnote>
  <w:footnote w:id="1">
    <w:p w:rsidR="00B22C49" w:rsidRPr="00F35520" w:rsidRDefault="00B22C49" w:rsidP="00F35520">
      <w:pPr>
        <w:pStyle w:val="FootnoteText"/>
        <w:ind w:left="567" w:hanging="567"/>
        <w:rPr>
          <w:sz w:val="24"/>
          <w:lang w:val="bg-BG"/>
        </w:rPr>
      </w:pPr>
      <w:r w:rsidRPr="00F35520">
        <w:rPr>
          <w:rStyle w:val="FootnoteReference"/>
          <w:sz w:val="24"/>
          <w:lang w:val="bg-BG"/>
        </w:rPr>
        <w:footnoteRef/>
      </w:r>
      <w:r w:rsidR="00F35520" w:rsidRPr="00F35520">
        <w:rPr>
          <w:sz w:val="24"/>
          <w:lang w:val="bg-BG"/>
        </w:rPr>
        <w:t xml:space="preserve"> </w:t>
      </w:r>
      <w:r w:rsidR="00F35520" w:rsidRPr="00F35520">
        <w:rPr>
          <w:sz w:val="24"/>
          <w:lang w:val="bg-BG"/>
        </w:rPr>
        <w:tab/>
      </w:r>
      <w:r w:rsidRPr="00F35520">
        <w:rPr>
          <w:sz w:val="24"/>
          <w:lang w:val="bg-BG"/>
        </w:rPr>
        <w:t>ОВ C, C/2023/594, 27.10.2023 г.</w:t>
      </w:r>
    </w:p>
  </w:footnote>
  <w:footnote w:id="2">
    <w:p w:rsidR="00B22C49" w:rsidRPr="00F35520" w:rsidRDefault="00B22C49" w:rsidP="00F35520">
      <w:pPr>
        <w:pStyle w:val="FootnoteText"/>
        <w:ind w:left="567" w:hanging="567"/>
        <w:rPr>
          <w:sz w:val="24"/>
          <w:lang w:val="bg-BG"/>
        </w:rPr>
      </w:pPr>
      <w:r w:rsidRPr="00F35520">
        <w:rPr>
          <w:rStyle w:val="FootnoteReference"/>
          <w:sz w:val="24"/>
          <w:lang w:val="bg-BG"/>
        </w:rPr>
        <w:footnoteRef/>
      </w:r>
      <w:r w:rsidR="00F35520" w:rsidRPr="00F35520">
        <w:rPr>
          <w:sz w:val="24"/>
          <w:lang w:val="bg-BG"/>
        </w:rPr>
        <w:t xml:space="preserve"> </w:t>
      </w:r>
      <w:r w:rsidR="00F35520" w:rsidRPr="00F35520">
        <w:rPr>
          <w:sz w:val="24"/>
          <w:lang w:val="bg-BG"/>
        </w:rPr>
        <w:tab/>
      </w:r>
      <w:r w:rsidRPr="00F35520">
        <w:rPr>
          <w:sz w:val="24"/>
          <w:lang w:val="bg-BG"/>
        </w:rPr>
        <w:t>ОВ C, C/2023/112, 12.10.2023 г.</w:t>
      </w:r>
    </w:p>
  </w:footnote>
  <w:footnote w:id="3">
    <w:p w:rsidR="00B22C49" w:rsidRPr="00F35520" w:rsidRDefault="00B22C49" w:rsidP="00F35520">
      <w:pPr>
        <w:pStyle w:val="FootnoteText"/>
        <w:ind w:left="567" w:hanging="567"/>
        <w:rPr>
          <w:sz w:val="24"/>
          <w:lang w:val="bg-BG"/>
        </w:rPr>
      </w:pPr>
      <w:r w:rsidRPr="00F35520">
        <w:rPr>
          <w:rStyle w:val="FootnoteReference"/>
          <w:sz w:val="24"/>
          <w:lang w:val="bg-BG"/>
        </w:rPr>
        <w:footnoteRef/>
      </w:r>
      <w:r w:rsidR="00F35520" w:rsidRPr="00F35520">
        <w:rPr>
          <w:sz w:val="24"/>
          <w:lang w:val="bg-BG"/>
        </w:rPr>
        <w:t xml:space="preserve"> </w:t>
      </w:r>
      <w:r w:rsidR="00F35520" w:rsidRPr="00F35520">
        <w:rPr>
          <w:sz w:val="24"/>
          <w:lang w:val="bg-BG"/>
        </w:rPr>
        <w:tab/>
      </w:r>
      <w:r w:rsidRPr="00F35520">
        <w:rPr>
          <w:sz w:val="24"/>
          <w:lang w:val="bg-BG"/>
        </w:rPr>
        <w:t>OВ L 193, 30.7.2018 г., стр. 1.</w:t>
      </w:r>
    </w:p>
  </w:footnote>
  <w:footnote w:id="4">
    <w:p w:rsidR="00B22C49" w:rsidRPr="00F35520" w:rsidRDefault="00B22C49" w:rsidP="00F35520">
      <w:pPr>
        <w:pStyle w:val="FootnoteText"/>
        <w:ind w:left="567" w:hanging="567"/>
        <w:rPr>
          <w:sz w:val="24"/>
          <w:lang w:val="bg-BG"/>
        </w:rPr>
      </w:pPr>
      <w:r w:rsidRPr="00F35520">
        <w:rPr>
          <w:rStyle w:val="FootnoteReference"/>
          <w:sz w:val="24"/>
          <w:lang w:val="bg-BG"/>
        </w:rPr>
        <w:footnoteRef/>
      </w:r>
      <w:r w:rsidR="00F35520" w:rsidRPr="00F35520">
        <w:rPr>
          <w:sz w:val="24"/>
          <w:lang w:val="bg-BG"/>
        </w:rPr>
        <w:t xml:space="preserve"> </w:t>
      </w:r>
      <w:r w:rsidR="00F35520" w:rsidRPr="00F35520">
        <w:rPr>
          <w:sz w:val="24"/>
          <w:lang w:val="bg-BG"/>
        </w:rPr>
        <w:tab/>
      </w:r>
      <w:r w:rsidRPr="00F35520">
        <w:rPr>
          <w:sz w:val="24"/>
          <w:lang w:val="bg-BG"/>
        </w:rPr>
        <w:t>OВ L 136, 30.4.2004 г., стр. 1.</w:t>
      </w:r>
    </w:p>
  </w:footnote>
  <w:footnote w:id="5">
    <w:p w:rsidR="00B22C49" w:rsidRPr="00F35520" w:rsidRDefault="00B22C49" w:rsidP="00F35520">
      <w:pPr>
        <w:pStyle w:val="FootnoteText"/>
        <w:ind w:left="567" w:hanging="567"/>
        <w:rPr>
          <w:sz w:val="24"/>
          <w:szCs w:val="24"/>
          <w:lang w:val="bg-BG"/>
        </w:rPr>
      </w:pPr>
      <w:r w:rsidRPr="00F35520">
        <w:rPr>
          <w:rStyle w:val="FootnoteReference"/>
          <w:sz w:val="24"/>
          <w:lang w:val="bg-BG"/>
        </w:rPr>
        <w:footnoteRef/>
      </w:r>
      <w:r w:rsidR="00F35520" w:rsidRPr="00F35520">
        <w:rPr>
          <w:sz w:val="24"/>
          <w:lang w:val="bg-BG"/>
        </w:rPr>
        <w:t xml:space="preserve"> </w:t>
      </w:r>
      <w:r w:rsidR="00F35520" w:rsidRPr="00F35520">
        <w:rPr>
          <w:sz w:val="24"/>
          <w:lang w:val="bg-BG"/>
        </w:rPr>
        <w:tab/>
      </w:r>
      <w:r w:rsidRPr="00F35520">
        <w:rPr>
          <w:sz w:val="24"/>
          <w:lang w:val="bg-BG"/>
        </w:rPr>
        <w:t>ОВ L 122, 10.5.2019 г., стр. 1.</w:t>
      </w:r>
    </w:p>
  </w:footnote>
  <w:footnote w:id="6">
    <w:p w:rsidR="00B22C49" w:rsidRPr="00F35520" w:rsidRDefault="00B22C49" w:rsidP="00F35520">
      <w:pPr>
        <w:pStyle w:val="FootnoteText"/>
        <w:ind w:left="567" w:hanging="567"/>
        <w:rPr>
          <w:sz w:val="24"/>
          <w:lang w:val="bg-BG"/>
        </w:rPr>
      </w:pPr>
      <w:r w:rsidRPr="00F35520">
        <w:rPr>
          <w:rStyle w:val="FootnoteReference"/>
          <w:sz w:val="24"/>
          <w:lang w:val="bg-BG"/>
        </w:rPr>
        <w:footnoteRef/>
      </w:r>
      <w:r w:rsidR="00F35520" w:rsidRPr="00F35520">
        <w:rPr>
          <w:sz w:val="24"/>
          <w:lang w:val="bg-BG"/>
        </w:rPr>
        <w:t xml:space="preserve"> </w:t>
      </w:r>
      <w:r w:rsidR="00F35520" w:rsidRPr="00F35520">
        <w:rPr>
          <w:sz w:val="24"/>
          <w:lang w:val="bg-BG"/>
        </w:rPr>
        <w:tab/>
      </w:r>
      <w:r w:rsidRPr="00F35520">
        <w:rPr>
          <w:sz w:val="24"/>
          <w:lang w:val="bg-BG"/>
        </w:rPr>
        <w:t>ОВ C, C/2023/594, 27.10.2023 г.</w:t>
      </w:r>
    </w:p>
  </w:footnote>
  <w:footnote w:id="7">
    <w:p w:rsidR="00B22C49" w:rsidRPr="00F35520" w:rsidRDefault="00B22C49" w:rsidP="00F35520">
      <w:pPr>
        <w:pStyle w:val="FootnoteText"/>
        <w:ind w:left="567" w:hanging="567"/>
        <w:rPr>
          <w:sz w:val="24"/>
          <w:lang w:val="bg-BG"/>
        </w:rPr>
      </w:pPr>
      <w:r w:rsidRPr="00F35520">
        <w:rPr>
          <w:rStyle w:val="FootnoteReference"/>
          <w:sz w:val="24"/>
          <w:lang w:val="bg-BG"/>
        </w:rPr>
        <w:footnoteRef/>
      </w:r>
      <w:r w:rsidR="00F35520" w:rsidRPr="00F35520">
        <w:rPr>
          <w:sz w:val="24"/>
          <w:lang w:val="bg-BG"/>
        </w:rPr>
        <w:t xml:space="preserve"> </w:t>
      </w:r>
      <w:r w:rsidR="00F35520" w:rsidRPr="00F35520">
        <w:rPr>
          <w:sz w:val="24"/>
          <w:lang w:val="bg-BG"/>
        </w:rPr>
        <w:tab/>
      </w:r>
      <w:r w:rsidRPr="00F35520">
        <w:rPr>
          <w:sz w:val="24"/>
          <w:lang w:val="bg-BG"/>
        </w:rPr>
        <w:t>ОВ C, C/2023/112, 12.10.2023 г.</w:t>
      </w:r>
    </w:p>
  </w:footnote>
  <w:footnote w:id="8">
    <w:p w:rsidR="00B22C49" w:rsidRPr="00F35520" w:rsidRDefault="00B22C49" w:rsidP="00F35520">
      <w:pPr>
        <w:pStyle w:val="FootnoteText"/>
        <w:ind w:left="567" w:hanging="567"/>
        <w:rPr>
          <w:sz w:val="24"/>
          <w:lang w:val="bg-BG"/>
        </w:rPr>
      </w:pPr>
      <w:r w:rsidRPr="00F35520">
        <w:rPr>
          <w:rStyle w:val="FootnoteReference"/>
          <w:sz w:val="24"/>
          <w:lang w:val="bg-BG"/>
        </w:rPr>
        <w:footnoteRef/>
      </w:r>
      <w:r w:rsidR="00F35520" w:rsidRPr="00F35520">
        <w:rPr>
          <w:sz w:val="24"/>
          <w:lang w:val="bg-BG"/>
        </w:rPr>
        <w:t xml:space="preserve"> </w:t>
      </w:r>
      <w:r w:rsidR="00F35520" w:rsidRPr="00F35520">
        <w:rPr>
          <w:sz w:val="24"/>
          <w:lang w:val="bg-BG"/>
        </w:rPr>
        <w:tab/>
      </w:r>
      <w:r w:rsidRPr="00F35520">
        <w:rPr>
          <w:sz w:val="24"/>
          <w:lang w:val="bg-BG"/>
        </w:rPr>
        <w:t>OВ L 193, 30.7.2018 г., стр. 1.</w:t>
      </w:r>
    </w:p>
  </w:footnote>
  <w:footnote w:id="9">
    <w:p w:rsidR="00B22C49" w:rsidRPr="00F35520" w:rsidRDefault="00B22C49" w:rsidP="00F35520">
      <w:pPr>
        <w:pStyle w:val="FootnoteText"/>
        <w:ind w:left="567" w:hanging="567"/>
        <w:rPr>
          <w:sz w:val="24"/>
          <w:lang w:val="bg-BG"/>
        </w:rPr>
      </w:pPr>
      <w:r w:rsidRPr="00F35520">
        <w:rPr>
          <w:rStyle w:val="FootnoteReference"/>
          <w:sz w:val="24"/>
          <w:lang w:val="bg-BG"/>
        </w:rPr>
        <w:footnoteRef/>
      </w:r>
      <w:r w:rsidR="00F35520" w:rsidRPr="00F35520">
        <w:rPr>
          <w:sz w:val="24"/>
          <w:lang w:val="bg-BG"/>
        </w:rPr>
        <w:t xml:space="preserve"> </w:t>
      </w:r>
      <w:r w:rsidR="00F35520" w:rsidRPr="00F35520">
        <w:rPr>
          <w:sz w:val="24"/>
          <w:lang w:val="bg-BG"/>
        </w:rPr>
        <w:tab/>
      </w:r>
      <w:r w:rsidRPr="00F35520">
        <w:rPr>
          <w:sz w:val="24"/>
          <w:lang w:val="bg-BG"/>
        </w:rPr>
        <w:t>OВ L 136, 30.4.2004 г., стр. 1.</w:t>
      </w:r>
    </w:p>
  </w:footnote>
  <w:footnote w:id="10">
    <w:p w:rsidR="00B22C49" w:rsidRPr="00F35520" w:rsidRDefault="00B22C49" w:rsidP="00F35520">
      <w:pPr>
        <w:pStyle w:val="FootnoteText"/>
        <w:ind w:left="567" w:hanging="567"/>
        <w:rPr>
          <w:sz w:val="24"/>
          <w:szCs w:val="24"/>
          <w:lang w:val="bg-BG"/>
        </w:rPr>
      </w:pPr>
      <w:r w:rsidRPr="00F35520">
        <w:rPr>
          <w:rStyle w:val="FootnoteReference"/>
          <w:sz w:val="24"/>
          <w:lang w:val="bg-BG"/>
        </w:rPr>
        <w:footnoteRef/>
      </w:r>
      <w:r w:rsidR="00F35520" w:rsidRPr="00F35520">
        <w:rPr>
          <w:sz w:val="24"/>
          <w:lang w:val="bg-BG"/>
        </w:rPr>
        <w:t xml:space="preserve"> </w:t>
      </w:r>
      <w:r w:rsidR="00F35520" w:rsidRPr="00F35520">
        <w:rPr>
          <w:sz w:val="24"/>
          <w:lang w:val="bg-BG"/>
        </w:rPr>
        <w:tab/>
      </w:r>
      <w:r w:rsidRPr="00F35520">
        <w:rPr>
          <w:sz w:val="24"/>
          <w:lang w:val="bg-BG"/>
        </w:rPr>
        <w:t>ОВ L 122, 10.5.2019 г., стр. 1.</w:t>
      </w:r>
    </w:p>
  </w:footnote>
  <w:footnote w:id="11">
    <w:p w:rsidR="00B22C49" w:rsidRPr="00F35520" w:rsidRDefault="00B22C49" w:rsidP="00F35520">
      <w:pPr>
        <w:pStyle w:val="FootnoteText"/>
        <w:ind w:left="567" w:hanging="567"/>
        <w:rPr>
          <w:sz w:val="24"/>
          <w:lang w:val="bg-BG"/>
        </w:rPr>
      </w:pPr>
      <w:r w:rsidRPr="00F35520">
        <w:rPr>
          <w:sz w:val="24"/>
          <w:vertAlign w:val="superscript"/>
          <w:lang w:val="bg-BG"/>
        </w:rPr>
        <w:footnoteRef/>
      </w:r>
      <w:r w:rsidR="00F35520" w:rsidRPr="00F35520">
        <w:rPr>
          <w:sz w:val="24"/>
          <w:lang w:val="bg-BG"/>
        </w:rPr>
        <w:t xml:space="preserve"> </w:t>
      </w:r>
      <w:r w:rsidR="00F35520" w:rsidRPr="00F35520">
        <w:rPr>
          <w:sz w:val="24"/>
          <w:lang w:val="bg-BG"/>
        </w:rPr>
        <w:tab/>
      </w:r>
      <w:r w:rsidRPr="00F35520">
        <w:rPr>
          <w:sz w:val="24"/>
          <w:lang w:val="bg-BG"/>
        </w:rPr>
        <w:t xml:space="preserve">ОВ C 489, </w:t>
      </w:r>
      <w:r w:rsidR="007A7020" w:rsidRPr="007A7020">
        <w:rPr>
          <w:sz w:val="24"/>
          <w:lang w:val="bg-BG"/>
        </w:rPr>
        <w:t>22.12.2022</w:t>
      </w:r>
      <w:r w:rsidRPr="00F35520">
        <w:rPr>
          <w:sz w:val="24"/>
          <w:lang w:val="bg-BG"/>
        </w:rPr>
        <w:t> г., стр. 7.</w:t>
      </w:r>
    </w:p>
  </w:footnote>
  <w:footnote w:id="12">
    <w:p w:rsidR="00B22C49" w:rsidRPr="00F35520" w:rsidRDefault="00B22C49" w:rsidP="00F35520">
      <w:pPr>
        <w:pStyle w:val="FootnoteText"/>
        <w:ind w:left="567" w:hanging="567"/>
        <w:rPr>
          <w:sz w:val="24"/>
          <w:lang w:val="bg-BG"/>
        </w:rPr>
      </w:pPr>
      <w:r w:rsidRPr="00F35520">
        <w:rPr>
          <w:rStyle w:val="FootnoteReference"/>
          <w:sz w:val="24"/>
          <w:lang w:val="bg-BG"/>
        </w:rPr>
        <w:footnoteRef/>
      </w:r>
      <w:r w:rsidR="00F35520" w:rsidRPr="00F35520">
        <w:rPr>
          <w:sz w:val="24"/>
          <w:lang w:val="bg-BG"/>
        </w:rPr>
        <w:t xml:space="preserve"> </w:t>
      </w:r>
      <w:r w:rsidR="00F35520" w:rsidRPr="00F35520">
        <w:rPr>
          <w:sz w:val="24"/>
          <w:lang w:val="bg-BG"/>
        </w:rPr>
        <w:tab/>
      </w:r>
      <w:r w:rsidRPr="00F35520">
        <w:rPr>
          <w:sz w:val="24"/>
          <w:lang w:val="bg-BG"/>
        </w:rPr>
        <w:t>Регламент (ЕС) № 536/2014 на Европейския парламент и на Съвета от 16 април 2014 г. относно клиничните изпитвания на лекарствени продукти за хуманна употреба, и за отмяна на Директива 2001/20/ЕО (ОВ L 158, 27.5.2014 г., стр. 1).</w:t>
      </w:r>
    </w:p>
  </w:footnote>
  <w:footnote w:id="13">
    <w:p w:rsidR="00B22C49" w:rsidRPr="00F35520" w:rsidRDefault="00B22C49" w:rsidP="00F35520">
      <w:pPr>
        <w:pStyle w:val="FootnoteText"/>
        <w:ind w:left="567" w:hanging="567"/>
        <w:rPr>
          <w:sz w:val="24"/>
          <w:lang w:val="bg-BG"/>
        </w:rPr>
      </w:pPr>
      <w:r w:rsidRPr="00F35520">
        <w:rPr>
          <w:rStyle w:val="FootnoteReference"/>
          <w:sz w:val="24"/>
          <w:lang w:val="bg-BG"/>
        </w:rPr>
        <w:footnoteRef/>
      </w:r>
      <w:r w:rsidR="00F35520" w:rsidRPr="00F35520">
        <w:rPr>
          <w:sz w:val="24"/>
          <w:lang w:val="bg-BG"/>
        </w:rPr>
        <w:t xml:space="preserve"> </w:t>
      </w:r>
      <w:r w:rsidR="00F35520" w:rsidRPr="00F35520">
        <w:rPr>
          <w:sz w:val="24"/>
          <w:lang w:val="bg-BG"/>
        </w:rPr>
        <w:tab/>
      </w:r>
      <w:r w:rsidRPr="00F35520">
        <w:rPr>
          <w:sz w:val="24"/>
          <w:lang w:val="bg-BG"/>
        </w:rPr>
        <w:t xml:space="preserve">Регламент (ЕС) 2019/6 на Европейския парламент и на Съвета от 11 декември 2018 г. </w:t>
      </w:r>
      <w:r w:rsidRPr="00F35520">
        <w:rPr>
          <w:sz w:val="24"/>
          <w:lang w:val="bg-BG"/>
        </w:rPr>
        <w:t>относно ветеринарните лекарствени продукти и за отмяна н</w:t>
      </w:r>
      <w:r w:rsidR="007A7020">
        <w:rPr>
          <w:sz w:val="24"/>
          <w:lang w:val="bg-BG"/>
        </w:rPr>
        <w:t>а Директива 2001/82/ЕО (ОВ</w:t>
      </w:r>
      <w:r w:rsidRPr="00F35520">
        <w:rPr>
          <w:sz w:val="24"/>
          <w:lang w:val="bg-BG"/>
        </w:rPr>
        <w:t xml:space="preserve"> L 4, 7.1.2019</w:t>
      </w:r>
      <w:r w:rsidR="001C570A">
        <w:rPr>
          <w:sz w:val="24"/>
          <w:lang w:val="bg-BG"/>
        </w:rPr>
        <w:t> г.</w:t>
      </w:r>
      <w:r w:rsidRPr="00F35520">
        <w:rPr>
          <w:sz w:val="24"/>
          <w:lang w:val="bg-BG"/>
        </w:rPr>
        <w:t>, стр. 43).</w:t>
      </w:r>
    </w:p>
  </w:footnote>
  <w:footnote w:id="14">
    <w:p w:rsidR="00B22C49" w:rsidRPr="00F35520" w:rsidRDefault="00B22C49" w:rsidP="00F35520">
      <w:pPr>
        <w:pStyle w:val="FootnoteText"/>
        <w:ind w:left="567" w:hanging="567"/>
        <w:rPr>
          <w:sz w:val="24"/>
          <w:lang w:val="bg-BG"/>
        </w:rPr>
      </w:pPr>
      <w:r w:rsidRPr="00F35520">
        <w:rPr>
          <w:rStyle w:val="FootnoteReference"/>
          <w:sz w:val="24"/>
          <w:lang w:val="bg-BG"/>
        </w:rPr>
        <w:footnoteRef/>
      </w:r>
      <w:r w:rsidR="00F35520" w:rsidRPr="00F35520">
        <w:rPr>
          <w:sz w:val="24"/>
          <w:lang w:val="bg-BG"/>
        </w:rPr>
        <w:t xml:space="preserve"> </w:t>
      </w:r>
      <w:r w:rsidR="00F35520" w:rsidRPr="00F35520">
        <w:rPr>
          <w:sz w:val="24"/>
          <w:lang w:val="bg-BG"/>
        </w:rPr>
        <w:tab/>
      </w:r>
      <w:r w:rsidRPr="00F35520">
        <w:rPr>
          <w:sz w:val="24"/>
          <w:lang w:val="bg-BG"/>
        </w:rPr>
        <w:t>Регламент (ЕС) 2022/123 на Е</w:t>
      </w:r>
      <w:bookmarkStart w:id="12" w:name="_GoBack"/>
      <w:bookmarkEnd w:id="12"/>
      <w:r w:rsidRPr="00F35520">
        <w:rPr>
          <w:sz w:val="24"/>
          <w:lang w:val="bg-BG"/>
        </w:rPr>
        <w:t>вропейския парламент и на Съвета от 25 януари 2022 г. относно засилена роля на Европейската агенция по лекарствата в готовността за действия при кризи и управлението на кризи по отношение на лекарствените продукти и медицинските изделия (ОВ L 20, 31.1.2022 г., стр. 1).</w:t>
      </w:r>
    </w:p>
  </w:footnote>
  <w:footnote w:id="15">
    <w:p w:rsidR="00B22C49" w:rsidRPr="00F35520" w:rsidRDefault="00B22C49" w:rsidP="00F35520">
      <w:pPr>
        <w:pStyle w:val="FootnoteText"/>
        <w:ind w:left="567" w:hanging="567"/>
        <w:rPr>
          <w:sz w:val="24"/>
          <w:szCs w:val="24"/>
          <w:lang w:val="bg-BG"/>
        </w:rPr>
      </w:pPr>
      <w:r w:rsidRPr="00F35520">
        <w:rPr>
          <w:rStyle w:val="FootnoteReference"/>
          <w:sz w:val="24"/>
          <w:lang w:val="bg-BG"/>
        </w:rPr>
        <w:footnoteRef/>
      </w:r>
      <w:r w:rsidR="00F35520" w:rsidRPr="00F35520">
        <w:rPr>
          <w:sz w:val="24"/>
          <w:lang w:val="bg-BG"/>
        </w:rPr>
        <w:t xml:space="preserve"> </w:t>
      </w:r>
      <w:r w:rsidR="00F35520" w:rsidRPr="00F35520">
        <w:rPr>
          <w:sz w:val="24"/>
          <w:lang w:val="bg-BG"/>
        </w:rPr>
        <w:tab/>
      </w:r>
      <w:r w:rsidRPr="00F35520">
        <w:rPr>
          <w:sz w:val="24"/>
          <w:lang w:val="bg-BG"/>
        </w:rPr>
        <w:t>Регламент (ЕС) 2021/1119 на Европейския парламент и на Съвета от 30 юни 2021 г. за създаване на рамката за постигане на неутралност по отношение на климата и за изменение на регламенти (ЕО) № 401/2009 и (ЕС) 2018/1999 (Европейски закон за климата) (ОВ L 243, 9.7.2021 г., стр. 1).</w:t>
      </w:r>
    </w:p>
  </w:footnote>
  <w:footnote w:id="16">
    <w:p w:rsidR="00B22C49" w:rsidRPr="00F35520" w:rsidRDefault="00B22C49" w:rsidP="00F35520">
      <w:pPr>
        <w:pStyle w:val="FootnoteText"/>
        <w:ind w:left="567" w:hanging="567"/>
        <w:rPr>
          <w:sz w:val="24"/>
          <w:lang w:val="bg-BG"/>
        </w:rPr>
      </w:pPr>
      <w:r w:rsidRPr="00F35520">
        <w:rPr>
          <w:rStyle w:val="FootnoteReference"/>
          <w:sz w:val="24"/>
          <w:lang w:val="bg-BG"/>
        </w:rPr>
        <w:footnoteRef/>
      </w:r>
      <w:r w:rsidR="00F35520" w:rsidRPr="00F35520">
        <w:rPr>
          <w:sz w:val="24"/>
          <w:lang w:val="bg-BG"/>
        </w:rPr>
        <w:t xml:space="preserve"> </w:t>
      </w:r>
      <w:r w:rsidR="00F35520" w:rsidRPr="00F35520">
        <w:rPr>
          <w:sz w:val="24"/>
          <w:lang w:val="bg-BG"/>
        </w:rPr>
        <w:tab/>
      </w:r>
      <w:r w:rsidRPr="00F35520">
        <w:rPr>
          <w:sz w:val="24"/>
          <w:lang w:val="bg-BG"/>
        </w:rPr>
        <w:t>Приети текстове, P9_TA(2024)</w:t>
      </w:r>
      <w:r w:rsidR="00882FB3" w:rsidRPr="00635445">
        <w:rPr>
          <w:sz w:val="24"/>
          <w:lang w:val="bg-BG"/>
        </w:rPr>
        <w:t>0</w:t>
      </w:r>
      <w:r w:rsidR="00882FB3">
        <w:rPr>
          <w:sz w:val="24"/>
          <w:lang w:val="en-GB"/>
        </w:rPr>
        <w:t>28</w:t>
      </w:r>
      <w:r w:rsidR="00882FB3" w:rsidRPr="00635445">
        <w:rPr>
          <w:sz w:val="24"/>
          <w:lang w:val="bg-BG"/>
        </w:rPr>
        <w:t>0</w:t>
      </w:r>
      <w:r w:rsidRPr="00F35520">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552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552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552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3/2024"/>
    <w:docVar w:name="dvlangue" w:val="BG"/>
    <w:docVar w:name="dvnumam" w:val="0"/>
    <w:docVar w:name="dvpe" w:val="753.524"/>
    <w:docVar w:name="dvrapporteur" w:val="Докладчик: "/>
    <w:docVar w:name="dvtitre" w:val="Решение на Европейския парламент от ... 2024 г. относно освобождаването от отговорност във връзка с изпълнението на бюджета на Европейската агенция по лекарствата (ЕМА) за финансовата 2022 година(2023/2156(DEC))"/>
  </w:docVars>
  <w:rsids>
    <w:rsidRoot w:val="003D5862"/>
    <w:rsid w:val="00002272"/>
    <w:rsid w:val="00064002"/>
    <w:rsid w:val="000677B9"/>
    <w:rsid w:val="000831BA"/>
    <w:rsid w:val="000A42CC"/>
    <w:rsid w:val="000E7DD9"/>
    <w:rsid w:val="0010095E"/>
    <w:rsid w:val="00125B37"/>
    <w:rsid w:val="00187494"/>
    <w:rsid w:val="001C570A"/>
    <w:rsid w:val="001F32AE"/>
    <w:rsid w:val="002767FF"/>
    <w:rsid w:val="002B18FE"/>
    <w:rsid w:val="002B5493"/>
    <w:rsid w:val="00343214"/>
    <w:rsid w:val="00361C00"/>
    <w:rsid w:val="00395FA1"/>
    <w:rsid w:val="003D5862"/>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A281E"/>
    <w:rsid w:val="006F74FA"/>
    <w:rsid w:val="00731ADD"/>
    <w:rsid w:val="00734777"/>
    <w:rsid w:val="00747932"/>
    <w:rsid w:val="00751A4A"/>
    <w:rsid w:val="00756632"/>
    <w:rsid w:val="00762C74"/>
    <w:rsid w:val="00786EC0"/>
    <w:rsid w:val="007A7020"/>
    <w:rsid w:val="007D1690"/>
    <w:rsid w:val="007E22AD"/>
    <w:rsid w:val="00817416"/>
    <w:rsid w:val="00842779"/>
    <w:rsid w:val="00865F67"/>
    <w:rsid w:val="00881A7B"/>
    <w:rsid w:val="00882FB3"/>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2C49"/>
    <w:rsid w:val="00B54289"/>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7F04"/>
    <w:rsid w:val="00E820A4"/>
    <w:rsid w:val="00EB006A"/>
    <w:rsid w:val="00EB4772"/>
    <w:rsid w:val="00ED169E"/>
    <w:rsid w:val="00ED4235"/>
    <w:rsid w:val="00F04346"/>
    <w:rsid w:val="00F075DC"/>
    <w:rsid w:val="00F149E9"/>
    <w:rsid w:val="00F35520"/>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A32894"/>
  <w15:chartTrackingRefBased/>
  <w15:docId w15:val="{93BF4532-4DF3-4F0A-9EC1-DE04D3B0B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22C4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22C49"/>
    <w:pPr>
      <w:spacing w:before="480" w:after="240"/>
    </w:pPr>
  </w:style>
  <w:style w:type="paragraph" w:customStyle="1" w:styleId="PageHeading">
    <w:name w:val="PageHeading"/>
    <w:basedOn w:val="Normal"/>
    <w:rsid w:val="00B22C49"/>
    <w:pPr>
      <w:keepNext/>
      <w:spacing w:after="480"/>
      <w:jc w:val="center"/>
    </w:pPr>
    <w:rPr>
      <w:rFonts w:ascii="Arial" w:hAnsi="Arial" w:cs="Arial"/>
      <w:b/>
    </w:rPr>
  </w:style>
  <w:style w:type="paragraph" w:customStyle="1" w:styleId="NormalBold">
    <w:name w:val="NormalBold"/>
    <w:basedOn w:val="Normal"/>
    <w:rsid w:val="00B22C49"/>
    <w:rPr>
      <w:b/>
    </w:rPr>
  </w:style>
  <w:style w:type="paragraph" w:customStyle="1" w:styleId="NormalHanging12a">
    <w:name w:val="NormalHanging12a"/>
    <w:basedOn w:val="Normal"/>
    <w:link w:val="NormalHanging12aChar"/>
    <w:rsid w:val="00B22C49"/>
    <w:pPr>
      <w:spacing w:after="240"/>
      <w:ind w:left="567" w:hanging="567"/>
    </w:pPr>
  </w:style>
  <w:style w:type="paragraph" w:customStyle="1" w:styleId="NormalCenter12a">
    <w:name w:val="NormalCenter12a"/>
    <w:basedOn w:val="Normal"/>
    <w:rsid w:val="00B22C49"/>
    <w:pPr>
      <w:spacing w:after="240"/>
      <w:jc w:val="center"/>
    </w:pPr>
  </w:style>
  <w:style w:type="paragraph" w:styleId="Header">
    <w:name w:val="header"/>
    <w:basedOn w:val="Normal"/>
    <w:link w:val="HeaderChar"/>
    <w:rsid w:val="00B22C49"/>
    <w:pPr>
      <w:tabs>
        <w:tab w:val="center" w:pos="4513"/>
        <w:tab w:val="right" w:pos="9026"/>
      </w:tabs>
    </w:pPr>
  </w:style>
  <w:style w:type="character" w:customStyle="1" w:styleId="HeaderChar">
    <w:name w:val="Header Char"/>
    <w:basedOn w:val="DefaultParagraphFont"/>
    <w:link w:val="Header"/>
    <w:rsid w:val="00B22C49"/>
    <w:rPr>
      <w:sz w:val="24"/>
      <w:lang w:val="bg-BG"/>
    </w:rPr>
  </w:style>
  <w:style w:type="paragraph" w:customStyle="1" w:styleId="EPFooter">
    <w:name w:val="EPFooter"/>
    <w:basedOn w:val="Normal"/>
    <w:rsid w:val="00B22C49"/>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B22C49"/>
    <w:rPr>
      <w:sz w:val="24"/>
      <w:lang w:val="bg-BG"/>
    </w:rPr>
  </w:style>
  <w:style w:type="paragraph" w:customStyle="1" w:styleId="Normal12Hanging">
    <w:name w:val="Normal12Hanging"/>
    <w:basedOn w:val="Normal"/>
    <w:rsid w:val="00B22C49"/>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C4D0CE-A8C7-4DE7-8DDF-42690F627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5147</Words>
  <Characters>29601</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GIRGINOV Kiril</cp:lastModifiedBy>
  <cp:revision>2</cp:revision>
  <cp:lastPrinted>2004-11-19T15:42:00Z</cp:lastPrinted>
  <dcterms:created xsi:type="dcterms:W3CDTF">2024-05-21T12:16:00Z</dcterms:created>
  <dcterms:modified xsi:type="dcterms:W3CDTF">2024-05-21T12:16:00Z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P9_TA(2024)0245_</vt:lpwstr>
  </property>
  <property fmtid="{D5CDD505-2E9C-101B-9397-08002B2CF9AE}" pid="4" name="&lt;Type&gt;">
    <vt:lpwstr>RR</vt:lpwstr>
  </property>
</Properties>
</file>