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6592" w:rsidTr="0010095E">
        <w:trPr>
          <w:trHeight w:hRule="exact" w:val="1418"/>
        </w:trPr>
        <w:tc>
          <w:tcPr>
            <w:tcW w:w="6804" w:type="dxa"/>
            <w:shd w:val="clear" w:color="auto" w:fill="auto"/>
            <w:vAlign w:val="center"/>
          </w:tcPr>
          <w:p w:rsidR="00751A4A" w:rsidRPr="00D76592" w:rsidRDefault="00287406" w:rsidP="0010095E">
            <w:pPr>
              <w:pStyle w:val="EPName"/>
            </w:pPr>
            <w:r w:rsidRPr="00D76592">
              <w:t>Evropský parlament</w:t>
            </w:r>
          </w:p>
          <w:p w:rsidR="00751A4A" w:rsidRPr="00D76592" w:rsidRDefault="00817416" w:rsidP="00756632">
            <w:pPr>
              <w:pStyle w:val="EPTerm"/>
              <w:rPr>
                <w:rStyle w:val="HideTWBExt"/>
                <w:noProof w:val="0"/>
                <w:vanish w:val="0"/>
                <w:color w:val="auto"/>
              </w:rPr>
            </w:pPr>
            <w:r w:rsidRPr="00D76592">
              <w:t>2019-2024</w:t>
            </w:r>
          </w:p>
        </w:tc>
        <w:tc>
          <w:tcPr>
            <w:tcW w:w="2268" w:type="dxa"/>
            <w:shd w:val="clear" w:color="auto" w:fill="auto"/>
          </w:tcPr>
          <w:p w:rsidR="00751A4A" w:rsidRPr="00D76592" w:rsidRDefault="00187494" w:rsidP="0010095E">
            <w:pPr>
              <w:pStyle w:val="EPLogo"/>
            </w:pPr>
            <w:r w:rsidRPr="00D765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6592" w:rsidRDefault="00D058B8" w:rsidP="004C5D52">
      <w:pPr>
        <w:pStyle w:val="LineTop"/>
      </w:pPr>
    </w:p>
    <w:p w:rsidR="00680577" w:rsidRPr="00D76592" w:rsidRDefault="00287406" w:rsidP="00680577">
      <w:pPr>
        <w:pStyle w:val="EPBodyTA1"/>
      </w:pPr>
      <w:r w:rsidRPr="00D76592">
        <w:t>PŘIJATÉ TEXTY</w:t>
      </w:r>
    </w:p>
    <w:p w:rsidR="00D058B8" w:rsidRPr="00D76592" w:rsidRDefault="00D058B8" w:rsidP="00D058B8">
      <w:pPr>
        <w:pStyle w:val="LineBottom"/>
      </w:pPr>
    </w:p>
    <w:p w:rsidR="00287406" w:rsidRPr="00D76592" w:rsidRDefault="00287406" w:rsidP="00287406">
      <w:pPr>
        <w:pStyle w:val="ATHeading1"/>
      </w:pPr>
      <w:bookmarkStart w:id="0" w:name="TANumber"/>
      <w:r w:rsidRPr="00D76592">
        <w:t>P9_TA(2024)0</w:t>
      </w:r>
      <w:bookmarkEnd w:id="0"/>
      <w:r w:rsidR="00AC61E4">
        <w:t>245</w:t>
      </w:r>
    </w:p>
    <w:p w:rsidR="00287406" w:rsidRPr="00D76592" w:rsidRDefault="00287406" w:rsidP="00287406">
      <w:pPr>
        <w:pStyle w:val="ATHeading2"/>
      </w:pPr>
      <w:bookmarkStart w:id="1" w:name="title"/>
      <w:r w:rsidRPr="00D76592">
        <w:t>Udělení absolutoria za rok 2022: Evropská agentura pro léčivé přípravky</w:t>
      </w:r>
      <w:bookmarkEnd w:id="1"/>
    </w:p>
    <w:p w:rsidR="00287406" w:rsidRPr="00D76592" w:rsidRDefault="00287406" w:rsidP="00287406">
      <w:pPr>
        <w:rPr>
          <w:i/>
          <w:vanish/>
        </w:rPr>
      </w:pPr>
      <w:r w:rsidRPr="00D76592">
        <w:rPr>
          <w:i/>
        </w:rPr>
        <w:fldChar w:fldCharType="begin"/>
      </w:r>
      <w:r w:rsidRPr="00D76592">
        <w:rPr>
          <w:i/>
        </w:rPr>
        <w:instrText xml:space="preserve"> TC"(</w:instrText>
      </w:r>
      <w:bookmarkStart w:id="2" w:name="DocNumber"/>
      <w:r w:rsidRPr="00D76592">
        <w:rPr>
          <w:i/>
        </w:rPr>
        <w:instrText>A9-0133/2024</w:instrText>
      </w:r>
      <w:bookmarkEnd w:id="2"/>
      <w:r w:rsidRPr="00D76592">
        <w:rPr>
          <w:i/>
        </w:rPr>
        <w:instrText xml:space="preserve"> - Zpravodaj: </w:instrText>
      </w:r>
      <w:proofErr w:type="spellStart"/>
      <w:r w:rsidRPr="00D76592">
        <w:rPr>
          <w:i/>
        </w:rPr>
        <w:instrText>Petri</w:instrText>
      </w:r>
      <w:proofErr w:type="spellEnd"/>
      <w:r w:rsidRPr="00D76592">
        <w:rPr>
          <w:i/>
        </w:rPr>
        <w:instrText xml:space="preserve"> </w:instrText>
      </w:r>
      <w:proofErr w:type="spellStart"/>
      <w:r w:rsidRPr="00D76592">
        <w:rPr>
          <w:i/>
        </w:rPr>
        <w:instrText>Sarvamaa</w:instrText>
      </w:r>
      <w:proofErr w:type="spellEnd"/>
      <w:r w:rsidRPr="00D76592">
        <w:rPr>
          <w:i/>
        </w:rPr>
        <w:instrText xml:space="preserve">)"\l3 \n&gt; \* MERGEFORMAT </w:instrText>
      </w:r>
      <w:r w:rsidRPr="00D76592">
        <w:rPr>
          <w:i/>
        </w:rPr>
        <w:fldChar w:fldCharType="end"/>
      </w:r>
    </w:p>
    <w:p w:rsidR="00287406" w:rsidRPr="00D76592" w:rsidRDefault="00287406" w:rsidP="00287406">
      <w:pPr>
        <w:rPr>
          <w:vanish/>
        </w:rPr>
      </w:pPr>
      <w:bookmarkStart w:id="3" w:name="Commission"/>
      <w:r w:rsidRPr="00D76592">
        <w:rPr>
          <w:vanish/>
        </w:rPr>
        <w:t>Výbor pro rozpočtovou kontrolu</w:t>
      </w:r>
      <w:bookmarkEnd w:id="3"/>
    </w:p>
    <w:p w:rsidR="00287406" w:rsidRPr="00D76592" w:rsidRDefault="00287406" w:rsidP="00287406">
      <w:pPr>
        <w:rPr>
          <w:vanish/>
        </w:rPr>
      </w:pPr>
      <w:bookmarkStart w:id="4" w:name="PE"/>
      <w:r w:rsidRPr="00D76592">
        <w:rPr>
          <w:vanish/>
        </w:rPr>
        <w:t>PE753.524</w:t>
      </w:r>
      <w:bookmarkEnd w:id="4"/>
    </w:p>
    <w:p w:rsidR="00287406" w:rsidRPr="00D76592" w:rsidRDefault="00287406" w:rsidP="00287406">
      <w:pPr>
        <w:pStyle w:val="ATHeading3"/>
      </w:pPr>
      <w:bookmarkStart w:id="5" w:name="Sujet"/>
      <w:r w:rsidRPr="00D76592">
        <w:t xml:space="preserve">1. Rozhodnutí </w:t>
      </w:r>
      <w:r w:rsidR="00AA3786">
        <w:t>Evropského parlamentu ze dne 11. dubna</w:t>
      </w:r>
      <w:r w:rsidRPr="00D76592">
        <w:t xml:space="preserve"> 2024 o udělení absolutoria za plnění rozpočtu Evropské agentury pro léčivé přípravky na rozpočtový rok 2022</w:t>
      </w:r>
      <w:bookmarkEnd w:id="5"/>
      <w:r w:rsidRPr="00D76592">
        <w:t xml:space="preserve"> </w:t>
      </w:r>
      <w:bookmarkStart w:id="6" w:name="References"/>
      <w:r w:rsidRPr="00D76592">
        <w:t>(2023/2156(DEC))</w:t>
      </w:r>
      <w:bookmarkEnd w:id="6"/>
    </w:p>
    <w:p w:rsidR="00A23DD5" w:rsidRPr="00D76592" w:rsidRDefault="00A23DD5" w:rsidP="00A23DD5">
      <w:pPr>
        <w:pStyle w:val="EPComma"/>
      </w:pPr>
      <w:bookmarkStart w:id="7" w:name="TextBodyBegin"/>
      <w:bookmarkEnd w:id="7"/>
      <w:r w:rsidRPr="00D76592">
        <w:rPr>
          <w:i/>
        </w:rPr>
        <w:t>Evropský parlament</w:t>
      </w:r>
      <w:r w:rsidRPr="00D76592">
        <w:t>,</w:t>
      </w:r>
    </w:p>
    <w:p w:rsidR="00A23DD5" w:rsidRPr="00D76592" w:rsidRDefault="00A23DD5" w:rsidP="00A23DD5">
      <w:pPr>
        <w:pStyle w:val="NormalHanging12a"/>
      </w:pPr>
      <w:r w:rsidRPr="00D76592">
        <w:t>–</w:t>
      </w:r>
      <w:r w:rsidRPr="00D76592">
        <w:tab/>
        <w:t>s ohledem na konečnou roční účetní závěrku Evropské agentury pro léčivé přípravky za rozpočtový rok 2022,</w:t>
      </w:r>
    </w:p>
    <w:p w:rsidR="00A23DD5" w:rsidRPr="00D76592" w:rsidRDefault="00A23DD5" w:rsidP="00A23DD5">
      <w:pPr>
        <w:pStyle w:val="NormalHanging12a"/>
      </w:pPr>
      <w:r w:rsidRPr="00D76592">
        <w:t>–</w:t>
      </w:r>
      <w:r w:rsidRPr="00D76592">
        <w:tab/>
        <w:t>s ohledem na výroční zprávu Účetního dvora o agenturách EU za rozpočtový rok 2022 spolu s odpověďmi agentur</w:t>
      </w:r>
      <w:r w:rsidRPr="00D76592">
        <w:rPr>
          <w:rStyle w:val="FootnoteReference"/>
        </w:rPr>
        <w:footnoteReference w:id="1"/>
      </w:r>
      <w:r w:rsidRPr="00D76592">
        <w:t>,</w:t>
      </w:r>
    </w:p>
    <w:p w:rsidR="00A23DD5" w:rsidRPr="00D76592" w:rsidRDefault="00A23DD5" w:rsidP="00A23DD5">
      <w:pPr>
        <w:pStyle w:val="NormalHanging12a"/>
      </w:pPr>
      <w:r w:rsidRPr="00D76592">
        <w:t>–</w:t>
      </w:r>
      <w:r w:rsidRPr="00D76592">
        <w:tab/>
        <w:t>s ohledem na prohlášení o věrohodnosti</w:t>
      </w:r>
      <w:r w:rsidRPr="00D76592">
        <w:rPr>
          <w:rStyle w:val="FootnoteReference"/>
        </w:rPr>
        <w:footnoteReference w:id="2"/>
      </w:r>
      <w:r w:rsidRPr="00D76592">
        <w:t xml:space="preserve"> účetnictví a o legalitě a správnosti uskutečněných operací, které předložil Účetní dvůr za rozpočtový rok 2022 podle článku 287 Smlouvy o fungování Evropské unie,</w:t>
      </w:r>
    </w:p>
    <w:p w:rsidR="00A23DD5" w:rsidRPr="00D76592" w:rsidRDefault="00A23DD5" w:rsidP="00A23DD5">
      <w:pPr>
        <w:pStyle w:val="NormalHanging12a"/>
      </w:pPr>
      <w:r w:rsidRPr="00D76592">
        <w:t>–</w:t>
      </w:r>
      <w:r w:rsidRPr="00D76592">
        <w:tab/>
        <w:t>s ohledem na doporučení Rady ze dne 22. února 2024 o udělení absolutoria agentuře za plnění rozpoč</w:t>
      </w:r>
      <w:r w:rsidR="00DA18CB">
        <w:t>tu na rozpočtový rok 2022 (06180</w:t>
      </w:r>
      <w:r w:rsidRPr="00D76592">
        <w:t>/2024 – C</w:t>
      </w:r>
      <w:r w:rsidR="00DA18CB">
        <w:t>9</w:t>
      </w:r>
      <w:r w:rsidR="00DA18CB">
        <w:noBreakHyphen/>
        <w:t>0094</w:t>
      </w:r>
      <w:r w:rsidRPr="00D76592">
        <w:t>/2024),</w:t>
      </w:r>
    </w:p>
    <w:p w:rsidR="00A23DD5" w:rsidRPr="00D76592" w:rsidRDefault="00A23DD5" w:rsidP="00A23DD5">
      <w:pPr>
        <w:pStyle w:val="NormalHanging12a"/>
      </w:pPr>
      <w:r w:rsidRPr="00D76592">
        <w:t>–</w:t>
      </w:r>
      <w:r w:rsidRPr="00D76592">
        <w:tab/>
        <w:t>s ohledem na článek 319 Smlouvy o fungování Evropské unie,</w:t>
      </w:r>
    </w:p>
    <w:p w:rsidR="00A23DD5" w:rsidRPr="00D76592" w:rsidRDefault="00A23DD5" w:rsidP="00A23DD5">
      <w:pPr>
        <w:pStyle w:val="NormalHanging12a"/>
      </w:pPr>
      <w:r w:rsidRPr="00D76592">
        <w:t>–</w:t>
      </w:r>
      <w:r w:rsidRPr="00D76592">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w:t>
      </w:r>
      <w:r w:rsidR="00AA3786">
        <w:t>/2014 a rozhodnutí č. 541/2014/</w:t>
      </w:r>
      <w:r w:rsidRPr="00D76592">
        <w:t>EU a zrušuje nařízení (EU, Euratom) č. 966/2012</w:t>
      </w:r>
      <w:r w:rsidRPr="00D76592">
        <w:rPr>
          <w:rStyle w:val="FootnoteReference"/>
        </w:rPr>
        <w:footnoteReference w:id="3"/>
      </w:r>
      <w:r w:rsidRPr="00D76592">
        <w:t>, a zejména článek 70 tohoto nařízení,</w:t>
      </w:r>
    </w:p>
    <w:p w:rsidR="00A23DD5" w:rsidRPr="00D76592" w:rsidRDefault="00A23DD5" w:rsidP="00A23DD5">
      <w:pPr>
        <w:pStyle w:val="NormalHanging12a"/>
      </w:pPr>
      <w:r w:rsidRPr="00D76592">
        <w:t>–</w:t>
      </w:r>
      <w:r w:rsidRPr="00D76592">
        <w:tab/>
        <w:t xml:space="preserve">s ohledem na nařízení Evropského parlamentu a Rady (ES) č. 726/2004 ze dne 31. března 2004, kterým se stanoví postupy Společenství pro registraci humánních a veterinárních léčivých přípravků a dozor nad nimi a kterým se zřizuje Evropská </w:t>
      </w:r>
      <w:r w:rsidRPr="00D76592">
        <w:lastRenderedPageBreak/>
        <w:t>agentura pro léčivé přípravky</w:t>
      </w:r>
      <w:r w:rsidRPr="00D76592">
        <w:rPr>
          <w:rStyle w:val="FootnoteReference"/>
        </w:rPr>
        <w:footnoteReference w:id="4"/>
      </w:r>
      <w:r w:rsidRPr="00D76592">
        <w:t>, a zejména na článek 68 tohoto nařízení,</w:t>
      </w:r>
    </w:p>
    <w:p w:rsidR="00A23DD5" w:rsidRPr="00D76592" w:rsidRDefault="00A23DD5" w:rsidP="00A23DD5">
      <w:pPr>
        <w:pStyle w:val="NormalHanging12a"/>
      </w:pPr>
      <w:r w:rsidRPr="00D76592">
        <w:t>–</w:t>
      </w:r>
      <w:r w:rsidRPr="00D76592">
        <w:tab/>
        <w:t xml:space="preserve">s ohledem na nařízení Komise v přenesené pravomoci (EU) 2019/715 ze dne 18. prosince 2018 o rámcovém finančním nařízení pro subjekty zřízené podle </w:t>
      </w:r>
      <w:r w:rsidR="0060379A" w:rsidRPr="0060379A">
        <w:t>Smlouvy o fungování Evropské unie</w:t>
      </w:r>
      <w:r w:rsidRPr="00D76592">
        <w:t xml:space="preserve"> a Smlouvy o Euratomu a uvedené v článku 70 nařízení Evropského parlamentu a Rady (EU, Euratom) 2018/1046</w:t>
      </w:r>
      <w:r w:rsidRPr="00D76592">
        <w:rPr>
          <w:rStyle w:val="FootnoteReference"/>
        </w:rPr>
        <w:footnoteReference w:id="5"/>
      </w:r>
      <w:r w:rsidRPr="00D76592">
        <w:t>, a zejména na článek 105 tohoto nařízení,</w:t>
      </w:r>
    </w:p>
    <w:p w:rsidR="00A23DD5" w:rsidRPr="00D76592" w:rsidRDefault="00A23DD5" w:rsidP="00A23DD5">
      <w:pPr>
        <w:pStyle w:val="NormalHanging12a"/>
      </w:pPr>
      <w:r w:rsidRPr="00D76592">
        <w:t>–</w:t>
      </w:r>
      <w:r w:rsidRPr="00D76592">
        <w:tab/>
        <w:t>s ohledem na článek 100 a přílohu V jednacího řádu,</w:t>
      </w:r>
    </w:p>
    <w:p w:rsidR="00A23DD5" w:rsidRPr="00D76592" w:rsidRDefault="00A23DD5" w:rsidP="00A23DD5">
      <w:pPr>
        <w:pStyle w:val="NormalHanging12a"/>
      </w:pPr>
      <w:r w:rsidRPr="00D76592">
        <w:t>–</w:t>
      </w:r>
      <w:r w:rsidRPr="00D76592">
        <w:tab/>
        <w:t>s ohledem na stanovisko Výboru pro životní prostředí, veřejné zdraví a bezpečnost potravin,</w:t>
      </w:r>
    </w:p>
    <w:p w:rsidR="00A23DD5" w:rsidRPr="00D76592" w:rsidRDefault="00A23DD5" w:rsidP="00A23DD5">
      <w:pPr>
        <w:pStyle w:val="NormalHanging12a"/>
      </w:pPr>
      <w:r w:rsidRPr="00D76592">
        <w:t>–</w:t>
      </w:r>
      <w:r w:rsidRPr="00D76592">
        <w:tab/>
        <w:t>s ohledem na zprávu Výboru pro rozpočtovou kontrolu (A9</w:t>
      </w:r>
      <w:r w:rsidRPr="00D76592">
        <w:noBreakHyphen/>
        <w:t>0133/2024),</w:t>
      </w:r>
    </w:p>
    <w:p w:rsidR="00A23DD5" w:rsidRPr="00D76592" w:rsidRDefault="00A23DD5" w:rsidP="00A23DD5">
      <w:pPr>
        <w:pStyle w:val="NormalHanging12a"/>
      </w:pPr>
      <w:r w:rsidRPr="00D76592">
        <w:t>1.</w:t>
      </w:r>
      <w:r w:rsidRPr="00D76592">
        <w:tab/>
        <w:t>uděluje absolutorium výkonné ředitelce Evropské agentury pro léčivé přípravky za plnění rozpočtu agentury na rozpočtový rok 2022;</w:t>
      </w:r>
    </w:p>
    <w:p w:rsidR="00A23DD5" w:rsidRPr="00D76592" w:rsidRDefault="00A23DD5" w:rsidP="00A23DD5">
      <w:pPr>
        <w:pStyle w:val="NormalHanging12a"/>
      </w:pPr>
      <w:r w:rsidRPr="00D76592">
        <w:t>2.</w:t>
      </w:r>
      <w:r w:rsidRPr="00D76592">
        <w:tab/>
        <w:t>předkládá své připomínky v níže uvedeném usnesení;</w:t>
      </w:r>
    </w:p>
    <w:p w:rsidR="00A23DD5" w:rsidRPr="00D76592" w:rsidRDefault="00A23DD5" w:rsidP="00A23DD5">
      <w:pPr>
        <w:pStyle w:val="NormalHanging12a"/>
      </w:pPr>
      <w:r w:rsidRPr="00D76592">
        <w:t>3.</w:t>
      </w:r>
      <w:r w:rsidRPr="00D76592">
        <w:tab/>
        <w:t>pověřuje svou předsedkyni, aby předala toto rozhodnutí a usnesení, které je jeho nedílnou součástí, výkonné ředitelce Evropské agentury pro léčivé přípravky, Radě, Komisi a Účetnímu dvoru a aby zajistila jejich zveřejnění v </w:t>
      </w:r>
      <w:r w:rsidRPr="00D76592">
        <w:rPr>
          <w:i/>
        </w:rPr>
        <w:t>Úředním věstníku Evropské unie</w:t>
      </w:r>
      <w:r w:rsidRPr="00D76592">
        <w:t xml:space="preserve"> (řada L).</w:t>
      </w:r>
    </w:p>
    <w:p w:rsidR="00A23DD5" w:rsidRPr="00D76592" w:rsidRDefault="00A23DD5" w:rsidP="00A23DD5"/>
    <w:p w:rsidR="00A23DD5" w:rsidRPr="00D76592" w:rsidRDefault="00A23DD5" w:rsidP="00A23DD5">
      <w:pPr>
        <w:widowControl/>
        <w:rPr>
          <w:rFonts w:ascii="Arial" w:hAnsi="Arial" w:cs="Arial"/>
          <w:b/>
        </w:rPr>
        <w:sectPr w:rsidR="00A23DD5" w:rsidRPr="00D76592" w:rsidSect="00D76592">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A23DD5" w:rsidRPr="00AA3786" w:rsidRDefault="00A23DD5" w:rsidP="00AA3786">
      <w:pPr>
        <w:pStyle w:val="PageHeading"/>
        <w:jc w:val="left"/>
        <w:rPr>
          <w:rFonts w:ascii="Times New Roman" w:hAnsi="Times New Roman" w:cs="Times New Roman"/>
        </w:rPr>
      </w:pPr>
      <w:bookmarkStart w:id="8" w:name="_Toc146810493"/>
      <w:bookmarkStart w:id="9" w:name="_Toc161995900"/>
      <w:r w:rsidRPr="00AA3786">
        <w:rPr>
          <w:rFonts w:ascii="Times New Roman" w:hAnsi="Times New Roman" w:cs="Times New Roman"/>
        </w:rPr>
        <w:lastRenderedPageBreak/>
        <w:t xml:space="preserve">2. </w:t>
      </w:r>
      <w:r w:rsidR="00AA3786">
        <w:rPr>
          <w:rFonts w:ascii="Times New Roman" w:hAnsi="Times New Roman" w:cs="Times New Roman"/>
        </w:rPr>
        <w:t>Rozhodnutí E</w:t>
      </w:r>
      <w:r w:rsidR="00AA3786" w:rsidRPr="00AA3786">
        <w:rPr>
          <w:rFonts w:ascii="Times New Roman" w:hAnsi="Times New Roman" w:cs="Times New Roman"/>
        </w:rPr>
        <w:t>vropského parlamentu</w:t>
      </w:r>
      <w:bookmarkEnd w:id="8"/>
      <w:bookmarkEnd w:id="9"/>
      <w:r w:rsidR="00AA3786" w:rsidRPr="00AA3786">
        <w:rPr>
          <w:rFonts w:ascii="Times New Roman" w:hAnsi="Times New Roman" w:cs="Times New Roman"/>
        </w:rPr>
        <w:t xml:space="preserve"> ze dne 11. dubna 2024 </w:t>
      </w:r>
      <w:r w:rsidRPr="00AA3786">
        <w:rPr>
          <w:rFonts w:ascii="Times New Roman" w:hAnsi="Times New Roman" w:cs="Times New Roman"/>
        </w:rPr>
        <w:t>o uzavření účtů Evropské agentury pro léčivé přípravky na rozpočtový rok 2022</w:t>
      </w:r>
      <w:r w:rsidR="00AA3786" w:rsidRPr="00AA3786">
        <w:rPr>
          <w:rFonts w:ascii="Times New Roman" w:hAnsi="Times New Roman" w:cs="Times New Roman"/>
        </w:rPr>
        <w:t xml:space="preserve"> </w:t>
      </w:r>
      <w:r w:rsidRPr="00AA3786">
        <w:rPr>
          <w:rFonts w:ascii="Times New Roman" w:hAnsi="Times New Roman" w:cs="Times New Roman"/>
        </w:rPr>
        <w:t>(2023/2156(DEC))</w:t>
      </w:r>
    </w:p>
    <w:p w:rsidR="00A23DD5" w:rsidRPr="00D76592" w:rsidRDefault="00A23DD5" w:rsidP="00A23DD5">
      <w:pPr>
        <w:pStyle w:val="EPComma"/>
      </w:pPr>
      <w:r w:rsidRPr="00D76592">
        <w:rPr>
          <w:i/>
        </w:rPr>
        <w:t>Evropský parlament</w:t>
      </w:r>
      <w:r w:rsidRPr="00D76592">
        <w:t>,</w:t>
      </w:r>
    </w:p>
    <w:p w:rsidR="00A23DD5" w:rsidRPr="00D76592" w:rsidRDefault="00A23DD5" w:rsidP="00A23DD5">
      <w:pPr>
        <w:pStyle w:val="NormalHanging12a"/>
      </w:pPr>
      <w:r w:rsidRPr="00D76592">
        <w:t>–</w:t>
      </w:r>
      <w:r w:rsidRPr="00D76592">
        <w:tab/>
        <w:t>s ohledem na konečnou roční účetní závěrku Evropské agentury pro léčivé přípravky za rozpočtový rok 2022,</w:t>
      </w:r>
    </w:p>
    <w:p w:rsidR="00A23DD5" w:rsidRPr="00D76592" w:rsidRDefault="00A23DD5" w:rsidP="00A23DD5">
      <w:pPr>
        <w:pStyle w:val="NormalHanging12a"/>
      </w:pPr>
      <w:r w:rsidRPr="00D76592">
        <w:t>–</w:t>
      </w:r>
      <w:r w:rsidRPr="00D76592">
        <w:tab/>
        <w:t>s ohledem na výroční zprávu Účetního dvora o agenturách EU za rozpočtový rok 2022 spolu s odpověďmi agentur</w:t>
      </w:r>
      <w:r w:rsidRPr="00D76592">
        <w:rPr>
          <w:rStyle w:val="FootnoteReference"/>
        </w:rPr>
        <w:footnoteReference w:id="6"/>
      </w:r>
      <w:r w:rsidRPr="00D76592">
        <w:t>,</w:t>
      </w:r>
    </w:p>
    <w:p w:rsidR="00A23DD5" w:rsidRPr="00D76592" w:rsidRDefault="00A23DD5" w:rsidP="00A23DD5">
      <w:pPr>
        <w:pStyle w:val="NormalHanging12a"/>
      </w:pPr>
      <w:r w:rsidRPr="00D76592">
        <w:t>–</w:t>
      </w:r>
      <w:r w:rsidRPr="00D76592">
        <w:tab/>
        <w:t>s ohledem na prohlášení o věrohodnosti</w:t>
      </w:r>
      <w:r w:rsidRPr="00D76592">
        <w:rPr>
          <w:rStyle w:val="FootnoteReference"/>
        </w:rPr>
        <w:footnoteReference w:id="7"/>
      </w:r>
      <w:r w:rsidRPr="00D76592">
        <w:t xml:space="preserve"> účetnictví a o legalitě a správnosti uskutečněných operací, které předložil Účetní dvůr za rozpočtový rok 2022 podle článku 287 Smlouvy o fungování Evropské unie,</w:t>
      </w:r>
    </w:p>
    <w:p w:rsidR="00A23DD5" w:rsidRPr="00D76592" w:rsidRDefault="00A23DD5" w:rsidP="00A23DD5">
      <w:pPr>
        <w:pStyle w:val="NormalHanging12a"/>
      </w:pPr>
      <w:r w:rsidRPr="00D76592">
        <w:t>–</w:t>
      </w:r>
      <w:r w:rsidRPr="00D76592">
        <w:tab/>
        <w:t>s ohledem na doporučení Rady ze dne 22. února 2024 o udělení absolutoria agentuře za plnění rozpoč</w:t>
      </w:r>
      <w:r w:rsidR="00DA18CB">
        <w:t>tu na rozpočtový rok 2022 (06180/2024 – C9</w:t>
      </w:r>
      <w:r w:rsidR="00DA18CB">
        <w:noBreakHyphen/>
        <w:t>0094</w:t>
      </w:r>
      <w:r w:rsidRPr="00D76592">
        <w:t>/2024),</w:t>
      </w:r>
    </w:p>
    <w:p w:rsidR="00A23DD5" w:rsidRPr="00D76592" w:rsidRDefault="00A23DD5" w:rsidP="00A23DD5">
      <w:pPr>
        <w:pStyle w:val="NormalHanging12a"/>
      </w:pPr>
      <w:r w:rsidRPr="00D76592">
        <w:t>–</w:t>
      </w:r>
      <w:r w:rsidRPr="00D76592">
        <w:tab/>
        <w:t>s ohledem na článek 319 Smlouvy o fungování Evropské unie,</w:t>
      </w:r>
    </w:p>
    <w:p w:rsidR="00A23DD5" w:rsidRPr="00D76592" w:rsidRDefault="00A23DD5" w:rsidP="00A23DD5">
      <w:pPr>
        <w:pStyle w:val="NormalHanging12a"/>
      </w:pPr>
      <w:r w:rsidRPr="00D76592">
        <w:t>–</w:t>
      </w:r>
      <w:r w:rsidRPr="00D76592">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w:t>
      </w:r>
      <w:r w:rsidR="00AA3786">
        <w:t>/2014 a rozhodnutí č. 541/2014/</w:t>
      </w:r>
      <w:r w:rsidRPr="00D76592">
        <w:t>EU a zrušuje nařízení (EU, Euratom) č. 966/2012</w:t>
      </w:r>
      <w:r w:rsidRPr="00D76592">
        <w:rPr>
          <w:rStyle w:val="FootnoteReference"/>
        </w:rPr>
        <w:footnoteReference w:id="8"/>
      </w:r>
      <w:r w:rsidRPr="00D76592">
        <w:t>, a zejména článek 70 tohoto nařízení,</w:t>
      </w:r>
    </w:p>
    <w:p w:rsidR="00A23DD5" w:rsidRPr="00D76592" w:rsidRDefault="00A23DD5" w:rsidP="00A23DD5">
      <w:pPr>
        <w:pStyle w:val="NormalHanging12a"/>
      </w:pPr>
      <w:r w:rsidRPr="00D76592">
        <w:t>–</w:t>
      </w:r>
      <w:r w:rsidRPr="00D76592">
        <w:tab/>
        <w:t>s ohledem na nařízení Evropského parlamentu a Rady (ES) č. 726/2004 ze dne 31. března 2004, kterým se stanoví postupy Společenství pro registraci humánních a veterinárních léčivých přípravků a dozor nad nimi a kterým se zřizuje Evropská agentura pro léčivé přípravky</w:t>
      </w:r>
      <w:r w:rsidRPr="00D76592">
        <w:rPr>
          <w:rStyle w:val="FootnoteReference"/>
        </w:rPr>
        <w:footnoteReference w:id="9"/>
      </w:r>
      <w:r w:rsidRPr="00D76592">
        <w:t>, a zejména na článek 68 tohoto nařízení,</w:t>
      </w:r>
    </w:p>
    <w:p w:rsidR="00A23DD5" w:rsidRPr="00D76592" w:rsidRDefault="00A23DD5" w:rsidP="00A23DD5">
      <w:pPr>
        <w:pStyle w:val="NormalHanging12a"/>
      </w:pPr>
      <w:r w:rsidRPr="00D76592">
        <w:t>–</w:t>
      </w:r>
      <w:r w:rsidRPr="00D76592">
        <w:tab/>
        <w:t xml:space="preserve">s ohledem na nařízení Komise v přenesené pravomoci (EU) 2019/715 ze dne 18. prosince 2018 o rámcovém finančním nařízení pro subjekty zřízené podle </w:t>
      </w:r>
      <w:r w:rsidR="0060379A" w:rsidRPr="0060379A">
        <w:t>Smlouvy o fungování Evropské unie</w:t>
      </w:r>
      <w:r w:rsidRPr="00D76592">
        <w:t xml:space="preserve"> a Smlouvy o Euratomu a uvedené v článku 70 nařízení Evropského parlamentu a Rady (EU, Euratom) 2018/1046</w:t>
      </w:r>
      <w:r w:rsidRPr="00D76592">
        <w:rPr>
          <w:rStyle w:val="FootnoteReference"/>
        </w:rPr>
        <w:footnoteReference w:id="10"/>
      </w:r>
      <w:r w:rsidRPr="00D76592">
        <w:t>, a zejména na článek 105 tohoto nařízení,</w:t>
      </w:r>
    </w:p>
    <w:p w:rsidR="00A23DD5" w:rsidRPr="00D76592" w:rsidRDefault="00A23DD5" w:rsidP="00A23DD5">
      <w:pPr>
        <w:pStyle w:val="NormalHanging12a"/>
      </w:pPr>
      <w:r w:rsidRPr="00D76592">
        <w:t>–</w:t>
      </w:r>
      <w:r w:rsidRPr="00D76592">
        <w:tab/>
        <w:t>s ohledem na článek 100 a přílohu V jednacího řádu,</w:t>
      </w:r>
    </w:p>
    <w:p w:rsidR="00A23DD5" w:rsidRPr="00D76592" w:rsidRDefault="00A23DD5" w:rsidP="00A23DD5">
      <w:pPr>
        <w:pStyle w:val="NormalHanging12a"/>
      </w:pPr>
      <w:r w:rsidRPr="00D76592">
        <w:t>–</w:t>
      </w:r>
      <w:r w:rsidRPr="00D76592">
        <w:tab/>
        <w:t>s ohledem na stanovisko Výboru pro životní prostředí, veřejné zdraví a bezpečnost potravin,</w:t>
      </w:r>
    </w:p>
    <w:p w:rsidR="00A23DD5" w:rsidRPr="00D76592" w:rsidRDefault="00A23DD5" w:rsidP="00A23DD5">
      <w:pPr>
        <w:pStyle w:val="NormalHanging12a"/>
      </w:pPr>
      <w:r w:rsidRPr="00D76592">
        <w:t>–</w:t>
      </w:r>
      <w:r w:rsidRPr="00D76592">
        <w:tab/>
        <w:t>s ohledem na zprávu Výboru pro rozpočtovou kontrolu (A9</w:t>
      </w:r>
      <w:r w:rsidRPr="00D76592">
        <w:noBreakHyphen/>
        <w:t>0133/2024),</w:t>
      </w:r>
    </w:p>
    <w:p w:rsidR="00A23DD5" w:rsidRPr="00D76592" w:rsidRDefault="00A23DD5" w:rsidP="00A23DD5">
      <w:pPr>
        <w:pStyle w:val="NormalHanging12a"/>
      </w:pPr>
      <w:r w:rsidRPr="00D76592">
        <w:t>1.</w:t>
      </w:r>
      <w:r w:rsidRPr="00D76592">
        <w:tab/>
        <w:t>schvaluje uzavření účtů Evropské agentury pro léčivé přípravky na rozpočtový rok 2022;</w:t>
      </w:r>
    </w:p>
    <w:p w:rsidR="00A23DD5" w:rsidRPr="00D76592" w:rsidRDefault="00A23DD5" w:rsidP="00A23DD5">
      <w:pPr>
        <w:pStyle w:val="NormalHanging12a"/>
      </w:pPr>
      <w:r w:rsidRPr="00D76592">
        <w:t>2.</w:t>
      </w:r>
      <w:r w:rsidRPr="00D76592">
        <w:tab/>
        <w:t>pověřuje svou předsedkyni, aby předala toto rozhodnutí výkonné ředitelce Evropské agentury pro léčivé přípravky, Radě, Komisi a Účetnímu dvoru a aby zajistila jeho zveřejnění v </w:t>
      </w:r>
      <w:r w:rsidRPr="00D76592">
        <w:rPr>
          <w:i/>
        </w:rPr>
        <w:t>Úředním věstníku Evropské unie</w:t>
      </w:r>
      <w:r w:rsidRPr="00D76592">
        <w:t xml:space="preserve"> (řada L).</w:t>
      </w:r>
    </w:p>
    <w:p w:rsidR="00A23DD5" w:rsidRPr="00D76592" w:rsidRDefault="00A23DD5" w:rsidP="00A23DD5"/>
    <w:p w:rsidR="00A23DD5" w:rsidRPr="00D76592" w:rsidRDefault="00A23DD5" w:rsidP="00A23DD5">
      <w:pPr>
        <w:widowControl/>
        <w:rPr>
          <w:rFonts w:ascii="Arial" w:hAnsi="Arial" w:cs="Arial"/>
          <w:b/>
        </w:rPr>
        <w:sectPr w:rsidR="00A23DD5" w:rsidRPr="00D76592" w:rsidSect="00D76592">
          <w:footnotePr>
            <w:numRestart w:val="eachPage"/>
          </w:footnotePr>
          <w:endnotePr>
            <w:numFmt w:val="decimal"/>
          </w:endnotePr>
          <w:pgSz w:w="11906" w:h="16838"/>
          <w:pgMar w:top="1134" w:right="1418" w:bottom="1418" w:left="1418" w:header="567" w:footer="567" w:gutter="0"/>
          <w:cols w:space="720"/>
          <w:docGrid w:linePitch="326"/>
        </w:sectPr>
      </w:pPr>
    </w:p>
    <w:p w:rsidR="00A23DD5" w:rsidRPr="00AA3786" w:rsidRDefault="00A23DD5" w:rsidP="00AA3786">
      <w:pPr>
        <w:pStyle w:val="PageHeading"/>
        <w:jc w:val="left"/>
        <w:rPr>
          <w:rFonts w:ascii="Times New Roman" w:hAnsi="Times New Roman" w:cs="Times New Roman"/>
        </w:rPr>
      </w:pPr>
      <w:bookmarkStart w:id="10" w:name="_Toc146810494"/>
      <w:bookmarkStart w:id="11" w:name="_Toc161995901"/>
      <w:r w:rsidRPr="00AA3786">
        <w:rPr>
          <w:rFonts w:ascii="Times New Roman" w:hAnsi="Times New Roman" w:cs="Times New Roman"/>
        </w:rPr>
        <w:t xml:space="preserve">3. </w:t>
      </w:r>
      <w:r w:rsidR="00AA3786">
        <w:rPr>
          <w:rFonts w:ascii="Times New Roman" w:hAnsi="Times New Roman" w:cs="Times New Roman"/>
        </w:rPr>
        <w:t>Usnesení E</w:t>
      </w:r>
      <w:r w:rsidR="00AA3786" w:rsidRPr="00AA3786">
        <w:rPr>
          <w:rFonts w:ascii="Times New Roman" w:hAnsi="Times New Roman" w:cs="Times New Roman"/>
        </w:rPr>
        <w:t>vropského parlamentu</w:t>
      </w:r>
      <w:bookmarkEnd w:id="10"/>
      <w:bookmarkEnd w:id="11"/>
      <w:r w:rsidR="00AA3786" w:rsidRPr="00AA3786">
        <w:rPr>
          <w:rFonts w:ascii="Times New Roman" w:hAnsi="Times New Roman" w:cs="Times New Roman"/>
        </w:rPr>
        <w:t xml:space="preserve"> ze dne 11. dubna 2024 obsahující</w:t>
      </w:r>
      <w:r w:rsidRPr="00AA3786">
        <w:rPr>
          <w:rFonts w:ascii="Times New Roman" w:hAnsi="Times New Roman" w:cs="Times New Roman"/>
        </w:rPr>
        <w:t xml:space="preserve"> připomínky, které jsou nedílnou součástí rozhodnutí o udělení absolutoria za plnění rozpočtu Evropské agentury pro léčivé přípravky na rozpočtový rok 2022</w:t>
      </w:r>
      <w:r w:rsidR="00AA3786" w:rsidRPr="00AA3786">
        <w:rPr>
          <w:rFonts w:ascii="Times New Roman" w:hAnsi="Times New Roman" w:cs="Times New Roman"/>
        </w:rPr>
        <w:t xml:space="preserve"> </w:t>
      </w:r>
      <w:r w:rsidRPr="00AA3786">
        <w:rPr>
          <w:rFonts w:ascii="Times New Roman" w:hAnsi="Times New Roman" w:cs="Times New Roman"/>
        </w:rPr>
        <w:t>(2023/2156(DEC))</w:t>
      </w:r>
    </w:p>
    <w:p w:rsidR="00A23DD5" w:rsidRPr="00D76592" w:rsidRDefault="00A23DD5" w:rsidP="00A23DD5">
      <w:pPr>
        <w:pStyle w:val="EPComma"/>
      </w:pPr>
      <w:r w:rsidRPr="00D76592">
        <w:rPr>
          <w:i/>
        </w:rPr>
        <w:t>Evropský parlament</w:t>
      </w:r>
      <w:r w:rsidRPr="00D76592">
        <w:t>,</w:t>
      </w:r>
    </w:p>
    <w:p w:rsidR="00A23DD5" w:rsidRPr="00D76592" w:rsidRDefault="00A23DD5" w:rsidP="00A23DD5">
      <w:pPr>
        <w:pStyle w:val="NormalHanging12a"/>
      </w:pPr>
      <w:r w:rsidRPr="00D76592">
        <w:t>–</w:t>
      </w:r>
      <w:r w:rsidRPr="00D76592">
        <w:tab/>
        <w:t>s ohledem na své rozhodnutí o udělení absolutoria za plnění rozpočtu Evropské agentury pro léčivé přípravky na rozpočtový rok 2022,</w:t>
      </w:r>
    </w:p>
    <w:p w:rsidR="00A23DD5" w:rsidRPr="00D76592" w:rsidRDefault="00A23DD5" w:rsidP="00A23DD5">
      <w:pPr>
        <w:pStyle w:val="NormalHanging12a"/>
      </w:pPr>
      <w:r w:rsidRPr="00D76592">
        <w:t>–</w:t>
      </w:r>
      <w:r w:rsidRPr="00D76592">
        <w:tab/>
        <w:t>s ohledem na článek 100 a přílohu V jednacího řádu,</w:t>
      </w:r>
    </w:p>
    <w:p w:rsidR="00A23DD5" w:rsidRPr="00D76592" w:rsidRDefault="00A23DD5" w:rsidP="00A23DD5">
      <w:pPr>
        <w:pStyle w:val="NormalHanging12a"/>
      </w:pPr>
      <w:r w:rsidRPr="00D76592">
        <w:t>–</w:t>
      </w:r>
      <w:r w:rsidRPr="00D76592">
        <w:tab/>
        <w:t>s ohledem na stanovisko Výboru pro životní prostředí, veřejné zdraví a bezpečnost potravin,</w:t>
      </w:r>
    </w:p>
    <w:p w:rsidR="00A23DD5" w:rsidRPr="00D76592" w:rsidRDefault="00A23DD5" w:rsidP="00A23DD5">
      <w:pPr>
        <w:pStyle w:val="NormalHanging12a"/>
      </w:pPr>
      <w:r w:rsidRPr="00D76592">
        <w:t>–</w:t>
      </w:r>
      <w:r w:rsidRPr="00D76592">
        <w:tab/>
        <w:t>s ohledem na zprávu Výboru pro rozpočtovou kontrolu (A9</w:t>
      </w:r>
      <w:r w:rsidRPr="00D76592">
        <w:noBreakHyphen/>
        <w:t>0133/2024),</w:t>
      </w:r>
    </w:p>
    <w:p w:rsidR="00A23DD5" w:rsidRPr="00D76592" w:rsidRDefault="00A23DD5" w:rsidP="00A23DD5">
      <w:pPr>
        <w:pStyle w:val="Normal12Hanging"/>
        <w:widowControl/>
        <w:rPr>
          <w:szCs w:val="24"/>
        </w:rPr>
      </w:pPr>
      <w:r w:rsidRPr="00D76592">
        <w:t>A.</w:t>
      </w:r>
      <w:r w:rsidRPr="00D76592">
        <w:tab/>
        <w:t>vzhledem k tomu, že konečný rozpočet Evropské agentury pro léčivé přípravky (dále jen „agentura“) za rozpočtový rok 2022 činil podle jejího výkazu příjmů a výdajů</w:t>
      </w:r>
      <w:r w:rsidRPr="00D76592">
        <w:rPr>
          <w:szCs w:val="24"/>
          <w:vertAlign w:val="superscript"/>
        </w:rPr>
        <w:footnoteReference w:id="11"/>
      </w:r>
      <w:r w:rsidRPr="00D76592">
        <w:t xml:space="preserve"> 421 815 000 EUR, což ve srovnání s rokem 2021 představuje navýšení o 11,23 %; vzhledem k tomu, že agentura je financována poplatky a že přibližně 88 % svých příjmů v roce 2022 získala z poplatků za hodnocení léčivých přípravků a dalších činností souvisejících s podnikáním a 12 % z rozpočtu Unie a různých příjmů;</w:t>
      </w:r>
    </w:p>
    <w:p w:rsidR="00A23DD5" w:rsidRPr="00D76592" w:rsidRDefault="00A23DD5" w:rsidP="00A23DD5">
      <w:pPr>
        <w:pStyle w:val="Normal12Hanging"/>
        <w:widowControl/>
        <w:rPr>
          <w:szCs w:val="24"/>
        </w:rPr>
      </w:pPr>
      <w:r w:rsidRPr="00D76592">
        <w:t>B.</w:t>
      </w:r>
      <w:r w:rsidRPr="00D76592">
        <w:tab/>
        <w:t>vzhledem k tomu, že Účetní dvůr ve své zprávě o roční účetní závěrce agentury za rozpočtový rok 2022 (dále jen „zpráva Účetního dvora“) uvedl, že získal přiměřenou jistotu, že účetní závěrka agentury je spolehlivá a že uskutečněné operace jsou legální a správné;</w:t>
      </w:r>
    </w:p>
    <w:p w:rsidR="00A23DD5" w:rsidRPr="00D76592" w:rsidRDefault="00A23DD5" w:rsidP="00A23DD5">
      <w:pPr>
        <w:pStyle w:val="Normal12Hanging"/>
        <w:rPr>
          <w:szCs w:val="24"/>
        </w:rPr>
      </w:pPr>
      <w:r w:rsidRPr="00D76592">
        <w:t>C.</w:t>
      </w:r>
      <w:r w:rsidRPr="00D76592">
        <w:tab/>
        <w:t>vzhledem k tomu, že pokud jde o oblast zadávání veřejných zakázek agentury, nebyly za rozpočtový rok 2022 hlášeny žádné problémy vyžadující nápravná opatření, ani žádná probíhající či nevyřešená nápravná opatření vyplývající z auditů a hodnocení z předchozích let;</w:t>
      </w:r>
    </w:p>
    <w:p w:rsidR="00A23DD5" w:rsidRPr="00D76592" w:rsidRDefault="00A23DD5" w:rsidP="00A23DD5">
      <w:pPr>
        <w:pStyle w:val="Normal12Hanging"/>
        <w:widowControl/>
        <w:rPr>
          <w:b/>
          <w:i/>
          <w:szCs w:val="24"/>
        </w:rPr>
      </w:pPr>
      <w:r w:rsidRPr="00D76592">
        <w:rPr>
          <w:b/>
          <w:i/>
        </w:rPr>
        <w:t>Rozpočtové a finanční řízení</w:t>
      </w:r>
    </w:p>
    <w:p w:rsidR="00A23DD5" w:rsidRPr="00D76592" w:rsidRDefault="00A23DD5" w:rsidP="00A23DD5">
      <w:pPr>
        <w:pStyle w:val="Normal12Hanging"/>
        <w:widowControl/>
      </w:pPr>
      <w:r w:rsidRPr="00D76592">
        <w:t>1.</w:t>
      </w:r>
      <w:r w:rsidRPr="00D76592">
        <w:tab/>
        <w:t>bere na vědomí, že výsledkem úsilí o monitorování rozpočtu během rozpočtového roku 2022 byla míra plnění prostředků na závazky na běžný rok 96,8 %, což ve srovnání s rokem 2021 znamená snížení o 0,42 %; vyjadřuje politování nad tím, že míra čerpání prostředků na platby v běžném roce činila 71,48 %, což ve srovnání s rokem 2021 představuje pokles o 0,88 %;</w:t>
      </w:r>
    </w:p>
    <w:p w:rsidR="00A23DD5" w:rsidRPr="00D76592" w:rsidRDefault="00A23DD5" w:rsidP="00A23DD5">
      <w:pPr>
        <w:pStyle w:val="Normal12Hanging"/>
        <w:widowControl/>
      </w:pPr>
      <w:r w:rsidRPr="00D76592">
        <w:t>2.</w:t>
      </w:r>
      <w:r w:rsidRPr="00D76592">
        <w:tab/>
        <w:t xml:space="preserve">poznamenává, že v případě jedné kontrolované platby ve výši 2 milionů EUR schválila agentura související rozpočtový závazek teprve poté, co byl přijat právní závazek; připomíná, že tento postup je v rozporu s čl. 73 odst. 2 </w:t>
      </w:r>
      <w:proofErr w:type="gramStart"/>
      <w:r w:rsidRPr="00D76592">
        <w:t>finančního</w:t>
      </w:r>
      <w:proofErr w:type="gramEnd"/>
      <w:r w:rsidRPr="00D76592">
        <w:t xml:space="preserve"> nařízení agentury; vyzývá agenturu, aby neprodleně přijala opatření, která zajistí, že všechny finanční transakce budou v souladu s rámcovým finančním nařízením agentury;</w:t>
      </w:r>
    </w:p>
    <w:p w:rsidR="00A23DD5" w:rsidRPr="00D76592" w:rsidRDefault="00A23DD5" w:rsidP="00A23DD5">
      <w:pPr>
        <w:pStyle w:val="NormalHanging12a"/>
      </w:pPr>
      <w:r w:rsidRPr="00D76592">
        <w:t>3.</w:t>
      </w:r>
      <w:r w:rsidRPr="00D76592">
        <w:tab/>
        <w:t xml:space="preserve">připomíná, že potenciální závazky vyplývající z pronájmu bývalých kancelářských prostor agentury v Londýně do roku 2039 i nadále představují problém; se znepokojením konstatuje, že k 31. prosinci 2022 činila celková odhadovaná výše dlužného nájemného, souvisejících poplatků za služby a pojištění pronajímateli, které má agentura uhradit do konce doby nájmu, 366 milionů EUR, což je přibližně 23 milionů EUR ročně; konstatuje, že v červenci 2019 uzavřela agentura dohodu se svým pronajímatelem a za podmínek, které jsou v souladu s podmínkami hlavní nájemní smlouvy, postoupila své bývalé prostory s účinností od července 2019 do podnájmu; bere na vědomí, že podnájemní smlouva trvá do června 2039, kdy skončí nájemní smlouva agentury, a že vzhledem k tomu, že agentura je stále smluvní stranou hlavní nájemní smlouvy, může být v případě, že podnájemce nebude plnit své povinnosti, odpovědná za celou dlužnou částku vyplývající ze smluvních závazků z hlavní nájemní smlouvy; připomíná další skutečnost, na kterou upozorňuje účetní závěrka agentury, a to nejistotu týkající se finanční výkonnosti nejvyšší mateřské společnosti podnájemce v důsledku zhoršení jejího úvěrového hodnocení a nedávné restrukturalizace dluhu, což vedlo k zastavení jejích plateb; bere na vědomí, že agentura a její správní rada jsou znepokojeny tím, že agentura místo toho, aby se plně soustředila na své poslání chránit a podporovat veřejné zdraví, musí nyní spravovat také komerční majetek ve třetí zemi, což odvádí její lidské a finanční zdroje od odpovědnosti týkající se občanů Unie; je si vědom toho, že dne 11. ledna 2024 proběhla mezi rozpočtovým výborem Evropského parlamentu a agenturou výměna názorů na možnou změnu smlouvy o podnájmu bývalých prostor agentury v Londýně; trvá na tom, že je třeba přijmout politické rozhodnutí s cílem zajistit dlouhodobé řešení této otázky; trvá na tom, že i když </w:t>
      </w:r>
      <w:proofErr w:type="gramStart"/>
      <w:r w:rsidRPr="00D76592">
        <w:t>je</w:t>
      </w:r>
      <w:proofErr w:type="gramEnd"/>
      <w:r w:rsidRPr="00D76592">
        <w:t xml:space="preserve"> převládá snaha o dlouhodobé řešení, je třeba nalézt a zavést krátkodobé opatření k řešení a omezení tohoto problému vzhledem k tomu, že podnájemce i nadále neplatí nájemné;</w:t>
      </w:r>
    </w:p>
    <w:p w:rsidR="00A23DD5" w:rsidRPr="00D76592" w:rsidRDefault="00A23DD5" w:rsidP="00A23DD5">
      <w:pPr>
        <w:pStyle w:val="Normal12Hanging"/>
        <w:widowControl/>
        <w:rPr>
          <w:b/>
          <w:i/>
          <w:szCs w:val="24"/>
        </w:rPr>
      </w:pPr>
      <w:r w:rsidRPr="00D76592">
        <w:rPr>
          <w:b/>
          <w:i/>
        </w:rPr>
        <w:t>Výkonnost</w:t>
      </w:r>
    </w:p>
    <w:p w:rsidR="00A23DD5" w:rsidRPr="00D76592" w:rsidRDefault="00A23DD5" w:rsidP="00A23DD5">
      <w:pPr>
        <w:pStyle w:val="Normal12Hanging"/>
        <w:widowControl/>
        <w:rPr>
          <w:szCs w:val="24"/>
        </w:rPr>
      </w:pPr>
      <w:r w:rsidRPr="00D76592">
        <w:t>4.</w:t>
      </w:r>
      <w:r w:rsidRPr="00D76592">
        <w:tab/>
        <w:t>bere na vědomí, že agentura v roce 2022 podala zprávu o plnění 41 ukazatelů výkonnosti a míra plnění se odhaduje na 92,6 %; bere na vědomí, že agentura v roce 2022 zúročila své postavení předsedy Mezinárodní koalice regulačních orgánů pro léčivé přípravky (ICMRA) k dosažení pokroku v úsilí o harmonizaci mezinárodních regulačních systémů; konstatuje, že agentura rovněž provedla tři významné právní předpisy  (nařízení (EU) č. 536/2014</w:t>
      </w:r>
      <w:r w:rsidRPr="00D76592">
        <w:rPr>
          <w:rStyle w:val="FootnoteReference"/>
          <w:szCs w:val="24"/>
        </w:rPr>
        <w:footnoteReference w:id="12"/>
      </w:r>
      <w:r w:rsidRPr="00D76592">
        <w:t>, nařízení (EU) 2019/6</w:t>
      </w:r>
      <w:r w:rsidRPr="00D76592">
        <w:rPr>
          <w:rStyle w:val="FootnoteReference"/>
          <w:szCs w:val="24"/>
        </w:rPr>
        <w:footnoteReference w:id="13"/>
      </w:r>
      <w:r w:rsidRPr="00D76592">
        <w:t xml:space="preserve"> a rozšíření mandátu v nařízení (EU) 2022/123</w:t>
      </w:r>
      <w:r w:rsidRPr="00D76592">
        <w:rPr>
          <w:rStyle w:val="FootnoteReference"/>
          <w:szCs w:val="24"/>
        </w:rPr>
        <w:footnoteReference w:id="14"/>
      </w:r>
      <w:r w:rsidRPr="00D76592">
        <w:t>) a dosáhla pokroku v oblasti správy údajů;</w:t>
      </w:r>
    </w:p>
    <w:p w:rsidR="00A23DD5" w:rsidRPr="00D76592" w:rsidRDefault="00A23DD5" w:rsidP="00A23DD5">
      <w:pPr>
        <w:pStyle w:val="Normal12Hanging"/>
        <w:widowControl/>
        <w:rPr>
          <w:szCs w:val="24"/>
        </w:rPr>
      </w:pPr>
      <w:r w:rsidRPr="00D76592">
        <w:t>5.</w:t>
      </w:r>
      <w:r w:rsidRPr="00D76592">
        <w:tab/>
        <w:t>vítá skutečnost, že dne 1. března 2022 byl mandát agentury rozšířen vstupem v platnost nařízení (EU) 2022/123, které posiluje její úlohu při připravenosti na krize a krizovém řízení v oblasti léčivých přípravků a zdravotnických prostředků; konstatuje, že nařízení agentuře ukládá povinnost zřídit nové orgány, jako je Řídící skupina pro nedostatek léčivých přípravků a Pracovní skupina pro mimořádné situace, a kromě toho převzala řízení skupin odborníků pro zdravotnické prostředky, které byly na agenturu převedeny ze Společného výzkumného střediska Komise; dále konstatuje, že agentura je v souladu s nařízením (EU) 2022/123 odpovědná za monitorování událostí, které mohou vést ke krizi, podávání zpráv a koordinaci reakcí Unie na nedostatek kritických léčivých přípravků, zdravotnických prostředků a diagnostických prostředků in vitro během krize;</w:t>
      </w:r>
    </w:p>
    <w:p w:rsidR="00A23DD5" w:rsidRPr="00D76592" w:rsidRDefault="00A23DD5" w:rsidP="00A23DD5">
      <w:pPr>
        <w:pStyle w:val="Normal12Hanging"/>
        <w:widowControl/>
        <w:rPr>
          <w:szCs w:val="24"/>
        </w:rPr>
      </w:pPr>
      <w:r w:rsidRPr="00D76592">
        <w:t>6.</w:t>
      </w:r>
      <w:r w:rsidRPr="00D76592">
        <w:tab/>
        <w:t xml:space="preserve">zdůrazňuje skutečnost, že mezi další klíčové úspěchy v roce 2022 patří schválení dvou nových očkovacích látek a dvou léčebných postupů pro onemocnění COVID-19, Pracovní skupina pro mimořádné situace doporučila dočasné používání očkovací látky </w:t>
      </w:r>
      <w:proofErr w:type="spellStart"/>
      <w:r w:rsidRPr="00D76592">
        <w:t>Jynneos</w:t>
      </w:r>
      <w:proofErr w:type="spellEnd"/>
      <w:r w:rsidRPr="00D76592">
        <w:t xml:space="preserve"> proti opičím neštovicím schválené v USA, aby podpořila očkovací úsilí vnitrostátních orgánů EU, spolu s rozšířením používání přípravku </w:t>
      </w:r>
      <w:proofErr w:type="spellStart"/>
      <w:r w:rsidRPr="00D76592">
        <w:t>Imvanex</w:t>
      </w:r>
      <w:proofErr w:type="spellEnd"/>
      <w:r w:rsidRPr="00D76592">
        <w:t xml:space="preserve"> za účelem poskytnutí ochrany před opičími neštovicemi i pro dospělé; bere na vědomí, že agentura spolupracovala také s centrem medicíny Erasmovy University v Rotterdamu na zřízení koordinačního centra pro síť pro analýzu dat a dotazování v reálném světě (DARWIN EU®), které slouží jako průzkumná platforma pro navrhovaný evropský prostor pro zdravotní data (EHDS) a napojení na služby EHDS pro použití v oblasti regulace léčivých přípravků; dále poznamenává, že provedení rámce </w:t>
      </w:r>
      <w:proofErr w:type="spellStart"/>
      <w:r w:rsidRPr="00D76592">
        <w:t>Scaled</w:t>
      </w:r>
      <w:proofErr w:type="spellEnd"/>
      <w:r w:rsidRPr="00D76592">
        <w:t xml:space="preserve"> </w:t>
      </w:r>
      <w:proofErr w:type="spellStart"/>
      <w:r w:rsidRPr="00D76592">
        <w:t>Agile</w:t>
      </w:r>
      <w:proofErr w:type="spellEnd"/>
      <w:r w:rsidRPr="00D76592">
        <w:t xml:space="preserve"> </w:t>
      </w:r>
      <w:proofErr w:type="gramStart"/>
      <w:r w:rsidRPr="00D76592">
        <w:t>zahrnovalo</w:t>
      </w:r>
      <w:proofErr w:type="gramEnd"/>
      <w:r w:rsidRPr="00D76592">
        <w:t xml:space="preserve"> přizpůsobení portfolia IT agentury způsobu fungování rámce </w:t>
      </w:r>
      <w:proofErr w:type="spellStart"/>
      <w:proofErr w:type="gramStart"/>
      <w:r w:rsidRPr="00D76592">
        <w:t>Agile</w:t>
      </w:r>
      <w:proofErr w:type="spellEnd"/>
      <w:proofErr w:type="gramEnd"/>
      <w:r w:rsidRPr="00D76592">
        <w:t>, vytvoření hodnotových toků v souladu s jejím hlavním posláním a zavedení produktových týmů v rámci těchto toků; vyzývá agenturu, aby se z těchto zkušeností poučila a v budoucnu využívala osvědčené postupy, které z nich vyplynuly;</w:t>
      </w:r>
    </w:p>
    <w:p w:rsidR="00A23DD5" w:rsidRPr="00D76592" w:rsidRDefault="00A23DD5" w:rsidP="00A23DD5">
      <w:pPr>
        <w:pStyle w:val="NormalHanging12a"/>
      </w:pPr>
      <w:r w:rsidRPr="00D76592">
        <w:t>7.</w:t>
      </w:r>
      <w:r w:rsidRPr="00D76592">
        <w:tab/>
        <w:t>připomíná klíčovou úlohu agentury při ochraně a upevňování veřejného zdraví lidí a zvířat prostřednictvím posuzování a kontroly léčiv pro humánní a veterinární použití a při ochraně veřejného zdraví zvyšováním povědomí o klíčových otázkách včetně antimikrobiální rezistence a prevence přenosných nemocí prostřednictvím očkování;</w:t>
      </w:r>
    </w:p>
    <w:p w:rsidR="00A23DD5" w:rsidRPr="00D76592" w:rsidRDefault="00A23DD5" w:rsidP="00A23DD5">
      <w:pPr>
        <w:pStyle w:val="NormalHanging12a"/>
      </w:pPr>
      <w:r w:rsidRPr="00D76592">
        <w:t>8.</w:t>
      </w:r>
      <w:r w:rsidRPr="00D76592">
        <w:tab/>
        <w:t>konstatuje však, že nedostatečné zdroje agentury mohou oslabit její schopnost plnit její poslání, a vyzývá Komisi a Radu, aby vyčlenily odpovídající finanční prostředky Unie s cílem zajistit, aby agentura měla dostatek zdrojů na provádění všech svých činností týkajících se široké škály regulačních mechanismů, včetně usnadňování vývoje léčivých přípravků a přístupu k nim, podpory výzkumu a inovací a její odpovědnosti za monitorování a zmírňování potenciálního nebo skutečného nedostatku kritických léčivých přípravků;</w:t>
      </w:r>
    </w:p>
    <w:p w:rsidR="00A23DD5" w:rsidRPr="00D76592" w:rsidRDefault="00A23DD5" w:rsidP="00A23DD5">
      <w:pPr>
        <w:pStyle w:val="Normal12Hanging"/>
      </w:pPr>
      <w:r w:rsidRPr="00D76592">
        <w:t>9.</w:t>
      </w:r>
      <w:r w:rsidRPr="00D76592">
        <w:tab/>
        <w:t>bere na vědomí, že rok 2022 se stále vyznačoval významnou úrovní činností souvisejících s onemocněním COVID-19, přičemž došlo k posunu od činností souvisejících s předběžnými a prvními registracemi k poregistračním činnostem;</w:t>
      </w:r>
    </w:p>
    <w:p w:rsidR="00A23DD5" w:rsidRPr="00D76592" w:rsidRDefault="00A23DD5" w:rsidP="00A23DD5">
      <w:pPr>
        <w:pStyle w:val="NormalHanging12a"/>
      </w:pPr>
      <w:r w:rsidRPr="00D76592">
        <w:t>10.</w:t>
      </w:r>
      <w:r w:rsidRPr="00D76592">
        <w:tab/>
        <w:t>vítá skutečnost, že 52 % žadatelů, jejichž léčivému přípravku bylo uděleno kladné stanovisko, obdrželo od agentury vědecké poradenství nebo pomoc s protokolem během fáze vývoje jejich přípravku, přičemž u žadatelů, jejichž léčivé přípravky obsahovaly nové účinné látky, činil tento podíl 78 %; domnívá se, že včasné poradenství může značně zefektivnit schvalovací proces a vést k vývoji bezpečných a účinných léčivých přípravků;</w:t>
      </w:r>
    </w:p>
    <w:p w:rsidR="00A23DD5" w:rsidRPr="00D76592" w:rsidRDefault="00A23DD5" w:rsidP="00A23DD5">
      <w:pPr>
        <w:pStyle w:val="Normal12Hanging"/>
        <w:widowControl/>
        <w:rPr>
          <w:b/>
          <w:i/>
          <w:szCs w:val="24"/>
        </w:rPr>
      </w:pPr>
      <w:r w:rsidRPr="00D76592">
        <w:rPr>
          <w:b/>
          <w:i/>
        </w:rPr>
        <w:t>Účinnost a přínosy</w:t>
      </w:r>
    </w:p>
    <w:p w:rsidR="00A23DD5" w:rsidRPr="00D76592" w:rsidRDefault="00A23DD5" w:rsidP="00A23DD5">
      <w:pPr>
        <w:pStyle w:val="Normal12Hanging"/>
        <w:widowControl/>
        <w:rPr>
          <w:szCs w:val="24"/>
        </w:rPr>
      </w:pPr>
      <w:r w:rsidRPr="00D76592">
        <w:t>11.</w:t>
      </w:r>
      <w:r w:rsidRPr="00D76592">
        <w:tab/>
        <w:t>je si vědom toho, že v roce 2022 agentura pokračovala v provádění své strategie s cílem dosáhnout úspor z důvodu vyšší efektivity se zaměřením na zlepšování procesů a na digitalizaci;</w:t>
      </w:r>
    </w:p>
    <w:p w:rsidR="00A23DD5" w:rsidRPr="00D76592" w:rsidRDefault="00A23DD5" w:rsidP="00A23DD5">
      <w:pPr>
        <w:pStyle w:val="Normal12Hanging"/>
        <w:widowControl/>
        <w:rPr>
          <w:szCs w:val="24"/>
        </w:rPr>
      </w:pPr>
      <w:r w:rsidRPr="00D76592">
        <w:t>12.</w:t>
      </w:r>
      <w:r w:rsidRPr="00D76592">
        <w:tab/>
        <w:t>bere na vědomí, že agentura prostřednictvím své laboratoře pro digitální inovace (</w:t>
      </w:r>
      <w:proofErr w:type="spellStart"/>
      <w:r w:rsidRPr="00D76592">
        <w:t>DigiLab</w:t>
      </w:r>
      <w:proofErr w:type="spellEnd"/>
      <w:r w:rsidRPr="00D76592">
        <w:t xml:space="preserve">) zkoumala možnosti automatizace administrativní práce; konstatuje, že laboratoř </w:t>
      </w:r>
      <w:proofErr w:type="spellStart"/>
      <w:r w:rsidRPr="00D76592">
        <w:t>DigiLab</w:t>
      </w:r>
      <w:proofErr w:type="spellEnd"/>
      <w:r w:rsidRPr="00D76592">
        <w:t xml:space="preserve"> zahájila ve spolupráci s analytickým centrem excelence 14 projektů automatizace, jimž byla přiznána priorita a byly schváleny týmem pro urychlení digitalizace Digital </w:t>
      </w:r>
      <w:proofErr w:type="spellStart"/>
      <w:r w:rsidRPr="00D76592">
        <w:t>Acceleration</w:t>
      </w:r>
      <w:proofErr w:type="spellEnd"/>
      <w:r w:rsidRPr="00D76592">
        <w:t xml:space="preserve"> </w:t>
      </w:r>
      <w:proofErr w:type="spellStart"/>
      <w:r w:rsidRPr="00D76592">
        <w:t>Leadership</w:t>
      </w:r>
      <w:proofErr w:type="spellEnd"/>
      <w:r w:rsidRPr="00D76592">
        <w:t xml:space="preserve"> Team, včetně automatizace kategorizace e-mailů, vytváření seznamu klinických hraničních koncentrací antibiotik a pilotní databáze seznamu referenčních dat EU v zájmu úspor z důvodu vyšší efektivity při údržbě internetových stránek agentury a zveřejňování dokumentů;  bere na vědomí, že laboratoř pro digitální inovace (</w:t>
      </w:r>
      <w:proofErr w:type="spellStart"/>
      <w:r w:rsidRPr="00D76592">
        <w:t>DigiLab</w:t>
      </w:r>
      <w:proofErr w:type="spellEnd"/>
      <w:r w:rsidRPr="00D76592">
        <w:t>) rovněž spolupracovala s analytickým centrem excelence na pilotním projektu pěti potenciálních řešení obchodních problémů;</w:t>
      </w:r>
    </w:p>
    <w:p w:rsidR="00A23DD5" w:rsidRPr="00D76592" w:rsidRDefault="00A23DD5" w:rsidP="00A23DD5">
      <w:pPr>
        <w:pStyle w:val="Normal12Hanging"/>
        <w:widowControl/>
        <w:rPr>
          <w:szCs w:val="24"/>
        </w:rPr>
      </w:pPr>
      <w:r w:rsidRPr="00D76592">
        <w:t>13.</w:t>
      </w:r>
      <w:r w:rsidRPr="00D76592">
        <w:tab/>
        <w:t xml:space="preserve">vítá skutečnost, že agentura v rámci svého úsilí o digitalizaci v roce 2022 dokončila integraci inspekcí správné klinické praxe a správné </w:t>
      </w:r>
      <w:proofErr w:type="spellStart"/>
      <w:r w:rsidRPr="00D76592">
        <w:t>farmakovigilanční</w:t>
      </w:r>
      <w:proofErr w:type="spellEnd"/>
      <w:r w:rsidRPr="00D76592">
        <w:t xml:space="preserve"> praxe do svého informačního portálu IRIS, čímž zvýšila efektivitu, transparentnost a spolupráci v souladu s programem digitální transformace agentury, jehož cílem je dohlížet na inspekce humánních a veterinárních léčivých přípravků v rámci centralizovaného postupu nebo procesu postoupení na žádost Výboru pro humánní léčivé přípravky nebo Výboru pro veterinární léčivé přípravky; vyzývá agenturu, aby hledala další interní postupy, které by bylo možné zefektivnit prostřednictvím digitalizace;</w:t>
      </w:r>
    </w:p>
    <w:p w:rsidR="00A23DD5" w:rsidRPr="00D76592" w:rsidRDefault="00A23DD5" w:rsidP="00A23DD5">
      <w:pPr>
        <w:pStyle w:val="Normal12Hanging"/>
        <w:widowControl/>
        <w:rPr>
          <w:szCs w:val="24"/>
        </w:rPr>
      </w:pPr>
      <w:r w:rsidRPr="00D76592">
        <w:t>14.</w:t>
      </w:r>
      <w:r w:rsidRPr="00D76592">
        <w:tab/>
        <w:t xml:space="preserve">bere na vědomí, že v rámci dimenze zlepšování procesů se agentura v průběhu roku 2022 </w:t>
      </w:r>
      <w:proofErr w:type="gramStart"/>
      <w:r w:rsidRPr="00D76592">
        <w:t>podílela</w:t>
      </w:r>
      <w:proofErr w:type="gramEnd"/>
      <w:r w:rsidRPr="00D76592">
        <w:t xml:space="preserve"> na transformaci založené na metodologii </w:t>
      </w:r>
      <w:proofErr w:type="spellStart"/>
      <w:proofErr w:type="gramStart"/>
      <w:r w:rsidRPr="00D76592">
        <w:t>Agile</w:t>
      </w:r>
      <w:proofErr w:type="spellEnd"/>
      <w:proofErr w:type="gramEnd"/>
      <w:r w:rsidRPr="00D76592">
        <w:t xml:space="preserve"> s cílem zajistit větší transparentnost, snížení administrativní zátěže a jasnější odpovědnost prostřednictvím nového modelu řízení a způsobu práce v oblasti správy informací / informačních technologií;</w:t>
      </w:r>
    </w:p>
    <w:p w:rsidR="00A23DD5" w:rsidRPr="00D76592" w:rsidRDefault="00A23DD5" w:rsidP="00A23DD5">
      <w:pPr>
        <w:pStyle w:val="Normal12Hanging"/>
        <w:widowControl/>
        <w:rPr>
          <w:szCs w:val="24"/>
        </w:rPr>
      </w:pPr>
      <w:r w:rsidRPr="00D76592">
        <w:t>15.</w:t>
      </w:r>
      <w:r w:rsidRPr="00D76592">
        <w:tab/>
        <w:t>poukazuje na to, že v roce 2022 agentura postupně obnovila činnost ve své budově a zároveň zachovala flexibilní uspořádání práce, jež umožňuje odvádět až 60 % práce na dálku měsíčně; dočasná pravidla pro služební cesty upřednostňovala virtuální účast na konferencích, zasedáních a školeních, přičemž fyzická účast byla zvažována jako přidaná strategická hodnota, a bylo přijato rozhodnutí o střídání virtuálního a fyzického prostředí pro zasedání vědeckého výboru a pracovních skupin s cílem řídit kapacitu na místě a přispět ke kontrole uhlíkové stopy, což vedlo k nižším emisím CO2 ve srovnání s roky před pandemií, a to i přes obnovení fyzických činností;</w:t>
      </w:r>
    </w:p>
    <w:p w:rsidR="00A23DD5" w:rsidRPr="00D76592" w:rsidRDefault="00A23DD5" w:rsidP="00A23DD5">
      <w:pPr>
        <w:pStyle w:val="NormalHanging12a"/>
      </w:pPr>
      <w:r w:rsidRPr="00D76592">
        <w:t>16.</w:t>
      </w:r>
      <w:r w:rsidRPr="00D76592">
        <w:tab/>
        <w:t>připomíná, že je důležité posílit digitalizaci agentury, pokud jde o její vnitřní chod a řízení i o rychlejší digitalizaci postupů; zdůrazňuje, že je třeba, aby byla agentura v tomto ohledu nadále proaktivní, aby se zabránilo vzniku digitální propasti mezi agenturami; upozorňuje však na to, že je třeba přijmout veškerá nezbytná bezpečnostní opatření s cílem předejít případným rizikům ohrožujícím on-line bezpečnost zpracovávaných informací; zdůrazňuje, že je třeba zintenzivnit opatření proti kybernetickým útokům nebo pokusům o infiltraci, zejména proti těm, které pocházejí z Ruska nebo Číny;</w:t>
      </w:r>
    </w:p>
    <w:p w:rsidR="00A23DD5" w:rsidRPr="00D76592" w:rsidRDefault="00A23DD5" w:rsidP="00A23DD5">
      <w:pPr>
        <w:pStyle w:val="NormalHanging12a"/>
      </w:pPr>
      <w:r w:rsidRPr="00D76592">
        <w:t>17.</w:t>
      </w:r>
      <w:r w:rsidRPr="00D76592">
        <w:tab/>
        <w:t xml:space="preserve">s uspokojením konstatuje, že agentura spolupracuje s dalšími agenturami, zejména s Evropským střediskem pro prevenci a kontrolu nemocí a s Evropským úřadem pro bezpečnost potravin, a to jak v oblasti evropského informačního portálu o očkování, s cílem sledovat bezpečnost očkovacích látek a hlásit vedlejší účinky, tak v oblasti spotřeby </w:t>
      </w:r>
      <w:proofErr w:type="spellStart"/>
      <w:r w:rsidRPr="00D76592">
        <w:t>antimikrobik</w:t>
      </w:r>
      <w:proofErr w:type="spellEnd"/>
      <w:r w:rsidRPr="00D76592">
        <w:t xml:space="preserve"> a antimikrobiální rezistence;</w:t>
      </w:r>
    </w:p>
    <w:p w:rsidR="00A23DD5" w:rsidRPr="00D76592" w:rsidRDefault="00A23DD5" w:rsidP="00A23DD5">
      <w:pPr>
        <w:pStyle w:val="NormalHanging12a"/>
      </w:pPr>
      <w:r w:rsidRPr="00D76592">
        <w:t>18.</w:t>
      </w:r>
      <w:r w:rsidRPr="00D76592">
        <w:tab/>
        <w:t>vyzývá agenturu, aby i nadále podporovala spolupráci s dalšími agenturami Unie a mezinárodními organizacemi a rozvíjela dialog se zúčastněnými stranami a občany;</w:t>
      </w:r>
    </w:p>
    <w:p w:rsidR="00A23DD5" w:rsidRPr="00D76592" w:rsidRDefault="00A23DD5" w:rsidP="00A23DD5">
      <w:pPr>
        <w:pStyle w:val="Normal12Hanging"/>
        <w:widowControl/>
        <w:rPr>
          <w:b/>
          <w:i/>
          <w:szCs w:val="24"/>
        </w:rPr>
      </w:pPr>
      <w:r w:rsidRPr="00D76592">
        <w:rPr>
          <w:b/>
          <w:i/>
        </w:rPr>
        <w:t>Personální politika</w:t>
      </w:r>
    </w:p>
    <w:p w:rsidR="00A23DD5" w:rsidRPr="00D76592" w:rsidRDefault="00A23DD5" w:rsidP="00A23DD5">
      <w:pPr>
        <w:pStyle w:val="Normal12Hanging"/>
        <w:widowControl/>
        <w:rPr>
          <w:szCs w:val="24"/>
        </w:rPr>
      </w:pPr>
      <w:r w:rsidRPr="00D76592">
        <w:t>19.</w:t>
      </w:r>
      <w:r w:rsidRPr="00D76592">
        <w:tab/>
        <w:t>bere na vědomí, že ke dni 31. prosince 2022 byl plán pracovních míst proveden z 99,39 %, přičemž z 662 dočasných zaměstnanců schválených na základě rozpočtu Unie (ve srovnání s 657 schválenými pracovními místy v roce 2021) jich bylo jmenováno 658; bere na vědomí, že v roce 2022 pro agenturu dále pracovalo 192 smluvních zaměstnanců, 25 vyslaných národních odborníků a 114 dočasných zaměstnanců;</w:t>
      </w:r>
    </w:p>
    <w:p w:rsidR="00A23DD5" w:rsidRPr="00D76592" w:rsidRDefault="00A23DD5" w:rsidP="00A23DD5">
      <w:pPr>
        <w:pStyle w:val="NormalHanging12a"/>
      </w:pPr>
      <w:r w:rsidRPr="00D76592">
        <w:t>20.</w:t>
      </w:r>
      <w:r w:rsidRPr="00D76592">
        <w:tab/>
        <w:t xml:space="preserve">vyjadřuje politování nad genderovou nerovnováhou ve správní radě agentury, v níž je </w:t>
      </w:r>
      <w:proofErr w:type="gramStart"/>
      <w:r w:rsidRPr="00D76592">
        <w:t>ze</w:t>
      </w:r>
      <w:proofErr w:type="gramEnd"/>
      <w:r w:rsidRPr="00D76592">
        <w:t> 67 členů 36 mužů (54 %), zatímco z celkového počtu 865 zaměstnanců je 568 žen (66 %); dále vyjadřuje politování nad tím, že z 27 členů vrcholného vedení je 17 mužů (63 %); rozhodně se domnívá, že je třeba rychleji zlepšovat genderovou vyváženost členů vrcholného a středního managementu agentury a administrativních pracovníků;</w:t>
      </w:r>
    </w:p>
    <w:p w:rsidR="00A23DD5" w:rsidRPr="00D76592" w:rsidRDefault="00A23DD5" w:rsidP="00A23DD5">
      <w:pPr>
        <w:pStyle w:val="NormalHanging12a"/>
      </w:pPr>
      <w:r w:rsidRPr="00D76592">
        <w:t>21.</w:t>
      </w:r>
      <w:r w:rsidRPr="00D76592">
        <w:tab/>
        <w:t>vyjadřuje znepokojení nad geografickou nevyvážeností vrcholného a středního managementu agentury, která má pouze jediného vedoucího pracovníka ze zemí střední a východní Evropy; trvá na tom, že je třeba provést zlepšení; žádá agenturu, aby orgánu příslušnému k udělení absolutoria podala v této souvislosti vysvětlení;</w:t>
      </w:r>
    </w:p>
    <w:p w:rsidR="00A23DD5" w:rsidRPr="00D76592" w:rsidRDefault="00A23DD5" w:rsidP="00A23DD5">
      <w:pPr>
        <w:pStyle w:val="NormalHanging12a"/>
      </w:pPr>
      <w:r w:rsidRPr="00D76592">
        <w:t>22.</w:t>
      </w:r>
      <w:r w:rsidRPr="00D76592">
        <w:tab/>
        <w:t>připomíná, že je důležité zajistit genderovou rovnováhu a uznává v této souvislosti, že agentura uplatňuje různé iniciativy k řešení genderové nerovnováhy ve vrcholném vedení, včetně programu rozvoje vedoucích pracovníků, možností interní mobility a vytváření komunit vedoucích pracovnic s cílem povzbudit a podpořit ženy v těchto funkcích; bere na vědomí, že vzniká portfolio vedoucích kanceláří/služeb / pracovních oblastí, v němž postupně narůstá počet žen na vedoucích pozicích; dále konstatuje, že odchod klíčových vedoucích pracovníků mužského pohlaví do důchodu poskytuje příležitosti pro nábor žen, jež doplňuje vylepšená strategie vytváření „značky zaměstnavatele“, cílená propagační podpora náboru, zřízení pracovní skupiny pro diverzitu a inkluzi a schválení charty rozmanitosti a začleňování v březnu 2022;</w:t>
      </w:r>
    </w:p>
    <w:p w:rsidR="00A23DD5" w:rsidRPr="00D76592" w:rsidRDefault="00A23DD5" w:rsidP="00A23DD5">
      <w:pPr>
        <w:pStyle w:val="NormalHanging12a"/>
      </w:pPr>
      <w:r w:rsidRPr="00D76592">
        <w:t>23.</w:t>
      </w:r>
      <w:r w:rsidRPr="00D76592">
        <w:tab/>
        <w:t>bere na vědomí, že vykázané přesčasy za rok 2022 ve výši 72 463 hodin byly o 30 % nižší ve srovnání se 102 912 hodinami vykázanými v roce 2021; dále bere na vědomí, že průměrná míra přesčasů v roce 2022 činila 4,3 % ve srovnání s 6,3 % vykázanými v roce 2021, což se blíží průměru 4 % zaznamenanému v období 2016–2019; zdůrazňuje význam dobré rovnováhy mezi pracovním a soukromým životem, pružné pracovní doby, práce na dálku a práva odpojit se pro zlepšení životních podmínek zaměstnanců;</w:t>
      </w:r>
    </w:p>
    <w:p w:rsidR="00A23DD5" w:rsidRPr="00D76592" w:rsidRDefault="00A23DD5" w:rsidP="00A23DD5">
      <w:pPr>
        <w:widowControl/>
        <w:spacing w:after="240"/>
        <w:ind w:left="567" w:hanging="567"/>
        <w:rPr>
          <w:szCs w:val="24"/>
        </w:rPr>
      </w:pPr>
      <w:r w:rsidRPr="00D76592">
        <w:t>24.</w:t>
      </w:r>
      <w:r w:rsidRPr="00D76592">
        <w:tab/>
        <w:t>vítá skutečnost, že agentura v roce 2022 provedla komplexní průzkum pracovních podmínek a výsledná doporučení byla začleněna do strategie agentury v oblasti lidských zdrojů na období 2023–2025;</w:t>
      </w:r>
    </w:p>
    <w:p w:rsidR="00A23DD5" w:rsidRPr="00D76592" w:rsidRDefault="00A23DD5" w:rsidP="00A23DD5">
      <w:pPr>
        <w:pStyle w:val="NormalHanging12a"/>
      </w:pPr>
      <w:r w:rsidRPr="00D76592">
        <w:t>25.</w:t>
      </w:r>
      <w:r w:rsidRPr="00D76592">
        <w:tab/>
        <w:t xml:space="preserve">bere na vědomí, že agentura uplatňuje politiku na ochranu lidské důstojnosti a k předcházení psychickému a sexuálnímu obtěžování a že je součástí </w:t>
      </w:r>
      <w:proofErr w:type="spellStart"/>
      <w:r w:rsidRPr="00D76592">
        <w:t>meziagenturní</w:t>
      </w:r>
      <w:proofErr w:type="spellEnd"/>
      <w:r w:rsidRPr="00D76592">
        <w:t xml:space="preserve"> pracovní skupiny důvěrných poradců; se zájmem očekává jejich zprávu a doporučení; konstatuje, že v roce 2022 nebyly hlášeny žádné případy obtěžování, a vybízí agenturu, aby pokračovala v práci na předcházení těmto případům i v budoucnu a rozvíjela ji;</w:t>
      </w:r>
    </w:p>
    <w:p w:rsidR="00A23DD5" w:rsidRPr="00D76592" w:rsidRDefault="00A23DD5" w:rsidP="00A23DD5">
      <w:pPr>
        <w:pStyle w:val="NormalHanging12a"/>
        <w:rPr>
          <w:b/>
          <w:i/>
        </w:rPr>
      </w:pPr>
      <w:r w:rsidRPr="00D76592">
        <w:rPr>
          <w:b/>
          <w:i/>
        </w:rPr>
        <w:t>Prevence a řešení střetů zájmů a transparentnost</w:t>
      </w:r>
    </w:p>
    <w:p w:rsidR="00A23DD5" w:rsidRPr="00D76592" w:rsidRDefault="00A23DD5" w:rsidP="00A23DD5">
      <w:pPr>
        <w:pStyle w:val="NormalHanging12a"/>
      </w:pPr>
      <w:r w:rsidRPr="00D76592">
        <w:t>26.</w:t>
      </w:r>
      <w:r w:rsidRPr="00D76592">
        <w:tab/>
        <w:t>bere na vědomí, že v zájmu zachování nestrannosti a objektivity svých činností agentura pravidelně upravuje rozsah politik a prováděcí postupy s ohledem na vznikající rizika vyplývající z nových činností nebo interakcí s novými kategoriemi zúčastněných stran; bere na vědomí, že v roce 2022 byla v důsledku nových úkolů agentury v oblasti zdravotnických prostředků, zdravotnických prostředků in vitro a úkolů v důsledku rozšířeného mandátu agentury revidována politika týkající se konkurenčních zájmů členů správní rady, politika týkající se konkurenčních zájmů odborníků a prováděcí pravidla pro nakládání s deklarovanými zájmy zaměstnanců a uchazečů před přijetím do funkce;</w:t>
      </w:r>
    </w:p>
    <w:p w:rsidR="00A23DD5" w:rsidRPr="00D76592" w:rsidRDefault="00A23DD5" w:rsidP="00A23DD5">
      <w:pPr>
        <w:pStyle w:val="NormalHanging12a"/>
      </w:pPr>
      <w:r w:rsidRPr="00D76592">
        <w:t>27.</w:t>
      </w:r>
      <w:r w:rsidRPr="00D76592">
        <w:tab/>
        <w:t>bere na vědomí, že agentura má zaveden postup pro porušení povinnosti při správě cizího majetku, který stanoví způsoby řešení případů nesprávných nebo neúplných elektronických prohlášení o zájmech odborníků a členů výborů či prozrazení důvěrných informací; poznamenává, že postup při porušení povinnosti při správě cizího majetku byl v prosinci 2022 revidován; zdůrazňuje skutečnost, že v revidovaných postupech se při porušení povinnosti při správě cizího majetku uvádí, že se vztahuje i na další subjekty, které byly zřízeny v rámci agentury na základě rozšířeného mandátu (např. Pracovní skupinu pro mimořádné situace, obě řídící skupiny pro nedostatek přípravků);</w:t>
      </w:r>
    </w:p>
    <w:p w:rsidR="00A23DD5" w:rsidRPr="00D76592" w:rsidRDefault="00A23DD5" w:rsidP="00A23DD5">
      <w:pPr>
        <w:pStyle w:val="NormalHanging12a"/>
      </w:pPr>
      <w:r w:rsidRPr="00D76592">
        <w:t>28.</w:t>
      </w:r>
      <w:r w:rsidRPr="00D76592">
        <w:tab/>
        <w:t>poznamenává, že v roce 2022 byly zahájeny dva postupy při porušení povinnosti při správě cizího majetku vůči odborníkům; bere na vědomí, že jeden případ se týkal člena výboru, který nepřiznal honorář za přednášku, což vedlo k revizi prohlášení a tříletému omezení činnosti, a druhý případ se týkal člena výboru, který zamlčel zájem blízkého rodinného příslušníka, což vedlo k devítiměsíčnímu omezení činnosti v rámci agentury;</w:t>
      </w:r>
    </w:p>
    <w:p w:rsidR="00A23DD5" w:rsidRPr="00D76592" w:rsidRDefault="00A23DD5" w:rsidP="00A23DD5">
      <w:pPr>
        <w:pStyle w:val="NormalHanging12a"/>
      </w:pPr>
      <w:r w:rsidRPr="00D76592">
        <w:t>29.</w:t>
      </w:r>
      <w:r w:rsidRPr="00D76592">
        <w:tab/>
        <w:t>zdůrazňuje, že někteří odcházející zaměstnanci agentury podali žádost o povolení k výkonu povolání po skončení pracovního poměru, přičemž na základě 22 žádostí byla v roce 2022 udělena různá povolení, a to jak bez omezení, tak s omezením; bere na vědomí, že agentura na svých internetových stránkách od prosince 2020 zveřejňuje rozhodnutí týkající se vedoucích pracovníků, kteří z organizace odcházejí, což významně přispívá k transparentnosti při řešení konkurenčních zájmů;</w:t>
      </w:r>
    </w:p>
    <w:p w:rsidR="00A23DD5" w:rsidRPr="00D76592" w:rsidRDefault="00A23DD5" w:rsidP="00A23DD5">
      <w:pPr>
        <w:pStyle w:val="NormalHanging12a"/>
      </w:pPr>
      <w:r w:rsidRPr="00D76592">
        <w:t>30.</w:t>
      </w:r>
      <w:r w:rsidRPr="00D76592">
        <w:tab/>
        <w:t>s uspokojením konstatuje, že zpráva útvaru interního auditu Komise, která byla zveřejněna v roce 2022 a zaměřovala se na záležitosti v oblasti lidských zdrojů, potvrdila odolnost zavedeného systému založeného na velmi vysokém povědomí zaměstnanců o souvisejících rizicích a vyspělosti vnitřních kontrolních mechanismů pro řízení možných střetů zájmů;</w:t>
      </w:r>
    </w:p>
    <w:p w:rsidR="00A23DD5" w:rsidRPr="00D76592" w:rsidRDefault="00A23DD5" w:rsidP="00A23DD5">
      <w:pPr>
        <w:pStyle w:val="NormalHanging12a"/>
      </w:pPr>
      <w:r w:rsidRPr="00D76592">
        <w:t>31.</w:t>
      </w:r>
      <w:r w:rsidRPr="00D76592">
        <w:tab/>
        <w:t>konstatuje, že agentura jakožto technický a vědecký orgán Unie formálně nevstupuje do jednání s lobbisty, jedná však se zúčastněnými stranami a setkává se s nimi v souladu se svými formálními rámci pro zúčastněné strany; dále bere na vědomí, že schůzky s externími zúčastněnými stranami jsou veřejné a podrobnosti jsou zveřejňovány na stránce s událostmi na internetových stránkách agentury;</w:t>
      </w:r>
    </w:p>
    <w:p w:rsidR="00A23DD5" w:rsidRPr="00D76592" w:rsidRDefault="00A23DD5" w:rsidP="00A23DD5">
      <w:pPr>
        <w:pStyle w:val="NormalHanging12a"/>
      </w:pPr>
      <w:r w:rsidRPr="00D76592">
        <w:t>32.</w:t>
      </w:r>
      <w:r w:rsidRPr="00D76592">
        <w:tab/>
        <w:t>bere na vědomí viditelnost, jíž se agentuře podařilo dosáhnout; domnívá se, že stále existuje prostor pro její větší zviditelnění ve sdělovacích prostředcích, na internetu a v sociálních médiích s cílem informovat občany o její práci a o nebezpečích pro naše životní prostředí;</w:t>
      </w:r>
    </w:p>
    <w:p w:rsidR="00A23DD5" w:rsidRPr="00D76592" w:rsidRDefault="00A23DD5" w:rsidP="00A23DD5">
      <w:pPr>
        <w:pStyle w:val="NormalHanging12a"/>
      </w:pPr>
      <w:r w:rsidRPr="00D76592">
        <w:t>33.</w:t>
      </w:r>
      <w:r w:rsidRPr="00D76592">
        <w:tab/>
        <w:t>konstatuje, že v roce 2022 obdržela agentura 676 žádostí o přístup k dokumentům, což bylo méně než počet žádostí obdržených v roce 2019 (783 žádostí) nebo v roce 2021 (710 žádostí) a zveřejnila 216 666 stran, což je více než 165 943 stran v roce 2021, ale výrazně méně než v roce 2019, kdy bylo zveřejněno 318 013 stran; konstatuje, že agentura na zpracovávání mnohočetných žádostí o přístup k dokumentům předložených týmž žadatelem uplatňuje mechanismus řazení do fronty, který je překážkou pro včasný přístup k dokumentům v držení agentury a odrazuje žadatele od předkládání nových žádostí; vyzývá agenturu, aby poskytla podrobné informace o počtu žádostí o přístup k dokumentům, které jsou v systému řazení do fronty nadále neaktivní, a o tom, jak dlouho v průměru trvá, než jsou žádosti v systému aktivovány; vyzývá k tomu, aby byl proveden audit předpisů agentury týkajících se zpracovávání žádostí o přístup k dokumentům, mechanismu řazení do fronty, jejich vývoje v čase a dopadů na žadatele;</w:t>
      </w:r>
    </w:p>
    <w:p w:rsidR="00A23DD5" w:rsidRPr="00D76592" w:rsidRDefault="00A23DD5" w:rsidP="00A23DD5">
      <w:pPr>
        <w:pStyle w:val="NormalHanging12a"/>
      </w:pPr>
      <w:r w:rsidRPr="00D76592">
        <w:t>34.</w:t>
      </w:r>
      <w:r w:rsidRPr="00D76592">
        <w:tab/>
        <w:t>vyzývá Komisi, aby zajistila, že agentura obdrží odpovídající zdroje k plnění úkolů, které jí byly uloženy přijetím nařízení (EU) č. 536/2014, a aby zabránila nedostatku zaměstnanců, který by negativně ovlivnil politiku transparentnosti agentury, a to i pokud jde o včasné zveřejňování klinických údajů, zápisů ze schůzí a včasné reakce na žádosti o přístup k dokumentům;</w:t>
      </w:r>
    </w:p>
    <w:p w:rsidR="00A23DD5" w:rsidRPr="00D76592" w:rsidRDefault="00A23DD5" w:rsidP="00A23DD5">
      <w:pPr>
        <w:pStyle w:val="Normal12Hanging"/>
        <w:widowControl/>
        <w:rPr>
          <w:szCs w:val="24"/>
          <w:u w:val="single"/>
        </w:rPr>
      </w:pPr>
      <w:r w:rsidRPr="00D76592">
        <w:rPr>
          <w:b/>
          <w:i/>
        </w:rPr>
        <w:t>Interní audit</w:t>
      </w:r>
    </w:p>
    <w:p w:rsidR="00A23DD5" w:rsidRPr="00D76592" w:rsidRDefault="00A23DD5" w:rsidP="00A23DD5">
      <w:pPr>
        <w:pStyle w:val="Normal12Hanging"/>
        <w:widowControl/>
        <w:rPr>
          <w:szCs w:val="24"/>
        </w:rPr>
      </w:pPr>
      <w:r w:rsidRPr="00D76592">
        <w:t>35.</w:t>
      </w:r>
      <w:r w:rsidRPr="00D76592">
        <w:tab/>
        <w:t>poznamenává, že byl připraven dotazník k posouzení provádění, fungování a zlepšování 17 zásad rámce vnitřní kontroly; bere na vědomí, že vedoucí pracovníci a zaměstnanci odpovědní za konkrétní zásady nebo prvky obdrželi dotazník a další vyjasnění proběhlo formou rozhovorů; dále bere na vědomí, že souhrnný závěr zní, že systém vnitřní kontroly je považován za účinný a účelný, jeho složky a zásady jsou obecně zavedeny a fungují přiměřeně uspokojivě, ačkoli některým zásadám by prospěla drobná zpřesnění nebo doplňující informace, a jsou navrženy úpravy a zlepšení;</w:t>
      </w:r>
    </w:p>
    <w:p w:rsidR="00A23DD5" w:rsidRPr="00D76592" w:rsidRDefault="00A23DD5" w:rsidP="00A23DD5">
      <w:pPr>
        <w:pStyle w:val="Normal12Hanging"/>
        <w:widowControl/>
        <w:rPr>
          <w:szCs w:val="24"/>
        </w:rPr>
      </w:pPr>
      <w:r w:rsidRPr="00D76592">
        <w:t>36.</w:t>
      </w:r>
      <w:r w:rsidRPr="00D76592">
        <w:tab/>
        <w:t>upozorňuje na skutečnost, že agentura si v důsledku svého přemístění v roce 2019 pronajala budovu v Amsterdamu, která byla plně vybavena a zařízena s využitím pobídkového programu nizozemské vlády ve výši 15 milionů EUR, včetně darování nábytku a vybavení provozu společného stravování; bere na vědomí, že Účetní dvůr zjistil, že agentura některým z těchto aktiv, zejména nábytku, nepřidělila jasnou identifikaci (např. štítky s čárovými kódy); dále konstatuje, že při čtyřech inventurách, které agentura od přemístění provedla, byly opakovaně zjištěny nesrovnalosti (které se časem snížily z 534 331 EUR na 15 000 EUR) mezi seznamem aktiv darovaných nizozemskou vládou, registrem aktiv agentury a aktivy nacházejícími se v prostorách agentury; zdůrazňuje, že neexistence úplných a aktualizovaných inventárních seznamů upřesňujících umístění hmotných aktiv je v rozporu s článkem 87 finančního nařízení a nepříznivě ovlivňuje schopnost agentury zajistit ochranu svých aktiv; vítá skutečnost, že agentura za účelem trvalého zlepšování svých procesů vydá aktualizované interní pokyny ke správě inventarizace majetku, přijme přístup k označování nábytku založený na rizicích a zveřejní průběžný plán fyzických kontrol za účelem průběžné kontroly přesnosti inventárního seznamu;</w:t>
      </w:r>
    </w:p>
    <w:p w:rsidR="00A23DD5" w:rsidRPr="00D76592" w:rsidRDefault="00A23DD5" w:rsidP="00A23DD5">
      <w:pPr>
        <w:pStyle w:val="Normal12Hanging"/>
        <w:widowControl/>
        <w:rPr>
          <w:szCs w:val="24"/>
        </w:rPr>
      </w:pPr>
      <w:r w:rsidRPr="00D76592">
        <w:t>37.</w:t>
      </w:r>
      <w:r w:rsidRPr="00D76592">
        <w:tab/>
        <w:t xml:space="preserve">bere na vědomí připomínku ze zprávy Účetního dvora týkající se </w:t>
      </w:r>
      <w:proofErr w:type="gramStart"/>
      <w:r w:rsidRPr="00D76592">
        <w:t>příspěvku</w:t>
      </w:r>
      <w:proofErr w:type="gramEnd"/>
      <w:r w:rsidRPr="00D76592">
        <w:t xml:space="preserve"> agentury na určité druhy nákladů na péči o děti, jako je předškolní a mimoškolní péče v Nizozemsku; konstatuje, že v případě školního stravování nebyla agentura schopna provedené kontroly, které měly zajistit vyloučení nákladů na školní stravování, plně doložit, což zpochybňuje systematické provádění těchto kontrol; z odpovědi agentury vyplývá, že náklady na stravování jsou ze školného vyloučeny, a agentura o tom, že jsou tyto náklady na školní stravování z výpočtu příspěvku vyloučeny, předloží důkazy;</w:t>
      </w:r>
    </w:p>
    <w:p w:rsidR="00A23DD5" w:rsidRPr="00D76592" w:rsidRDefault="00A23DD5" w:rsidP="00A23DD5">
      <w:pPr>
        <w:pStyle w:val="Normal12Hanging"/>
        <w:widowControl/>
        <w:rPr>
          <w:szCs w:val="24"/>
        </w:rPr>
      </w:pPr>
      <w:r w:rsidRPr="00D76592">
        <w:t>38.</w:t>
      </w:r>
      <w:r w:rsidRPr="00D76592">
        <w:tab/>
        <w:t>bere na vědomí výsledek činností prováděných útvarem interního auditu agentury, přičemž v roce 2022 bylo vydáno 6 kritických a 19 velmi důležitých doporučení; vyzývá agenturu, aby se zabývala 14 závažnými doporučeními, pro něž je třeba k 31. prosinci 2022 vypracovat akční plán na zlepšení, a aby orgánu příslušnému k udělení absolutoria podala zprávu o vývoji v tomto ohledu;</w:t>
      </w:r>
    </w:p>
    <w:p w:rsidR="00A23DD5" w:rsidRPr="00D76592" w:rsidRDefault="00A23DD5" w:rsidP="00A23DD5">
      <w:pPr>
        <w:pStyle w:val="Normal12Hanging"/>
        <w:widowControl/>
        <w:rPr>
          <w:szCs w:val="24"/>
        </w:rPr>
      </w:pPr>
      <w:r w:rsidRPr="00D76592">
        <w:rPr>
          <w:b/>
          <w:i/>
        </w:rPr>
        <w:t>Další připomínky</w:t>
      </w:r>
    </w:p>
    <w:p w:rsidR="00A23DD5" w:rsidRPr="00D76592" w:rsidRDefault="00A23DD5" w:rsidP="00A23DD5">
      <w:pPr>
        <w:pStyle w:val="NormalHanging12a"/>
        <w:widowControl/>
        <w:rPr>
          <w:szCs w:val="24"/>
        </w:rPr>
      </w:pPr>
      <w:r w:rsidRPr="00D76592">
        <w:t>39.</w:t>
      </w:r>
      <w:r w:rsidRPr="00D76592">
        <w:tab/>
        <w:t>vítá skutečnost, že agentura sladila své dlouhodobé cíle v oblasti klimatu s cílem stanoveným v nařízení (EU) 2021/1119</w:t>
      </w:r>
      <w:r w:rsidRPr="00D76592">
        <w:rPr>
          <w:rStyle w:val="FootnoteReference"/>
          <w:szCs w:val="24"/>
        </w:rPr>
        <w:footnoteReference w:id="15"/>
      </w:r>
      <w:r w:rsidRPr="00D76592">
        <w:t xml:space="preserve"> snížit do roku 2030 čisté emise skleníkových plynů o 55 % (ve srovnání s rokem 1990) a dosáhnout do roku 2050 klimatické neutrality; bere na vědomí, že v případě spotřeby energie a vody se tyto cíle agentury projevily snížením spotřeby o 15 % na metr čtvereční kancelářské plochy, kterého mělo být dosaženo v letech 2012 až 2021; poznamenává, že tento cíl zohledňuje růst agentury v tomto období a skutečnost, že se agentura po přemístění z Londýna do Amsterdamu nastěhovala do větší, ale také energeticky účinnější budovy; bere na vědomí, že cíl byl překročen jak v oblasti spotřeby energie, tak v oblasti spotřeby vody, kdy se podařilo snížit spotřebu energie o 45 % a spotřebu vody na metr čtvereční o 63 %;</w:t>
      </w:r>
    </w:p>
    <w:p w:rsidR="00A23DD5" w:rsidRPr="00D76592" w:rsidRDefault="00A23DD5" w:rsidP="00A23DD5">
      <w:pPr>
        <w:pStyle w:val="NormalHanging12a"/>
        <w:widowControl/>
        <w:rPr>
          <w:szCs w:val="24"/>
        </w:rPr>
      </w:pPr>
      <w:r w:rsidRPr="00D76592">
        <w:t>40.</w:t>
      </w:r>
      <w:r w:rsidRPr="00D76592">
        <w:tab/>
        <w:t>bere na vědomí, že se agentura připravuje na certifikaci systému environmentálního řízení a auditu (EMAS);</w:t>
      </w:r>
    </w:p>
    <w:p w:rsidR="00A23DD5" w:rsidRPr="00D76592" w:rsidRDefault="00A23DD5" w:rsidP="00A23DD5">
      <w:pPr>
        <w:pStyle w:val="NormalHanging12a"/>
        <w:widowControl/>
        <w:rPr>
          <w:szCs w:val="24"/>
        </w:rPr>
      </w:pPr>
      <w:r w:rsidRPr="00D76592">
        <w:t>41.</w:t>
      </w:r>
      <w:r w:rsidRPr="00D76592">
        <w:tab/>
        <w:t>vítá skutečnost, že v roce 2022 přijala agentura v zájmu zvýšení kybernetické bezpečnosti strategii pro zabezpečení informací a související prováděcí plán, jež mají posílit stávající ochranná opatření a bezpečnostní postupy s cílem chránit informační aktiva agentury a zároveň poskytovat podporu v souvislosti s novými obchodními a technologickými výzvami; bere na vědomí, že v roce 2022 byla provedena i další důležitá opatření, včetně zavedení programu školení a zvyšování povědomí o bezpečnosti a zřízení bezpečnostního operačního střediska, jehož cílem je průběžně monitorovat a zlepšovat bezpečnostní situaci agentury a zároveň předcházet kybernetickým bezpečnostním incidentům, odhalovat je, analyzovat a reagovat na ně; dále konstatuje, že agentura úzce spolupracuje se Skupinou pro reakci na počítačové hrozby v orgánech, institucích a dalších subjektech EU a Agenturou Evropské unie pro kybernetickou bezpečnost a řeší s nimi řadu aspektů zabezpečení informací a kybernetické bezpečnosti, včetně diskusí a pravidelných informací o připravovaném nařízení o kybernetické bezpečnosti orgánů, institucí a jiných subjektů Unie;</w:t>
      </w:r>
    </w:p>
    <w:p w:rsidR="00A23DD5" w:rsidRPr="00D76592" w:rsidRDefault="00A23DD5" w:rsidP="00A23DD5">
      <w:pPr>
        <w:pStyle w:val="NormalHanging12a"/>
        <w:widowControl/>
        <w:rPr>
          <w:szCs w:val="24"/>
        </w:rPr>
      </w:pPr>
      <w:r w:rsidRPr="00D76592">
        <w:t>42.</w:t>
      </w:r>
      <w:r w:rsidRPr="00D76592">
        <w:tab/>
        <w:t>oceňuje, že agentura vydala úvodní poradenství pro zadavatele klinického hodnocení ke způsobu řízení provádění klinických hodnocení v souvislosti s narušeními způsobenými ruskou invazí na Ukrajinu;</w:t>
      </w:r>
    </w:p>
    <w:p w:rsidR="00A23DD5" w:rsidRPr="00D76592" w:rsidRDefault="00A23DD5" w:rsidP="00A23DD5">
      <w:pPr>
        <w:pStyle w:val="NormalCenter12a"/>
      </w:pPr>
      <w:r w:rsidRPr="00D76592">
        <w:t>°</w:t>
      </w:r>
    </w:p>
    <w:p w:rsidR="00A23DD5" w:rsidRPr="00D76592" w:rsidRDefault="00A23DD5" w:rsidP="00A23DD5">
      <w:pPr>
        <w:pStyle w:val="NormalCenter12a"/>
      </w:pPr>
      <w:r w:rsidRPr="00D76592">
        <w:t>°</w:t>
      </w:r>
      <w:r w:rsidRPr="00D76592">
        <w:tab/>
        <w:t>°</w:t>
      </w:r>
    </w:p>
    <w:p w:rsidR="00A23DD5" w:rsidRPr="00D76592" w:rsidRDefault="00A23DD5" w:rsidP="00A23DD5">
      <w:r w:rsidRPr="00D76592">
        <w:t>43.</w:t>
      </w:r>
      <w:r w:rsidRPr="00D76592">
        <w:tab/>
        <w:t>pokud jde o další připomínky, které jsou připojeny k rozhodnutí o udělení absolutoria a jsou horizontální povahy, o</w:t>
      </w:r>
      <w:r w:rsidR="00AA3786">
        <w:t>dkazuje na své usnesení ze dne 11. dubna 2024</w:t>
      </w:r>
      <w:r w:rsidRPr="00D76592">
        <w:rPr>
          <w:vertAlign w:val="superscript"/>
        </w:rPr>
        <w:footnoteReference w:id="16"/>
      </w:r>
      <w:r w:rsidRPr="00D76592">
        <w:t xml:space="preserve"> o výkonnosti, finančním řízení a kontrole agentur.</w:t>
      </w:r>
    </w:p>
    <w:p w:rsidR="00E365E1" w:rsidRPr="00D76592" w:rsidRDefault="00E365E1" w:rsidP="00287406">
      <w:bookmarkStart w:id="13" w:name="TextBodyEnd"/>
      <w:bookmarkEnd w:id="13"/>
    </w:p>
    <w:sectPr w:rsidR="00E365E1" w:rsidRPr="00D76592" w:rsidSect="00D7659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406" w:rsidRPr="00D76592" w:rsidRDefault="00287406">
      <w:r w:rsidRPr="00D76592">
        <w:separator/>
      </w:r>
    </w:p>
  </w:endnote>
  <w:endnote w:type="continuationSeparator" w:id="0">
    <w:p w:rsidR="00287406" w:rsidRPr="00D76592" w:rsidRDefault="00287406">
      <w:r w:rsidRPr="00D765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DD5" w:rsidRPr="00D76592" w:rsidRDefault="00A23DD5" w:rsidP="00AA4ED5">
    <w:pPr>
      <w:pStyle w:val="EPFooter"/>
    </w:pPr>
    <w:r w:rsidRPr="00D76592">
      <w:t>PE</w:t>
    </w:r>
    <w:r w:rsidRPr="00D76592">
      <w:rPr>
        <w:rStyle w:val="HideTWBExt"/>
      </w:rPr>
      <w:t>&lt;</w:t>
    </w:r>
    <w:proofErr w:type="spellStart"/>
    <w:r w:rsidRPr="00D76592">
      <w:rPr>
        <w:rStyle w:val="HideTWBExt"/>
      </w:rPr>
      <w:t>NoPE</w:t>
    </w:r>
    <w:proofErr w:type="spellEnd"/>
    <w:r w:rsidRPr="00D76592">
      <w:rPr>
        <w:rStyle w:val="HideTWBExt"/>
      </w:rPr>
      <w:t>&gt;</w:t>
    </w:r>
    <w:r w:rsidRPr="00D76592">
      <w:t>753.524</w:t>
    </w:r>
    <w:r w:rsidRPr="00D76592">
      <w:rPr>
        <w:rStyle w:val="HideTWBExt"/>
      </w:rPr>
      <w:t>&lt;/</w:t>
    </w:r>
    <w:proofErr w:type="spellStart"/>
    <w:r w:rsidRPr="00D76592">
      <w:rPr>
        <w:rStyle w:val="HideTWBExt"/>
      </w:rPr>
      <w:t>NoPE</w:t>
    </w:r>
    <w:proofErr w:type="spellEnd"/>
    <w:r w:rsidRPr="00D76592">
      <w:rPr>
        <w:rStyle w:val="HideTWBExt"/>
      </w:rPr>
      <w:t>&gt;&lt;Version&gt;</w:t>
    </w:r>
    <w:r w:rsidRPr="00D76592">
      <w:t>v02-00</w:t>
    </w:r>
    <w:r w:rsidRPr="00D76592">
      <w:rPr>
        <w:rStyle w:val="HideTWBExt"/>
      </w:rPr>
      <w:t>&lt;/</w:t>
    </w:r>
    <w:proofErr w:type="spellStart"/>
    <w:r w:rsidRPr="00D76592">
      <w:rPr>
        <w:rStyle w:val="HideTWBExt"/>
      </w:rPr>
      <w:t>Version</w:t>
    </w:r>
    <w:proofErr w:type="spellEnd"/>
    <w:r w:rsidRPr="00D76592">
      <w:rPr>
        <w:rStyle w:val="HideTWBExt"/>
      </w:rPr>
      <w:t>&gt;</w:t>
    </w:r>
    <w:r w:rsidRPr="00D76592">
      <w:tab/>
    </w:r>
    <w:r w:rsidRPr="00D76592">
      <w:fldChar w:fldCharType="begin"/>
    </w:r>
    <w:r w:rsidRPr="00D76592">
      <w:instrText xml:space="preserve"> PAGE  \* MERGEFORMAT </w:instrText>
    </w:r>
    <w:r w:rsidRPr="00D76592">
      <w:fldChar w:fldCharType="separate"/>
    </w:r>
    <w:r w:rsidRPr="00D76592">
      <w:rPr>
        <w:noProof/>
      </w:rPr>
      <w:t>4</w:t>
    </w:r>
    <w:r w:rsidRPr="00D76592">
      <w:fldChar w:fldCharType="end"/>
    </w:r>
    <w:r w:rsidRPr="00D76592">
      <w:t>/</w:t>
    </w:r>
    <w:fldSimple w:instr=" NUMPAGES  \* MERGEFORMAT ">
      <w:r w:rsidRPr="00D76592">
        <w:rPr>
          <w:noProof/>
        </w:rPr>
        <w:t>4</w:t>
      </w:r>
    </w:fldSimple>
    <w:r w:rsidRPr="00D76592">
      <w:tab/>
    </w:r>
    <w:r w:rsidRPr="00D76592">
      <w:rPr>
        <w:rStyle w:val="HideTWBExt"/>
      </w:rPr>
      <w:t>&lt;PathFdR&gt;</w:t>
    </w:r>
    <w:r w:rsidRPr="00D76592">
      <w:t>RR\1299241CS.docx</w:t>
    </w:r>
    <w:r w:rsidRPr="00D76592">
      <w:rPr>
        <w:rStyle w:val="HideTWBExt"/>
      </w:rPr>
      <w:t>&lt;/</w:t>
    </w:r>
    <w:proofErr w:type="spellStart"/>
    <w:r w:rsidRPr="00D76592">
      <w:rPr>
        <w:rStyle w:val="HideTWBExt"/>
      </w:rPr>
      <w:t>PathFdR</w:t>
    </w:r>
    <w:proofErr w:type="spellEnd"/>
    <w:r w:rsidRPr="00D76592">
      <w:rPr>
        <w:rStyle w:val="HideTWBExt"/>
      </w:rPr>
      <w:t>&gt;</w:t>
    </w:r>
  </w:p>
  <w:p w:rsidR="00A23DD5" w:rsidRPr="00D76592" w:rsidRDefault="00A23DD5" w:rsidP="00AA4ED5">
    <w:pPr>
      <w:pStyle w:val="EPFooter2"/>
    </w:pPr>
    <w:r w:rsidRPr="00D76592">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DD5" w:rsidRPr="00D76592" w:rsidRDefault="00A23DD5" w:rsidP="00AA4ED5">
    <w:pPr>
      <w:pStyle w:val="EPFooter"/>
    </w:pPr>
    <w:r w:rsidRPr="00D76592">
      <w:rPr>
        <w:rStyle w:val="HideTWBExt"/>
      </w:rPr>
      <w:t>&lt;PathFdR&gt;</w:t>
    </w:r>
    <w:r w:rsidRPr="00D76592">
      <w:t>RR\1299241CS.docx</w:t>
    </w:r>
    <w:r w:rsidRPr="00D76592">
      <w:rPr>
        <w:rStyle w:val="HideTWBExt"/>
      </w:rPr>
      <w:t>&lt;/</w:t>
    </w:r>
    <w:proofErr w:type="spellStart"/>
    <w:r w:rsidRPr="00D76592">
      <w:rPr>
        <w:rStyle w:val="HideTWBExt"/>
      </w:rPr>
      <w:t>PathFdR</w:t>
    </w:r>
    <w:proofErr w:type="spellEnd"/>
    <w:r w:rsidRPr="00D76592">
      <w:rPr>
        <w:rStyle w:val="HideTWBExt"/>
      </w:rPr>
      <w:t>&gt;</w:t>
    </w:r>
    <w:r w:rsidRPr="00D76592">
      <w:tab/>
    </w:r>
    <w:r w:rsidRPr="00D76592">
      <w:tab/>
      <w:t>PE</w:t>
    </w:r>
    <w:r w:rsidRPr="00D76592">
      <w:rPr>
        <w:rStyle w:val="HideTWBExt"/>
      </w:rPr>
      <w:t>&lt;</w:t>
    </w:r>
    <w:proofErr w:type="spellStart"/>
    <w:r w:rsidRPr="00D76592">
      <w:rPr>
        <w:rStyle w:val="HideTWBExt"/>
      </w:rPr>
      <w:t>NoPE</w:t>
    </w:r>
    <w:proofErr w:type="spellEnd"/>
    <w:r w:rsidRPr="00D76592">
      <w:rPr>
        <w:rStyle w:val="HideTWBExt"/>
      </w:rPr>
      <w:t>&gt;</w:t>
    </w:r>
    <w:r w:rsidRPr="00D76592">
      <w:t>753.524</w:t>
    </w:r>
    <w:r w:rsidRPr="00D76592">
      <w:rPr>
        <w:rStyle w:val="HideTWBExt"/>
      </w:rPr>
      <w:t>&lt;/</w:t>
    </w:r>
    <w:proofErr w:type="spellStart"/>
    <w:r w:rsidRPr="00D76592">
      <w:rPr>
        <w:rStyle w:val="HideTWBExt"/>
      </w:rPr>
      <w:t>NoPE</w:t>
    </w:r>
    <w:proofErr w:type="spellEnd"/>
    <w:r w:rsidRPr="00D76592">
      <w:rPr>
        <w:rStyle w:val="HideTWBExt"/>
      </w:rPr>
      <w:t>&gt;&lt;Version&gt;</w:t>
    </w:r>
    <w:r w:rsidRPr="00D76592">
      <w:t>v02-00</w:t>
    </w:r>
    <w:r w:rsidRPr="00D76592">
      <w:rPr>
        <w:rStyle w:val="HideTWBExt"/>
      </w:rPr>
      <w:t>&lt;/</w:t>
    </w:r>
    <w:proofErr w:type="spellStart"/>
    <w:r w:rsidRPr="00D76592">
      <w:rPr>
        <w:rStyle w:val="HideTWBExt"/>
      </w:rPr>
      <w:t>Version</w:t>
    </w:r>
    <w:proofErr w:type="spellEnd"/>
    <w:r w:rsidRPr="00D76592">
      <w:rPr>
        <w:rStyle w:val="HideTWBExt"/>
      </w:rPr>
      <w:t>&gt;</w:t>
    </w:r>
  </w:p>
  <w:p w:rsidR="00A23DD5" w:rsidRPr="00D76592" w:rsidRDefault="00A23DD5" w:rsidP="00AA4ED5">
    <w:pPr>
      <w:pStyle w:val="EPFooter2"/>
    </w:pPr>
    <w:r w:rsidRPr="00D76592">
      <w:t>CS</w:t>
    </w:r>
    <w:r w:rsidRPr="00D76592">
      <w:tab/>
    </w:r>
    <w:r w:rsidRPr="00D76592">
      <w:rPr>
        <w:b w:val="0"/>
        <w:i/>
        <w:color w:val="C0C0C0"/>
        <w:sz w:val="22"/>
      </w:rPr>
      <w:t>Jednotná v rozmanitosti</w:t>
    </w:r>
    <w:r w:rsidRPr="00D76592">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9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9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406" w:rsidRPr="00D76592" w:rsidRDefault="00287406">
      <w:r w:rsidRPr="00D76592">
        <w:separator/>
      </w:r>
    </w:p>
  </w:footnote>
  <w:footnote w:type="continuationSeparator" w:id="0">
    <w:p w:rsidR="00287406" w:rsidRPr="00D76592" w:rsidRDefault="00287406">
      <w:r w:rsidRPr="00D76592">
        <w:continuationSeparator/>
      </w:r>
    </w:p>
  </w:footnote>
  <w:footnote w:id="1">
    <w:p w:rsidR="00A23DD5" w:rsidRPr="00D76592" w:rsidRDefault="00A23DD5" w:rsidP="00D76592">
      <w:pPr>
        <w:pStyle w:val="FootnoteText"/>
        <w:ind w:left="567" w:hanging="567"/>
        <w:rPr>
          <w:sz w:val="24"/>
          <w:lang w:val="cs-CZ"/>
        </w:rPr>
      </w:pPr>
      <w:r w:rsidRPr="00D76592">
        <w:rPr>
          <w:rStyle w:val="FootnoteReference"/>
          <w:sz w:val="24"/>
          <w:lang w:val="cs-CZ"/>
        </w:rPr>
        <w:footnoteRef/>
      </w:r>
      <w:r w:rsidR="00D76592" w:rsidRPr="00D76592">
        <w:rPr>
          <w:sz w:val="24"/>
          <w:lang w:val="cs-CZ"/>
        </w:rPr>
        <w:t xml:space="preserve"> </w:t>
      </w:r>
      <w:r w:rsidR="00D76592" w:rsidRPr="00D76592">
        <w:rPr>
          <w:sz w:val="24"/>
          <w:lang w:val="cs-CZ"/>
        </w:rPr>
        <w:tab/>
      </w:r>
      <w:proofErr w:type="spellStart"/>
      <w:r w:rsidRPr="00D76592">
        <w:rPr>
          <w:sz w:val="24"/>
          <w:lang w:val="cs-CZ"/>
        </w:rPr>
        <w:t>Úř</w:t>
      </w:r>
      <w:proofErr w:type="spellEnd"/>
      <w:r w:rsidRPr="00D76592">
        <w:rPr>
          <w:sz w:val="24"/>
          <w:lang w:val="cs-CZ"/>
        </w:rPr>
        <w:t xml:space="preserve">. </w:t>
      </w:r>
      <w:proofErr w:type="spellStart"/>
      <w:proofErr w:type="gramStart"/>
      <w:r w:rsidRPr="00D76592">
        <w:rPr>
          <w:sz w:val="24"/>
          <w:lang w:val="cs-CZ"/>
        </w:rPr>
        <w:t>věst</w:t>
      </w:r>
      <w:proofErr w:type="spellEnd"/>
      <w:proofErr w:type="gramEnd"/>
      <w:r w:rsidRPr="00D76592">
        <w:rPr>
          <w:sz w:val="24"/>
          <w:lang w:val="cs-CZ"/>
        </w:rPr>
        <w:t xml:space="preserve">. C, C/2023/594, </w:t>
      </w:r>
      <w:proofErr w:type="gramStart"/>
      <w:r w:rsidRPr="00D76592">
        <w:rPr>
          <w:sz w:val="24"/>
          <w:lang w:val="cs-CZ"/>
        </w:rPr>
        <w:t>27.10.2023</w:t>
      </w:r>
      <w:proofErr w:type="gramEnd"/>
      <w:r w:rsidRPr="00D76592">
        <w:rPr>
          <w:sz w:val="24"/>
          <w:lang w:val="cs-CZ"/>
        </w:rPr>
        <w:t>.</w:t>
      </w:r>
    </w:p>
  </w:footnote>
  <w:footnote w:id="2">
    <w:p w:rsidR="00A23DD5" w:rsidRPr="00D76592" w:rsidRDefault="00A23DD5" w:rsidP="00D76592">
      <w:pPr>
        <w:pStyle w:val="FootnoteText"/>
        <w:ind w:left="567" w:hanging="567"/>
        <w:rPr>
          <w:sz w:val="24"/>
          <w:lang w:val="cs-CZ"/>
        </w:rPr>
      </w:pPr>
      <w:r w:rsidRPr="00D76592">
        <w:rPr>
          <w:rStyle w:val="FootnoteReference"/>
          <w:sz w:val="24"/>
          <w:lang w:val="cs-CZ"/>
        </w:rPr>
        <w:footnoteRef/>
      </w:r>
      <w:r w:rsidR="00D76592" w:rsidRPr="00D76592">
        <w:rPr>
          <w:sz w:val="24"/>
          <w:lang w:val="cs-CZ"/>
        </w:rPr>
        <w:t xml:space="preserve"> </w:t>
      </w:r>
      <w:r w:rsidR="00D76592" w:rsidRPr="00D76592">
        <w:rPr>
          <w:sz w:val="24"/>
          <w:lang w:val="cs-CZ"/>
        </w:rPr>
        <w:tab/>
      </w:r>
      <w:proofErr w:type="spellStart"/>
      <w:r w:rsidRPr="00D76592">
        <w:rPr>
          <w:sz w:val="24"/>
          <w:lang w:val="cs-CZ"/>
        </w:rPr>
        <w:t>Úř</w:t>
      </w:r>
      <w:proofErr w:type="spellEnd"/>
      <w:r w:rsidRPr="00D76592">
        <w:rPr>
          <w:sz w:val="24"/>
          <w:lang w:val="cs-CZ"/>
        </w:rPr>
        <w:t xml:space="preserve">. </w:t>
      </w:r>
      <w:proofErr w:type="spellStart"/>
      <w:proofErr w:type="gramStart"/>
      <w:r w:rsidRPr="00D76592">
        <w:rPr>
          <w:sz w:val="24"/>
          <w:lang w:val="cs-CZ"/>
        </w:rPr>
        <w:t>věst</w:t>
      </w:r>
      <w:proofErr w:type="spellEnd"/>
      <w:proofErr w:type="gramEnd"/>
      <w:r w:rsidRPr="00D76592">
        <w:rPr>
          <w:sz w:val="24"/>
          <w:lang w:val="cs-CZ"/>
        </w:rPr>
        <w:t xml:space="preserve">. C, C/2023/112, </w:t>
      </w:r>
      <w:proofErr w:type="gramStart"/>
      <w:r w:rsidRPr="00D76592">
        <w:rPr>
          <w:sz w:val="24"/>
          <w:lang w:val="cs-CZ"/>
        </w:rPr>
        <w:t>12.10.2023</w:t>
      </w:r>
      <w:proofErr w:type="gramEnd"/>
      <w:r w:rsidRPr="00D76592">
        <w:rPr>
          <w:sz w:val="24"/>
          <w:lang w:val="cs-CZ"/>
        </w:rPr>
        <w:t>.</w:t>
      </w:r>
    </w:p>
  </w:footnote>
  <w:footnote w:id="3">
    <w:p w:rsidR="00A23DD5" w:rsidRPr="00D76592" w:rsidRDefault="00A23DD5" w:rsidP="00D76592">
      <w:pPr>
        <w:pStyle w:val="FootnoteText"/>
        <w:ind w:left="567" w:hanging="567"/>
        <w:rPr>
          <w:sz w:val="24"/>
          <w:lang w:val="cs-CZ"/>
        </w:rPr>
      </w:pPr>
      <w:r w:rsidRPr="00D76592">
        <w:rPr>
          <w:rStyle w:val="FootnoteReference"/>
          <w:sz w:val="24"/>
          <w:lang w:val="cs-CZ"/>
        </w:rPr>
        <w:footnoteRef/>
      </w:r>
      <w:r w:rsidR="00D76592" w:rsidRPr="00D76592">
        <w:rPr>
          <w:sz w:val="24"/>
          <w:lang w:val="cs-CZ"/>
        </w:rPr>
        <w:t xml:space="preserve"> </w:t>
      </w:r>
      <w:r w:rsidR="00D76592" w:rsidRPr="00D76592">
        <w:rPr>
          <w:sz w:val="24"/>
          <w:lang w:val="cs-CZ"/>
        </w:rPr>
        <w:tab/>
      </w:r>
      <w:proofErr w:type="spellStart"/>
      <w:r w:rsidRPr="00D76592">
        <w:rPr>
          <w:sz w:val="24"/>
          <w:lang w:val="cs-CZ"/>
        </w:rPr>
        <w:t>Úř</w:t>
      </w:r>
      <w:proofErr w:type="spellEnd"/>
      <w:r w:rsidRPr="00D76592">
        <w:rPr>
          <w:sz w:val="24"/>
          <w:lang w:val="cs-CZ"/>
        </w:rPr>
        <w:t xml:space="preserve">. </w:t>
      </w:r>
      <w:proofErr w:type="spellStart"/>
      <w:proofErr w:type="gramStart"/>
      <w:r w:rsidRPr="00D76592">
        <w:rPr>
          <w:sz w:val="24"/>
          <w:lang w:val="cs-CZ"/>
        </w:rPr>
        <w:t>věst</w:t>
      </w:r>
      <w:proofErr w:type="spellEnd"/>
      <w:proofErr w:type="gramEnd"/>
      <w:r w:rsidRPr="00D76592">
        <w:rPr>
          <w:sz w:val="24"/>
          <w:lang w:val="cs-CZ"/>
        </w:rPr>
        <w:t xml:space="preserve">. L 193, </w:t>
      </w:r>
      <w:proofErr w:type="gramStart"/>
      <w:r w:rsidRPr="00D76592">
        <w:rPr>
          <w:sz w:val="24"/>
          <w:lang w:val="cs-CZ"/>
        </w:rPr>
        <w:t>30.7.2018</w:t>
      </w:r>
      <w:proofErr w:type="gramEnd"/>
      <w:r w:rsidRPr="00D76592">
        <w:rPr>
          <w:sz w:val="24"/>
          <w:lang w:val="cs-CZ"/>
        </w:rPr>
        <w:t>, s. 1.</w:t>
      </w:r>
    </w:p>
  </w:footnote>
  <w:footnote w:id="4">
    <w:p w:rsidR="00A23DD5" w:rsidRPr="00D76592" w:rsidRDefault="00A23DD5" w:rsidP="00D76592">
      <w:pPr>
        <w:pStyle w:val="FootnoteText"/>
        <w:ind w:left="567" w:hanging="567"/>
        <w:rPr>
          <w:sz w:val="24"/>
          <w:lang w:val="cs-CZ"/>
        </w:rPr>
      </w:pPr>
      <w:r w:rsidRPr="00D76592">
        <w:rPr>
          <w:rStyle w:val="FootnoteReference"/>
          <w:sz w:val="24"/>
          <w:lang w:val="cs-CZ"/>
        </w:rPr>
        <w:footnoteRef/>
      </w:r>
      <w:r w:rsidR="00D76592" w:rsidRPr="00D76592">
        <w:rPr>
          <w:sz w:val="24"/>
          <w:lang w:val="cs-CZ"/>
        </w:rPr>
        <w:t xml:space="preserve"> </w:t>
      </w:r>
      <w:r w:rsidR="00D76592" w:rsidRPr="00D76592">
        <w:rPr>
          <w:sz w:val="24"/>
          <w:lang w:val="cs-CZ"/>
        </w:rPr>
        <w:tab/>
      </w:r>
      <w:proofErr w:type="spellStart"/>
      <w:r w:rsidRPr="00D76592">
        <w:rPr>
          <w:sz w:val="24"/>
          <w:lang w:val="cs-CZ"/>
        </w:rPr>
        <w:t>Úř</w:t>
      </w:r>
      <w:proofErr w:type="spellEnd"/>
      <w:r w:rsidRPr="00D76592">
        <w:rPr>
          <w:sz w:val="24"/>
          <w:lang w:val="cs-CZ"/>
        </w:rPr>
        <w:t xml:space="preserve">. </w:t>
      </w:r>
      <w:proofErr w:type="spellStart"/>
      <w:proofErr w:type="gramStart"/>
      <w:r w:rsidRPr="00D76592">
        <w:rPr>
          <w:sz w:val="24"/>
          <w:lang w:val="cs-CZ"/>
        </w:rPr>
        <w:t>věst</w:t>
      </w:r>
      <w:proofErr w:type="spellEnd"/>
      <w:proofErr w:type="gramEnd"/>
      <w:r w:rsidRPr="00D76592">
        <w:rPr>
          <w:sz w:val="24"/>
          <w:lang w:val="cs-CZ"/>
        </w:rPr>
        <w:t xml:space="preserve">. L 136, </w:t>
      </w:r>
      <w:proofErr w:type="gramStart"/>
      <w:r w:rsidRPr="00D76592">
        <w:rPr>
          <w:sz w:val="24"/>
          <w:lang w:val="cs-CZ"/>
        </w:rPr>
        <w:t>30.4.2004</w:t>
      </w:r>
      <w:proofErr w:type="gramEnd"/>
      <w:r w:rsidRPr="00D76592">
        <w:rPr>
          <w:sz w:val="24"/>
          <w:lang w:val="cs-CZ"/>
        </w:rPr>
        <w:t>, s. 1.</w:t>
      </w:r>
    </w:p>
  </w:footnote>
  <w:footnote w:id="5">
    <w:p w:rsidR="00A23DD5" w:rsidRPr="00D76592" w:rsidRDefault="00A23DD5" w:rsidP="00D76592">
      <w:pPr>
        <w:pStyle w:val="FootnoteText"/>
        <w:ind w:left="567" w:hanging="567"/>
        <w:rPr>
          <w:sz w:val="24"/>
          <w:szCs w:val="24"/>
          <w:lang w:val="cs-CZ"/>
        </w:rPr>
      </w:pPr>
      <w:r w:rsidRPr="00D76592">
        <w:rPr>
          <w:rStyle w:val="FootnoteReference"/>
          <w:sz w:val="24"/>
          <w:lang w:val="cs-CZ"/>
        </w:rPr>
        <w:footnoteRef/>
      </w:r>
      <w:r w:rsidR="00D76592" w:rsidRPr="00D76592">
        <w:rPr>
          <w:sz w:val="24"/>
          <w:lang w:val="cs-CZ"/>
        </w:rPr>
        <w:t xml:space="preserve"> </w:t>
      </w:r>
      <w:r w:rsidR="00D76592" w:rsidRPr="00D76592">
        <w:rPr>
          <w:sz w:val="24"/>
          <w:lang w:val="cs-CZ"/>
        </w:rPr>
        <w:tab/>
      </w:r>
      <w:proofErr w:type="spellStart"/>
      <w:r w:rsidRPr="00D76592">
        <w:rPr>
          <w:sz w:val="24"/>
          <w:lang w:val="cs-CZ"/>
        </w:rPr>
        <w:t>Úř</w:t>
      </w:r>
      <w:proofErr w:type="spellEnd"/>
      <w:r w:rsidRPr="00D76592">
        <w:rPr>
          <w:sz w:val="24"/>
          <w:lang w:val="cs-CZ"/>
        </w:rPr>
        <w:t xml:space="preserve">. </w:t>
      </w:r>
      <w:proofErr w:type="spellStart"/>
      <w:proofErr w:type="gramStart"/>
      <w:r w:rsidRPr="00D76592">
        <w:rPr>
          <w:sz w:val="24"/>
          <w:lang w:val="cs-CZ"/>
        </w:rPr>
        <w:t>věst</w:t>
      </w:r>
      <w:proofErr w:type="spellEnd"/>
      <w:proofErr w:type="gramEnd"/>
      <w:r w:rsidRPr="00D76592">
        <w:rPr>
          <w:sz w:val="24"/>
          <w:lang w:val="cs-CZ"/>
        </w:rPr>
        <w:t xml:space="preserve">. L 122, </w:t>
      </w:r>
      <w:proofErr w:type="gramStart"/>
      <w:r w:rsidRPr="00D76592">
        <w:rPr>
          <w:sz w:val="24"/>
          <w:lang w:val="cs-CZ"/>
        </w:rPr>
        <w:t>10.5.2019</w:t>
      </w:r>
      <w:proofErr w:type="gramEnd"/>
      <w:r w:rsidRPr="00D76592">
        <w:rPr>
          <w:sz w:val="24"/>
          <w:lang w:val="cs-CZ"/>
        </w:rPr>
        <w:t>, s. 1.</w:t>
      </w:r>
    </w:p>
  </w:footnote>
  <w:footnote w:id="6">
    <w:p w:rsidR="00A23DD5" w:rsidRPr="00D76592" w:rsidRDefault="00A23DD5" w:rsidP="00D76592">
      <w:pPr>
        <w:pStyle w:val="FootnoteText"/>
        <w:ind w:left="567" w:hanging="567"/>
        <w:rPr>
          <w:sz w:val="24"/>
          <w:lang w:val="cs-CZ"/>
        </w:rPr>
      </w:pPr>
      <w:r w:rsidRPr="00D76592">
        <w:rPr>
          <w:rStyle w:val="FootnoteReference"/>
          <w:sz w:val="24"/>
          <w:lang w:val="cs-CZ"/>
        </w:rPr>
        <w:footnoteRef/>
      </w:r>
      <w:r w:rsidR="00D76592" w:rsidRPr="00D76592">
        <w:rPr>
          <w:sz w:val="24"/>
          <w:lang w:val="cs-CZ"/>
        </w:rPr>
        <w:t xml:space="preserve"> </w:t>
      </w:r>
      <w:r w:rsidR="00D76592" w:rsidRPr="00D76592">
        <w:rPr>
          <w:sz w:val="24"/>
          <w:lang w:val="cs-CZ"/>
        </w:rPr>
        <w:tab/>
      </w:r>
      <w:proofErr w:type="spellStart"/>
      <w:r w:rsidRPr="00D76592">
        <w:rPr>
          <w:sz w:val="24"/>
          <w:lang w:val="cs-CZ"/>
        </w:rPr>
        <w:t>Úř</w:t>
      </w:r>
      <w:proofErr w:type="spellEnd"/>
      <w:r w:rsidRPr="00D76592">
        <w:rPr>
          <w:sz w:val="24"/>
          <w:lang w:val="cs-CZ"/>
        </w:rPr>
        <w:t xml:space="preserve">. </w:t>
      </w:r>
      <w:proofErr w:type="spellStart"/>
      <w:proofErr w:type="gramStart"/>
      <w:r w:rsidRPr="00D76592">
        <w:rPr>
          <w:sz w:val="24"/>
          <w:lang w:val="cs-CZ"/>
        </w:rPr>
        <w:t>věst</w:t>
      </w:r>
      <w:proofErr w:type="spellEnd"/>
      <w:proofErr w:type="gramEnd"/>
      <w:r w:rsidRPr="00D76592">
        <w:rPr>
          <w:sz w:val="24"/>
          <w:lang w:val="cs-CZ"/>
        </w:rPr>
        <w:t xml:space="preserve">. C, C/2023/594, </w:t>
      </w:r>
      <w:proofErr w:type="gramStart"/>
      <w:r w:rsidRPr="00D76592">
        <w:rPr>
          <w:sz w:val="24"/>
          <w:lang w:val="cs-CZ"/>
        </w:rPr>
        <w:t>27.10.2023</w:t>
      </w:r>
      <w:proofErr w:type="gramEnd"/>
      <w:r w:rsidRPr="00D76592">
        <w:rPr>
          <w:sz w:val="24"/>
          <w:lang w:val="cs-CZ"/>
        </w:rPr>
        <w:t>.</w:t>
      </w:r>
    </w:p>
  </w:footnote>
  <w:footnote w:id="7">
    <w:p w:rsidR="00A23DD5" w:rsidRPr="00D76592" w:rsidRDefault="00A23DD5" w:rsidP="00D76592">
      <w:pPr>
        <w:pStyle w:val="FootnoteText"/>
        <w:ind w:left="567" w:hanging="567"/>
        <w:rPr>
          <w:sz w:val="24"/>
          <w:lang w:val="cs-CZ"/>
        </w:rPr>
      </w:pPr>
      <w:r w:rsidRPr="00D76592">
        <w:rPr>
          <w:rStyle w:val="FootnoteReference"/>
          <w:sz w:val="24"/>
          <w:lang w:val="cs-CZ"/>
        </w:rPr>
        <w:footnoteRef/>
      </w:r>
      <w:r w:rsidR="00D76592" w:rsidRPr="00D76592">
        <w:rPr>
          <w:sz w:val="24"/>
          <w:lang w:val="cs-CZ"/>
        </w:rPr>
        <w:t xml:space="preserve"> </w:t>
      </w:r>
      <w:r w:rsidR="00D76592" w:rsidRPr="00D76592">
        <w:rPr>
          <w:sz w:val="24"/>
          <w:lang w:val="cs-CZ"/>
        </w:rPr>
        <w:tab/>
      </w:r>
      <w:proofErr w:type="spellStart"/>
      <w:r w:rsidRPr="00D76592">
        <w:rPr>
          <w:sz w:val="24"/>
          <w:lang w:val="cs-CZ"/>
        </w:rPr>
        <w:t>Úř</w:t>
      </w:r>
      <w:proofErr w:type="spellEnd"/>
      <w:r w:rsidRPr="00D76592">
        <w:rPr>
          <w:sz w:val="24"/>
          <w:lang w:val="cs-CZ"/>
        </w:rPr>
        <w:t xml:space="preserve">. </w:t>
      </w:r>
      <w:proofErr w:type="spellStart"/>
      <w:proofErr w:type="gramStart"/>
      <w:r w:rsidRPr="00D76592">
        <w:rPr>
          <w:sz w:val="24"/>
          <w:lang w:val="cs-CZ"/>
        </w:rPr>
        <w:t>věst</w:t>
      </w:r>
      <w:proofErr w:type="spellEnd"/>
      <w:proofErr w:type="gramEnd"/>
      <w:r w:rsidRPr="00D76592">
        <w:rPr>
          <w:sz w:val="24"/>
          <w:lang w:val="cs-CZ"/>
        </w:rPr>
        <w:t xml:space="preserve">. C, C/2023/112, </w:t>
      </w:r>
      <w:proofErr w:type="gramStart"/>
      <w:r w:rsidRPr="00D76592">
        <w:rPr>
          <w:sz w:val="24"/>
          <w:lang w:val="cs-CZ"/>
        </w:rPr>
        <w:t>12.10.2023</w:t>
      </w:r>
      <w:proofErr w:type="gramEnd"/>
      <w:r w:rsidRPr="00D76592">
        <w:rPr>
          <w:sz w:val="24"/>
          <w:lang w:val="cs-CZ"/>
        </w:rPr>
        <w:t>.</w:t>
      </w:r>
    </w:p>
  </w:footnote>
  <w:footnote w:id="8">
    <w:p w:rsidR="00A23DD5" w:rsidRPr="00D76592" w:rsidRDefault="00A23DD5" w:rsidP="00D76592">
      <w:pPr>
        <w:pStyle w:val="FootnoteText"/>
        <w:ind w:left="567" w:hanging="567"/>
        <w:rPr>
          <w:sz w:val="24"/>
          <w:lang w:val="cs-CZ"/>
        </w:rPr>
      </w:pPr>
      <w:r w:rsidRPr="00D76592">
        <w:rPr>
          <w:rStyle w:val="FootnoteReference"/>
          <w:sz w:val="24"/>
          <w:lang w:val="cs-CZ"/>
        </w:rPr>
        <w:footnoteRef/>
      </w:r>
      <w:r w:rsidR="00D76592" w:rsidRPr="00D76592">
        <w:rPr>
          <w:sz w:val="24"/>
          <w:lang w:val="cs-CZ"/>
        </w:rPr>
        <w:t xml:space="preserve"> </w:t>
      </w:r>
      <w:r w:rsidR="00D76592" w:rsidRPr="00D76592">
        <w:rPr>
          <w:sz w:val="24"/>
          <w:lang w:val="cs-CZ"/>
        </w:rPr>
        <w:tab/>
      </w:r>
      <w:proofErr w:type="spellStart"/>
      <w:r w:rsidRPr="00D76592">
        <w:rPr>
          <w:sz w:val="24"/>
          <w:lang w:val="cs-CZ"/>
        </w:rPr>
        <w:t>Úř</w:t>
      </w:r>
      <w:proofErr w:type="spellEnd"/>
      <w:r w:rsidRPr="00D76592">
        <w:rPr>
          <w:sz w:val="24"/>
          <w:lang w:val="cs-CZ"/>
        </w:rPr>
        <w:t xml:space="preserve">. </w:t>
      </w:r>
      <w:proofErr w:type="spellStart"/>
      <w:proofErr w:type="gramStart"/>
      <w:r w:rsidRPr="00D76592">
        <w:rPr>
          <w:sz w:val="24"/>
          <w:lang w:val="cs-CZ"/>
        </w:rPr>
        <w:t>věst</w:t>
      </w:r>
      <w:proofErr w:type="spellEnd"/>
      <w:proofErr w:type="gramEnd"/>
      <w:r w:rsidRPr="00D76592">
        <w:rPr>
          <w:sz w:val="24"/>
          <w:lang w:val="cs-CZ"/>
        </w:rPr>
        <w:t xml:space="preserve">. L 193, </w:t>
      </w:r>
      <w:proofErr w:type="gramStart"/>
      <w:r w:rsidRPr="00D76592">
        <w:rPr>
          <w:sz w:val="24"/>
          <w:lang w:val="cs-CZ"/>
        </w:rPr>
        <w:t>30.7.2018</w:t>
      </w:r>
      <w:proofErr w:type="gramEnd"/>
      <w:r w:rsidRPr="00D76592">
        <w:rPr>
          <w:sz w:val="24"/>
          <w:lang w:val="cs-CZ"/>
        </w:rPr>
        <w:t>, s. 1.</w:t>
      </w:r>
    </w:p>
  </w:footnote>
  <w:footnote w:id="9">
    <w:p w:rsidR="00A23DD5" w:rsidRPr="00D76592" w:rsidRDefault="00A23DD5" w:rsidP="00D76592">
      <w:pPr>
        <w:pStyle w:val="FootnoteText"/>
        <w:ind w:left="567" w:hanging="567"/>
        <w:rPr>
          <w:sz w:val="24"/>
          <w:lang w:val="cs-CZ"/>
        </w:rPr>
      </w:pPr>
      <w:r w:rsidRPr="00D76592">
        <w:rPr>
          <w:rStyle w:val="FootnoteReference"/>
          <w:sz w:val="24"/>
          <w:lang w:val="cs-CZ"/>
        </w:rPr>
        <w:footnoteRef/>
      </w:r>
      <w:r w:rsidR="00D76592" w:rsidRPr="00D76592">
        <w:rPr>
          <w:sz w:val="24"/>
          <w:lang w:val="cs-CZ"/>
        </w:rPr>
        <w:t xml:space="preserve"> </w:t>
      </w:r>
      <w:r w:rsidR="00D76592" w:rsidRPr="00D76592">
        <w:rPr>
          <w:sz w:val="24"/>
          <w:lang w:val="cs-CZ"/>
        </w:rPr>
        <w:tab/>
      </w:r>
      <w:proofErr w:type="spellStart"/>
      <w:r w:rsidRPr="00D76592">
        <w:rPr>
          <w:sz w:val="24"/>
          <w:lang w:val="cs-CZ"/>
        </w:rPr>
        <w:t>Úř</w:t>
      </w:r>
      <w:proofErr w:type="spellEnd"/>
      <w:r w:rsidRPr="00D76592">
        <w:rPr>
          <w:sz w:val="24"/>
          <w:lang w:val="cs-CZ"/>
        </w:rPr>
        <w:t xml:space="preserve">. </w:t>
      </w:r>
      <w:proofErr w:type="spellStart"/>
      <w:proofErr w:type="gramStart"/>
      <w:r w:rsidRPr="00D76592">
        <w:rPr>
          <w:sz w:val="24"/>
          <w:lang w:val="cs-CZ"/>
        </w:rPr>
        <w:t>věst</w:t>
      </w:r>
      <w:proofErr w:type="spellEnd"/>
      <w:proofErr w:type="gramEnd"/>
      <w:r w:rsidRPr="00D76592">
        <w:rPr>
          <w:sz w:val="24"/>
          <w:lang w:val="cs-CZ"/>
        </w:rPr>
        <w:t xml:space="preserve">. L 136, </w:t>
      </w:r>
      <w:proofErr w:type="gramStart"/>
      <w:r w:rsidRPr="00D76592">
        <w:rPr>
          <w:sz w:val="24"/>
          <w:lang w:val="cs-CZ"/>
        </w:rPr>
        <w:t>30.4.2004</w:t>
      </w:r>
      <w:proofErr w:type="gramEnd"/>
      <w:r w:rsidRPr="00D76592">
        <w:rPr>
          <w:sz w:val="24"/>
          <w:lang w:val="cs-CZ"/>
        </w:rPr>
        <w:t>, s. 1.</w:t>
      </w:r>
    </w:p>
  </w:footnote>
  <w:footnote w:id="10">
    <w:p w:rsidR="00A23DD5" w:rsidRPr="00D76592" w:rsidRDefault="00A23DD5" w:rsidP="00D76592">
      <w:pPr>
        <w:pStyle w:val="FootnoteText"/>
        <w:ind w:left="567" w:hanging="567"/>
        <w:rPr>
          <w:sz w:val="24"/>
          <w:szCs w:val="24"/>
          <w:lang w:val="cs-CZ"/>
        </w:rPr>
      </w:pPr>
      <w:r w:rsidRPr="00D76592">
        <w:rPr>
          <w:rStyle w:val="FootnoteReference"/>
          <w:sz w:val="24"/>
          <w:lang w:val="cs-CZ"/>
        </w:rPr>
        <w:footnoteRef/>
      </w:r>
      <w:r w:rsidR="00D76592" w:rsidRPr="00D76592">
        <w:rPr>
          <w:sz w:val="24"/>
          <w:lang w:val="cs-CZ"/>
        </w:rPr>
        <w:t xml:space="preserve"> </w:t>
      </w:r>
      <w:r w:rsidR="00D76592" w:rsidRPr="00D76592">
        <w:rPr>
          <w:sz w:val="24"/>
          <w:lang w:val="cs-CZ"/>
        </w:rPr>
        <w:tab/>
      </w:r>
      <w:proofErr w:type="spellStart"/>
      <w:r w:rsidRPr="00D76592">
        <w:rPr>
          <w:sz w:val="24"/>
          <w:lang w:val="cs-CZ"/>
        </w:rPr>
        <w:t>Úř</w:t>
      </w:r>
      <w:proofErr w:type="spellEnd"/>
      <w:r w:rsidRPr="00D76592">
        <w:rPr>
          <w:sz w:val="24"/>
          <w:lang w:val="cs-CZ"/>
        </w:rPr>
        <w:t xml:space="preserve">. </w:t>
      </w:r>
      <w:proofErr w:type="spellStart"/>
      <w:proofErr w:type="gramStart"/>
      <w:r w:rsidRPr="00D76592">
        <w:rPr>
          <w:sz w:val="24"/>
          <w:lang w:val="cs-CZ"/>
        </w:rPr>
        <w:t>věst</w:t>
      </w:r>
      <w:proofErr w:type="spellEnd"/>
      <w:proofErr w:type="gramEnd"/>
      <w:r w:rsidRPr="00D76592">
        <w:rPr>
          <w:sz w:val="24"/>
          <w:lang w:val="cs-CZ"/>
        </w:rPr>
        <w:t xml:space="preserve">. L 122, </w:t>
      </w:r>
      <w:proofErr w:type="gramStart"/>
      <w:r w:rsidRPr="00D76592">
        <w:rPr>
          <w:sz w:val="24"/>
          <w:lang w:val="cs-CZ"/>
        </w:rPr>
        <w:t>10.5.2019</w:t>
      </w:r>
      <w:proofErr w:type="gramEnd"/>
      <w:r w:rsidRPr="00D76592">
        <w:rPr>
          <w:sz w:val="24"/>
          <w:lang w:val="cs-CZ"/>
        </w:rPr>
        <w:t>, s. 1.</w:t>
      </w:r>
    </w:p>
  </w:footnote>
  <w:footnote w:id="11">
    <w:p w:rsidR="00A23DD5" w:rsidRPr="00D76592" w:rsidRDefault="00A23DD5" w:rsidP="00D76592">
      <w:pPr>
        <w:pStyle w:val="FootnoteText"/>
        <w:ind w:left="567" w:hanging="567"/>
        <w:rPr>
          <w:sz w:val="24"/>
          <w:lang w:val="cs-CZ"/>
        </w:rPr>
      </w:pPr>
      <w:r w:rsidRPr="00D76592">
        <w:rPr>
          <w:sz w:val="24"/>
          <w:vertAlign w:val="superscript"/>
          <w:lang w:val="cs-CZ"/>
        </w:rPr>
        <w:footnoteRef/>
      </w:r>
      <w:r w:rsidR="00D76592" w:rsidRPr="00D76592">
        <w:rPr>
          <w:sz w:val="24"/>
          <w:lang w:val="cs-CZ"/>
        </w:rPr>
        <w:t xml:space="preserve"> </w:t>
      </w:r>
      <w:r w:rsidR="00D76592" w:rsidRPr="00D76592">
        <w:rPr>
          <w:sz w:val="24"/>
          <w:lang w:val="cs-CZ"/>
        </w:rPr>
        <w:tab/>
      </w:r>
      <w:proofErr w:type="spellStart"/>
      <w:r w:rsidRPr="00D76592">
        <w:rPr>
          <w:sz w:val="24"/>
          <w:lang w:val="cs-CZ"/>
        </w:rPr>
        <w:t>Úř</w:t>
      </w:r>
      <w:proofErr w:type="spellEnd"/>
      <w:r w:rsidRPr="00D76592">
        <w:rPr>
          <w:sz w:val="24"/>
          <w:lang w:val="cs-CZ"/>
        </w:rPr>
        <w:t xml:space="preserve">. </w:t>
      </w:r>
      <w:proofErr w:type="spellStart"/>
      <w:proofErr w:type="gramStart"/>
      <w:r w:rsidRPr="00D76592">
        <w:rPr>
          <w:sz w:val="24"/>
          <w:lang w:val="cs-CZ"/>
        </w:rPr>
        <w:t>věst</w:t>
      </w:r>
      <w:proofErr w:type="spellEnd"/>
      <w:proofErr w:type="gramEnd"/>
      <w:r w:rsidRPr="00D76592">
        <w:rPr>
          <w:sz w:val="24"/>
          <w:lang w:val="cs-CZ"/>
        </w:rPr>
        <w:t xml:space="preserve">. C 489, </w:t>
      </w:r>
      <w:proofErr w:type="gramStart"/>
      <w:r w:rsidRPr="00D76592">
        <w:rPr>
          <w:sz w:val="24"/>
          <w:lang w:val="cs-CZ"/>
        </w:rPr>
        <w:t>22.12.2022</w:t>
      </w:r>
      <w:proofErr w:type="gramEnd"/>
      <w:r w:rsidRPr="00D76592">
        <w:rPr>
          <w:sz w:val="24"/>
          <w:lang w:val="cs-CZ"/>
        </w:rPr>
        <w:t>, s. 7.</w:t>
      </w:r>
    </w:p>
  </w:footnote>
  <w:footnote w:id="12">
    <w:p w:rsidR="00A23DD5" w:rsidRPr="00D76592" w:rsidRDefault="00A23DD5" w:rsidP="00D76592">
      <w:pPr>
        <w:pStyle w:val="FootnoteText"/>
        <w:ind w:left="567" w:hanging="567"/>
        <w:rPr>
          <w:sz w:val="24"/>
          <w:lang w:val="cs-CZ"/>
        </w:rPr>
      </w:pPr>
      <w:r w:rsidRPr="00D76592">
        <w:rPr>
          <w:rStyle w:val="FootnoteReference"/>
          <w:sz w:val="24"/>
          <w:lang w:val="cs-CZ"/>
        </w:rPr>
        <w:footnoteRef/>
      </w:r>
      <w:r w:rsidR="00D76592" w:rsidRPr="00D76592">
        <w:rPr>
          <w:sz w:val="24"/>
          <w:lang w:val="cs-CZ"/>
        </w:rPr>
        <w:t xml:space="preserve"> </w:t>
      </w:r>
      <w:r w:rsidR="00D76592" w:rsidRPr="00D76592">
        <w:rPr>
          <w:sz w:val="24"/>
          <w:lang w:val="cs-CZ"/>
        </w:rPr>
        <w:tab/>
      </w:r>
      <w:r w:rsidRPr="00D76592">
        <w:rPr>
          <w:sz w:val="24"/>
          <w:lang w:val="cs-CZ"/>
        </w:rPr>
        <w:t>Nařízení Evropského parlamentu a Rady (EU) č. 536/2014 ze dne 16. dubna 2014 o klinických hodnoceních humánních léčivých přípravků a o zrušení směrnice 2001/20/ES (</w:t>
      </w:r>
      <w:proofErr w:type="spellStart"/>
      <w:r w:rsidRPr="00D76592">
        <w:rPr>
          <w:sz w:val="24"/>
          <w:lang w:val="cs-CZ"/>
        </w:rPr>
        <w:t>Úř</w:t>
      </w:r>
      <w:proofErr w:type="spellEnd"/>
      <w:r w:rsidRPr="00D76592">
        <w:rPr>
          <w:sz w:val="24"/>
          <w:lang w:val="cs-CZ"/>
        </w:rPr>
        <w:t xml:space="preserve">. </w:t>
      </w:r>
      <w:proofErr w:type="spellStart"/>
      <w:proofErr w:type="gramStart"/>
      <w:r w:rsidRPr="00D76592">
        <w:rPr>
          <w:sz w:val="24"/>
          <w:lang w:val="cs-CZ"/>
        </w:rPr>
        <w:t>věst</w:t>
      </w:r>
      <w:proofErr w:type="spellEnd"/>
      <w:proofErr w:type="gramEnd"/>
      <w:r w:rsidRPr="00D76592">
        <w:rPr>
          <w:sz w:val="24"/>
          <w:lang w:val="cs-CZ"/>
        </w:rPr>
        <w:t xml:space="preserve">. L 158, </w:t>
      </w:r>
      <w:proofErr w:type="gramStart"/>
      <w:r w:rsidRPr="00D76592">
        <w:rPr>
          <w:sz w:val="24"/>
          <w:lang w:val="cs-CZ"/>
        </w:rPr>
        <w:t>27.5.2014</w:t>
      </w:r>
      <w:proofErr w:type="gramEnd"/>
      <w:r w:rsidRPr="00D76592">
        <w:rPr>
          <w:sz w:val="24"/>
          <w:lang w:val="cs-CZ"/>
        </w:rPr>
        <w:t>, s. 1).</w:t>
      </w:r>
    </w:p>
  </w:footnote>
  <w:footnote w:id="13">
    <w:p w:rsidR="00A23DD5" w:rsidRPr="00D76592" w:rsidRDefault="00A23DD5" w:rsidP="00D76592">
      <w:pPr>
        <w:pStyle w:val="FootnoteText"/>
        <w:ind w:left="567" w:hanging="567"/>
        <w:rPr>
          <w:sz w:val="24"/>
          <w:lang w:val="cs-CZ"/>
        </w:rPr>
      </w:pPr>
      <w:r w:rsidRPr="00D76592">
        <w:rPr>
          <w:rStyle w:val="FootnoteReference"/>
          <w:sz w:val="24"/>
          <w:lang w:val="cs-CZ"/>
        </w:rPr>
        <w:footnoteRef/>
      </w:r>
      <w:r w:rsidR="00D76592" w:rsidRPr="00D76592">
        <w:rPr>
          <w:sz w:val="24"/>
          <w:lang w:val="cs-CZ"/>
        </w:rPr>
        <w:t xml:space="preserve"> </w:t>
      </w:r>
      <w:r w:rsidR="00D76592" w:rsidRPr="00D76592">
        <w:rPr>
          <w:sz w:val="24"/>
          <w:lang w:val="cs-CZ"/>
        </w:rPr>
        <w:tab/>
      </w:r>
      <w:r w:rsidRPr="00D76592">
        <w:rPr>
          <w:sz w:val="24"/>
          <w:lang w:val="cs-CZ"/>
        </w:rPr>
        <w:t>Nařízení Evropského parlamentu a Rady (EU) 2019/6 ze dne 11. prosince 2018 o veterinárních léčivých přípravcích a o zrušení směrnice 2001/82/ES (</w:t>
      </w:r>
      <w:proofErr w:type="spellStart"/>
      <w:r w:rsidRPr="00D76592">
        <w:rPr>
          <w:sz w:val="24"/>
          <w:lang w:val="cs-CZ"/>
        </w:rPr>
        <w:t>Úř</w:t>
      </w:r>
      <w:proofErr w:type="spellEnd"/>
      <w:r w:rsidRPr="00D76592">
        <w:rPr>
          <w:sz w:val="24"/>
          <w:lang w:val="cs-CZ"/>
        </w:rPr>
        <w:t xml:space="preserve">. </w:t>
      </w:r>
      <w:proofErr w:type="spellStart"/>
      <w:proofErr w:type="gramStart"/>
      <w:r w:rsidRPr="00D76592">
        <w:rPr>
          <w:sz w:val="24"/>
          <w:lang w:val="cs-CZ"/>
        </w:rPr>
        <w:t>věst</w:t>
      </w:r>
      <w:proofErr w:type="spellEnd"/>
      <w:proofErr w:type="gramEnd"/>
      <w:r w:rsidRPr="00D76592">
        <w:rPr>
          <w:sz w:val="24"/>
          <w:lang w:val="cs-CZ"/>
        </w:rPr>
        <w:t xml:space="preserve">. L 4, </w:t>
      </w:r>
      <w:proofErr w:type="gramStart"/>
      <w:r w:rsidRPr="00D76592">
        <w:rPr>
          <w:sz w:val="24"/>
          <w:lang w:val="cs-CZ"/>
        </w:rPr>
        <w:t>7.1.2019</w:t>
      </w:r>
      <w:proofErr w:type="gramEnd"/>
      <w:r w:rsidRPr="00D76592">
        <w:rPr>
          <w:sz w:val="24"/>
          <w:lang w:val="cs-CZ"/>
        </w:rPr>
        <w:t>, s. 43).</w:t>
      </w:r>
    </w:p>
  </w:footnote>
  <w:footnote w:id="14">
    <w:p w:rsidR="00A23DD5" w:rsidRPr="00D76592" w:rsidRDefault="00A23DD5" w:rsidP="00D76592">
      <w:pPr>
        <w:pStyle w:val="FootnoteText"/>
        <w:ind w:left="567" w:hanging="567"/>
        <w:rPr>
          <w:sz w:val="24"/>
          <w:lang w:val="cs-CZ"/>
        </w:rPr>
      </w:pPr>
      <w:r w:rsidRPr="00D76592">
        <w:rPr>
          <w:rStyle w:val="FootnoteReference"/>
          <w:sz w:val="24"/>
          <w:lang w:val="cs-CZ"/>
        </w:rPr>
        <w:footnoteRef/>
      </w:r>
      <w:r w:rsidR="00D76592" w:rsidRPr="00D76592">
        <w:rPr>
          <w:sz w:val="24"/>
          <w:lang w:val="cs-CZ"/>
        </w:rPr>
        <w:t xml:space="preserve"> </w:t>
      </w:r>
      <w:r w:rsidR="00D76592" w:rsidRPr="00D76592">
        <w:rPr>
          <w:sz w:val="24"/>
          <w:lang w:val="cs-CZ"/>
        </w:rPr>
        <w:tab/>
      </w:r>
      <w:r w:rsidRPr="00D76592">
        <w:rPr>
          <w:sz w:val="24"/>
          <w:lang w:val="cs-CZ"/>
        </w:rPr>
        <w:t>Nařízení Evropského parlamentu a Rady (EU) 2022/123 ze dne 25. ledna 2022 o posílené úloze Evropské agentury pro léčivé přípravky při připravenosti na krize a krizovém řízení v oblasti léčivých přípravků a zdravotnických prostředků (</w:t>
      </w:r>
      <w:proofErr w:type="spellStart"/>
      <w:r w:rsidRPr="00D76592">
        <w:rPr>
          <w:sz w:val="24"/>
          <w:lang w:val="cs-CZ"/>
        </w:rPr>
        <w:t>Úř</w:t>
      </w:r>
      <w:proofErr w:type="spellEnd"/>
      <w:r w:rsidRPr="00D76592">
        <w:rPr>
          <w:sz w:val="24"/>
          <w:lang w:val="cs-CZ"/>
        </w:rPr>
        <w:t xml:space="preserve">. </w:t>
      </w:r>
      <w:proofErr w:type="spellStart"/>
      <w:proofErr w:type="gramStart"/>
      <w:r w:rsidRPr="00D76592">
        <w:rPr>
          <w:sz w:val="24"/>
          <w:lang w:val="cs-CZ"/>
        </w:rPr>
        <w:t>věst</w:t>
      </w:r>
      <w:proofErr w:type="spellEnd"/>
      <w:proofErr w:type="gramEnd"/>
      <w:r w:rsidRPr="00D76592">
        <w:rPr>
          <w:sz w:val="24"/>
          <w:lang w:val="cs-CZ"/>
        </w:rPr>
        <w:t xml:space="preserve">. L 20, </w:t>
      </w:r>
      <w:proofErr w:type="gramStart"/>
      <w:r w:rsidRPr="00D76592">
        <w:rPr>
          <w:sz w:val="24"/>
          <w:lang w:val="cs-CZ"/>
        </w:rPr>
        <w:t>31.1.2022</w:t>
      </w:r>
      <w:proofErr w:type="gramEnd"/>
      <w:r w:rsidRPr="00D76592">
        <w:rPr>
          <w:sz w:val="24"/>
          <w:lang w:val="cs-CZ"/>
        </w:rPr>
        <w:t>, s. 1).</w:t>
      </w:r>
    </w:p>
  </w:footnote>
  <w:footnote w:id="15">
    <w:p w:rsidR="00A23DD5" w:rsidRPr="00D76592" w:rsidRDefault="00A23DD5" w:rsidP="00D76592">
      <w:pPr>
        <w:pStyle w:val="FootnoteText"/>
        <w:ind w:left="567" w:hanging="567"/>
        <w:rPr>
          <w:sz w:val="24"/>
          <w:szCs w:val="24"/>
          <w:lang w:val="cs-CZ"/>
        </w:rPr>
      </w:pPr>
      <w:r w:rsidRPr="00D76592">
        <w:rPr>
          <w:rStyle w:val="FootnoteReference"/>
          <w:sz w:val="24"/>
          <w:lang w:val="cs-CZ"/>
        </w:rPr>
        <w:footnoteRef/>
      </w:r>
      <w:r w:rsidR="00D76592" w:rsidRPr="00D76592">
        <w:rPr>
          <w:sz w:val="24"/>
          <w:lang w:val="cs-CZ"/>
        </w:rPr>
        <w:t xml:space="preserve"> </w:t>
      </w:r>
      <w:r w:rsidR="00D76592" w:rsidRPr="00D76592">
        <w:rPr>
          <w:sz w:val="24"/>
          <w:lang w:val="cs-CZ"/>
        </w:rPr>
        <w:tab/>
      </w:r>
      <w:r w:rsidRPr="00D76592">
        <w:rPr>
          <w:sz w:val="24"/>
          <w:lang w:val="cs-CZ"/>
        </w:rPr>
        <w:t>Nařízení Evropského parlamentu a Rady (EU) 2021/1119 ze dne 30. června 2021, kterým se stanoví rámec pro dosažení klimatické neutrality a mění nařízení (ES) č. 401/2009 a nařízení (EU) 2018/1999 („evropský právní rámec pro klima“) (</w:t>
      </w:r>
      <w:proofErr w:type="spellStart"/>
      <w:r w:rsidRPr="00D76592">
        <w:rPr>
          <w:sz w:val="24"/>
          <w:lang w:val="cs-CZ"/>
        </w:rPr>
        <w:t>Úř</w:t>
      </w:r>
      <w:proofErr w:type="spellEnd"/>
      <w:r w:rsidRPr="00D76592">
        <w:rPr>
          <w:sz w:val="24"/>
          <w:lang w:val="cs-CZ"/>
        </w:rPr>
        <w:t>. </w:t>
      </w:r>
      <w:proofErr w:type="spellStart"/>
      <w:proofErr w:type="gramStart"/>
      <w:r w:rsidRPr="00D76592">
        <w:rPr>
          <w:sz w:val="24"/>
          <w:lang w:val="cs-CZ"/>
        </w:rPr>
        <w:t>věst</w:t>
      </w:r>
      <w:proofErr w:type="spellEnd"/>
      <w:proofErr w:type="gramEnd"/>
      <w:r w:rsidRPr="00D76592">
        <w:rPr>
          <w:sz w:val="24"/>
          <w:lang w:val="cs-CZ"/>
        </w:rPr>
        <w:t xml:space="preserve">. L 243, </w:t>
      </w:r>
      <w:proofErr w:type="gramStart"/>
      <w:r w:rsidRPr="00D76592">
        <w:rPr>
          <w:sz w:val="24"/>
          <w:lang w:val="cs-CZ"/>
        </w:rPr>
        <w:t>9.7.2021</w:t>
      </w:r>
      <w:proofErr w:type="gramEnd"/>
      <w:r w:rsidRPr="00D76592">
        <w:rPr>
          <w:sz w:val="24"/>
          <w:lang w:val="cs-CZ"/>
        </w:rPr>
        <w:t>, s. 1).</w:t>
      </w:r>
    </w:p>
  </w:footnote>
  <w:footnote w:id="16">
    <w:p w:rsidR="00A23DD5" w:rsidRPr="00D76592" w:rsidRDefault="00A23DD5" w:rsidP="00D76592">
      <w:pPr>
        <w:pStyle w:val="FootnoteText"/>
        <w:ind w:left="567" w:hanging="567"/>
        <w:rPr>
          <w:sz w:val="24"/>
          <w:lang w:val="cs-CZ"/>
        </w:rPr>
      </w:pPr>
      <w:r w:rsidRPr="00D76592">
        <w:rPr>
          <w:rStyle w:val="FootnoteReference"/>
          <w:sz w:val="24"/>
          <w:lang w:val="cs-CZ"/>
        </w:rPr>
        <w:footnoteRef/>
      </w:r>
      <w:r w:rsidR="00D76592" w:rsidRPr="00D76592">
        <w:rPr>
          <w:sz w:val="24"/>
          <w:lang w:val="cs-CZ"/>
        </w:rPr>
        <w:t xml:space="preserve"> </w:t>
      </w:r>
      <w:r w:rsidR="00D76592" w:rsidRPr="00D76592">
        <w:rPr>
          <w:sz w:val="24"/>
          <w:lang w:val="cs-CZ"/>
        </w:rPr>
        <w:tab/>
      </w:r>
      <w:r w:rsidR="00F34C89">
        <w:rPr>
          <w:sz w:val="24"/>
          <w:lang w:val="cs-CZ"/>
        </w:rPr>
        <w:t>Přijaté texty, P9_TA(2024)0280</w:t>
      </w:r>
      <w:bookmarkStart w:id="12" w:name="_GoBack"/>
      <w:bookmarkEnd w:id="12"/>
      <w:r w:rsidRPr="00D76592">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9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9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CS"/>
    <w:docVar w:name="dvnumam" w:val="0"/>
    <w:docVar w:name="dvpe" w:val="753.524"/>
    <w:docVar w:name="dvrapporteur" w:val="Zpravodaj: "/>
    <w:docVar w:name="dvtitre" w:val="1. Rozhodnutí Evropského parlamentu ze dne.... 2024 o udělení absolutoria za plnění rozpočtu Evropské agentury pro léčivé přípravky na rozpočtový rok 2022(2023/2156(DEC))"/>
  </w:docVars>
  <w:rsids>
    <w:rsidRoot w:val="00287406"/>
    <w:rsid w:val="00002272"/>
    <w:rsid w:val="00064002"/>
    <w:rsid w:val="000677B9"/>
    <w:rsid w:val="000831BA"/>
    <w:rsid w:val="000A42CC"/>
    <w:rsid w:val="000E7DD9"/>
    <w:rsid w:val="0010095E"/>
    <w:rsid w:val="00125B37"/>
    <w:rsid w:val="00187494"/>
    <w:rsid w:val="001F32AE"/>
    <w:rsid w:val="002767FF"/>
    <w:rsid w:val="0028740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9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3DD5"/>
    <w:rsid w:val="00A43E52"/>
    <w:rsid w:val="00A4678D"/>
    <w:rsid w:val="00A778C7"/>
    <w:rsid w:val="00AA3786"/>
    <w:rsid w:val="00AB441E"/>
    <w:rsid w:val="00AB6293"/>
    <w:rsid w:val="00AC61E4"/>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592"/>
    <w:rsid w:val="00D834A0"/>
    <w:rsid w:val="00D872DF"/>
    <w:rsid w:val="00D91E21"/>
    <w:rsid w:val="00DA18CB"/>
    <w:rsid w:val="00DA7FCD"/>
    <w:rsid w:val="00E365E1"/>
    <w:rsid w:val="00E820A4"/>
    <w:rsid w:val="00EB006A"/>
    <w:rsid w:val="00EB4772"/>
    <w:rsid w:val="00ED169E"/>
    <w:rsid w:val="00ED4235"/>
    <w:rsid w:val="00F04346"/>
    <w:rsid w:val="00F075DC"/>
    <w:rsid w:val="00F149E9"/>
    <w:rsid w:val="00F34C8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E2EE28"/>
  <w15:chartTrackingRefBased/>
  <w15:docId w15:val="{7AB407C6-F3C5-42A4-AF40-DF5333525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23DD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23DD5"/>
    <w:pPr>
      <w:spacing w:before="480" w:after="240"/>
    </w:pPr>
  </w:style>
  <w:style w:type="paragraph" w:customStyle="1" w:styleId="PageHeading">
    <w:name w:val="PageHeading"/>
    <w:basedOn w:val="Normal"/>
    <w:rsid w:val="00A23DD5"/>
    <w:pPr>
      <w:keepNext/>
      <w:spacing w:after="480"/>
      <w:jc w:val="center"/>
    </w:pPr>
    <w:rPr>
      <w:rFonts w:ascii="Arial" w:hAnsi="Arial" w:cs="Arial"/>
      <w:b/>
    </w:rPr>
  </w:style>
  <w:style w:type="paragraph" w:customStyle="1" w:styleId="NormalBold">
    <w:name w:val="NormalBold"/>
    <w:basedOn w:val="Normal"/>
    <w:rsid w:val="00A23DD5"/>
    <w:rPr>
      <w:b/>
    </w:rPr>
  </w:style>
  <w:style w:type="paragraph" w:customStyle="1" w:styleId="NormalHanging12a">
    <w:name w:val="NormalHanging12a"/>
    <w:basedOn w:val="Normal"/>
    <w:link w:val="NormalHanging12aChar"/>
    <w:rsid w:val="00A23DD5"/>
    <w:pPr>
      <w:spacing w:after="240"/>
      <w:ind w:left="567" w:hanging="567"/>
    </w:pPr>
  </w:style>
  <w:style w:type="paragraph" w:customStyle="1" w:styleId="NormalCenter12a">
    <w:name w:val="NormalCenter12a"/>
    <w:basedOn w:val="Normal"/>
    <w:rsid w:val="00A23DD5"/>
    <w:pPr>
      <w:spacing w:after="240"/>
      <w:jc w:val="center"/>
    </w:pPr>
  </w:style>
  <w:style w:type="paragraph" w:styleId="Header">
    <w:name w:val="header"/>
    <w:basedOn w:val="Normal"/>
    <w:link w:val="HeaderChar"/>
    <w:rsid w:val="00A23DD5"/>
    <w:pPr>
      <w:tabs>
        <w:tab w:val="center" w:pos="4513"/>
        <w:tab w:val="right" w:pos="9026"/>
      </w:tabs>
    </w:pPr>
  </w:style>
  <w:style w:type="character" w:customStyle="1" w:styleId="HeaderChar">
    <w:name w:val="Header Char"/>
    <w:basedOn w:val="DefaultParagraphFont"/>
    <w:link w:val="Header"/>
    <w:rsid w:val="00A23DD5"/>
    <w:rPr>
      <w:sz w:val="24"/>
      <w:lang w:val="cs-CZ"/>
    </w:rPr>
  </w:style>
  <w:style w:type="paragraph" w:customStyle="1" w:styleId="EPFooter">
    <w:name w:val="EPFooter"/>
    <w:basedOn w:val="Normal"/>
    <w:rsid w:val="00A23DD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23DD5"/>
    <w:rPr>
      <w:sz w:val="24"/>
      <w:lang w:val="cs-CZ"/>
    </w:rPr>
  </w:style>
  <w:style w:type="paragraph" w:customStyle="1" w:styleId="Normal12Hanging">
    <w:name w:val="Normal12Hanging"/>
    <w:basedOn w:val="Normal"/>
    <w:rsid w:val="00A23DD5"/>
    <w:pPr>
      <w:spacing w:after="240"/>
      <w:ind w:left="567" w:hanging="567"/>
    </w:pPr>
  </w:style>
  <w:style w:type="paragraph" w:styleId="Footer">
    <w:name w:val="footer"/>
    <w:basedOn w:val="Normal"/>
    <w:link w:val="FooterChar"/>
    <w:rsid w:val="00AA3786"/>
    <w:pPr>
      <w:tabs>
        <w:tab w:val="center" w:pos="4513"/>
        <w:tab w:val="right" w:pos="9026"/>
      </w:tabs>
    </w:pPr>
  </w:style>
  <w:style w:type="character" w:customStyle="1" w:styleId="FooterChar">
    <w:name w:val="Footer Char"/>
    <w:basedOn w:val="DefaultParagraphFont"/>
    <w:link w:val="Footer"/>
    <w:rsid w:val="00AA3786"/>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18D89-AC9A-4F40-8DA5-5BC9FB6CB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4546</Words>
  <Characters>26374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2024-04-11T11:12:00Z</dcterms:created>
  <dcterms:modified xsi:type="dcterms:W3CDTF">2024-04-11T11:12:00Z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A9-0133/2024</vt:lpwstr>
  </property>
  <property fmtid="{D5CDD505-2E9C-101B-9397-08002B2CF9AE}" pid="4" name="&lt;Type&gt;">
    <vt:lpwstr>RR</vt:lpwstr>
  </property>
</Properties>
</file>