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8C7" w14:paraId="71564C31" w14:textId="77777777" w:rsidTr="0010095E">
        <w:trPr>
          <w:trHeight w:hRule="exact" w:val="1418"/>
        </w:trPr>
        <w:tc>
          <w:tcPr>
            <w:tcW w:w="6804" w:type="dxa"/>
            <w:shd w:val="clear" w:color="auto" w:fill="auto"/>
            <w:vAlign w:val="center"/>
          </w:tcPr>
          <w:p w14:paraId="08446D55" w14:textId="77777777" w:rsidR="00751A4A" w:rsidRPr="00CF68C7" w:rsidRDefault="00555B9B" w:rsidP="0010095E">
            <w:pPr>
              <w:pStyle w:val="EPName"/>
            </w:pPr>
            <w:r w:rsidRPr="00CF68C7">
              <w:t>Europa-Parlamentet</w:t>
            </w:r>
          </w:p>
          <w:p w14:paraId="442303F6" w14:textId="77777777" w:rsidR="00751A4A" w:rsidRPr="00CF68C7" w:rsidRDefault="00817416" w:rsidP="00756632">
            <w:pPr>
              <w:pStyle w:val="EPTerm"/>
              <w:rPr>
                <w:rStyle w:val="HideTWBExt"/>
                <w:noProof w:val="0"/>
                <w:vanish w:val="0"/>
                <w:color w:val="auto"/>
              </w:rPr>
            </w:pPr>
            <w:r w:rsidRPr="00CF68C7">
              <w:t>2019-2024</w:t>
            </w:r>
          </w:p>
        </w:tc>
        <w:tc>
          <w:tcPr>
            <w:tcW w:w="2268" w:type="dxa"/>
            <w:shd w:val="clear" w:color="auto" w:fill="auto"/>
          </w:tcPr>
          <w:p w14:paraId="0E5BC30C" w14:textId="77777777" w:rsidR="00751A4A" w:rsidRPr="00CF68C7" w:rsidRDefault="00187494" w:rsidP="0010095E">
            <w:pPr>
              <w:pStyle w:val="EPLogo"/>
            </w:pPr>
            <w:r w:rsidRPr="00CF68C7">
              <w:rPr>
                <w:noProof/>
                <w:lang w:val="en-GB"/>
              </w:rPr>
              <w:drawing>
                <wp:inline distT="0" distB="0" distL="0" distR="0" wp14:anchorId="10B1554C" wp14:editId="7E21F3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B5F3C8" w14:textId="77777777" w:rsidR="00D058B8" w:rsidRPr="00CF68C7" w:rsidRDefault="00D058B8" w:rsidP="004C5D52">
      <w:pPr>
        <w:pStyle w:val="LineTop"/>
      </w:pPr>
    </w:p>
    <w:p w14:paraId="5D55FC6C" w14:textId="77777777" w:rsidR="00680577" w:rsidRPr="00CF68C7" w:rsidRDefault="00555B9B" w:rsidP="00680577">
      <w:pPr>
        <w:pStyle w:val="EPBodyTA1"/>
      </w:pPr>
      <w:r w:rsidRPr="00CF68C7">
        <w:t>VEDTAGNE TEKSTER</w:t>
      </w:r>
    </w:p>
    <w:p w14:paraId="46C1A0FD" w14:textId="77777777" w:rsidR="00D058B8" w:rsidRPr="00CF68C7" w:rsidRDefault="00D058B8" w:rsidP="00D058B8">
      <w:pPr>
        <w:pStyle w:val="LineBottom"/>
      </w:pPr>
    </w:p>
    <w:p w14:paraId="0D49D704" w14:textId="64822A25" w:rsidR="00555B9B" w:rsidRPr="00CF68C7" w:rsidRDefault="00555B9B" w:rsidP="00555B9B">
      <w:pPr>
        <w:pStyle w:val="ATHeading1"/>
      </w:pPr>
      <w:bookmarkStart w:id="0" w:name="TANumber"/>
      <w:r w:rsidRPr="00CF68C7">
        <w:t>P9_TA(2024)0</w:t>
      </w:r>
      <w:r w:rsidR="0025472C">
        <w:t>245</w:t>
      </w:r>
      <w:bookmarkEnd w:id="0"/>
    </w:p>
    <w:p w14:paraId="64CA6468" w14:textId="77777777" w:rsidR="00555B9B" w:rsidRPr="00CF68C7" w:rsidRDefault="00555B9B" w:rsidP="00555B9B">
      <w:pPr>
        <w:pStyle w:val="ATHeading2"/>
      </w:pPr>
      <w:bookmarkStart w:id="1" w:name="title"/>
      <w:r w:rsidRPr="00CF68C7">
        <w:t>Decharge 2022: Det Europæiske Lægemiddelagentur</w:t>
      </w:r>
      <w:bookmarkEnd w:id="1"/>
    </w:p>
    <w:p w14:paraId="437ACD36" w14:textId="77777777" w:rsidR="00555B9B" w:rsidRPr="00CF68C7" w:rsidRDefault="00555B9B" w:rsidP="00555B9B">
      <w:pPr>
        <w:rPr>
          <w:i/>
          <w:vanish/>
        </w:rPr>
      </w:pPr>
      <w:r w:rsidRPr="00CF68C7">
        <w:rPr>
          <w:i/>
        </w:rPr>
        <w:fldChar w:fldCharType="begin"/>
      </w:r>
      <w:r w:rsidRPr="00CF68C7">
        <w:rPr>
          <w:i/>
        </w:rPr>
        <w:instrText xml:space="preserve"> TC"(</w:instrText>
      </w:r>
      <w:bookmarkStart w:id="2" w:name="DocNumber"/>
      <w:r w:rsidRPr="00CF68C7">
        <w:rPr>
          <w:i/>
        </w:rPr>
        <w:instrText>A9-0133/2024</w:instrText>
      </w:r>
      <w:bookmarkEnd w:id="2"/>
      <w:r w:rsidRPr="00CF68C7">
        <w:rPr>
          <w:i/>
        </w:rPr>
        <w:instrText xml:space="preserve"> - Ordfører: Petri Sarvamaa)"\l3 \n&gt; \* MERGEFORMAT </w:instrText>
      </w:r>
      <w:r w:rsidRPr="00CF68C7">
        <w:rPr>
          <w:i/>
        </w:rPr>
        <w:fldChar w:fldCharType="end"/>
      </w:r>
    </w:p>
    <w:p w14:paraId="591F6BE1" w14:textId="77777777" w:rsidR="00555B9B" w:rsidRPr="00CF68C7" w:rsidRDefault="00555B9B" w:rsidP="00555B9B">
      <w:pPr>
        <w:rPr>
          <w:vanish/>
        </w:rPr>
      </w:pPr>
      <w:bookmarkStart w:id="3" w:name="Commission"/>
      <w:r w:rsidRPr="00CF68C7">
        <w:rPr>
          <w:vanish/>
        </w:rPr>
        <w:t>Budgetkontroludvalget</w:t>
      </w:r>
      <w:bookmarkEnd w:id="3"/>
    </w:p>
    <w:p w14:paraId="257A79B8" w14:textId="77777777" w:rsidR="00555B9B" w:rsidRPr="00CF68C7" w:rsidRDefault="00555B9B" w:rsidP="00555B9B">
      <w:pPr>
        <w:rPr>
          <w:vanish/>
        </w:rPr>
      </w:pPr>
      <w:bookmarkStart w:id="4" w:name="PE"/>
      <w:r w:rsidRPr="00CF68C7">
        <w:rPr>
          <w:vanish/>
        </w:rPr>
        <w:t>PE753.524</w:t>
      </w:r>
      <w:bookmarkEnd w:id="4"/>
    </w:p>
    <w:p w14:paraId="669C5FA8" w14:textId="77777777" w:rsidR="00555B9B" w:rsidRPr="00CF68C7" w:rsidRDefault="00555B9B" w:rsidP="00555B9B">
      <w:pPr>
        <w:pStyle w:val="ATHeading3"/>
      </w:pPr>
      <w:bookmarkStart w:id="5" w:name="Sujet"/>
      <w:r w:rsidRPr="00CF68C7">
        <w:t>1. Europa-Parlamentets afgørelse af 11. april 2024 om decharge for gennemførelsen af budgettet for Det Europæiske Lægemiddelagentur for regnskabsåret 2022</w:t>
      </w:r>
      <w:bookmarkEnd w:id="5"/>
      <w:r w:rsidRPr="00CF68C7">
        <w:t xml:space="preserve"> </w:t>
      </w:r>
      <w:bookmarkStart w:id="6" w:name="References"/>
      <w:r w:rsidRPr="00CF68C7">
        <w:t>(2023/2156(DEC))</w:t>
      </w:r>
      <w:bookmarkEnd w:id="6"/>
    </w:p>
    <w:p w14:paraId="180EABBE" w14:textId="77777777" w:rsidR="00E90E42" w:rsidRPr="00CF68C7" w:rsidRDefault="00E90E42" w:rsidP="00E90E42">
      <w:pPr>
        <w:pStyle w:val="EPComma"/>
      </w:pPr>
      <w:bookmarkStart w:id="7" w:name="TextBodyBegin"/>
      <w:bookmarkEnd w:id="7"/>
      <w:r w:rsidRPr="00CF68C7">
        <w:rPr>
          <w:i/>
        </w:rPr>
        <w:t>Europa-Parlamentet,</w:t>
      </w:r>
    </w:p>
    <w:p w14:paraId="05DF473B" w14:textId="77777777" w:rsidR="00E90E42" w:rsidRPr="00CF68C7" w:rsidRDefault="00E90E42" w:rsidP="00E90E42">
      <w:pPr>
        <w:pStyle w:val="NormalHanging12a"/>
      </w:pPr>
      <w:r w:rsidRPr="00CF68C7">
        <w:t>–</w:t>
      </w:r>
      <w:r w:rsidRPr="00CF68C7">
        <w:tab/>
        <w:t>der henviser til det endelige årsregnskab for Det Europæiske Lægemiddelagentur for regnskabsåret 2022,</w:t>
      </w:r>
    </w:p>
    <w:p w14:paraId="61BC668B" w14:textId="77777777" w:rsidR="00E90E42" w:rsidRPr="00CF68C7" w:rsidRDefault="00E90E42" w:rsidP="00E90E42">
      <w:pPr>
        <w:pStyle w:val="NormalHanging12a"/>
      </w:pPr>
      <w:r w:rsidRPr="00CF68C7">
        <w:t>–</w:t>
      </w:r>
      <w:r w:rsidRPr="00CF68C7">
        <w:tab/>
        <w:t>der henviser til Revisionsrettens årsberetning om EU-agenturerne for regnskabsåret 2022, med agenturernes svar</w:t>
      </w:r>
      <w:r w:rsidRPr="00CF68C7">
        <w:rPr>
          <w:rStyle w:val="FootnoteReference"/>
        </w:rPr>
        <w:footnoteReference w:id="1"/>
      </w:r>
      <w:r w:rsidRPr="00CF68C7">
        <w:t>,</w:t>
      </w:r>
    </w:p>
    <w:p w14:paraId="13B6C09C" w14:textId="77777777" w:rsidR="00E90E42" w:rsidRPr="00CF68C7" w:rsidRDefault="00E90E42" w:rsidP="00E90E42">
      <w:pPr>
        <w:pStyle w:val="NormalHanging12a"/>
      </w:pPr>
      <w:r w:rsidRPr="00CF68C7">
        <w:t>–</w:t>
      </w:r>
      <w:r w:rsidRPr="00CF68C7">
        <w:tab/>
        <w:t>der henviser til Revisionsrettens erklæring for regnskabsåret 2022 om regnskabernes rigtighed</w:t>
      </w:r>
      <w:r w:rsidRPr="00CF68C7">
        <w:rPr>
          <w:rStyle w:val="FootnoteReference"/>
        </w:rPr>
        <w:footnoteReference w:id="2"/>
      </w:r>
      <w:r w:rsidRPr="00CF68C7">
        <w:t xml:space="preserve"> og de underliggende transaktioners lovlighed og formelle rigtighed, jf. artikel 287 i traktaten om Den Europæiske Unions funktionsmåde,</w:t>
      </w:r>
    </w:p>
    <w:p w14:paraId="6507D98A" w14:textId="67BBD668" w:rsidR="00E90E42" w:rsidRPr="00CF68C7" w:rsidRDefault="00E90E42" w:rsidP="00E90E42">
      <w:pPr>
        <w:pStyle w:val="NormalHanging12a"/>
      </w:pPr>
      <w:r w:rsidRPr="00CF68C7">
        <w:t>–</w:t>
      </w:r>
      <w:r w:rsidRPr="00CF68C7">
        <w:tab/>
        <w:t>der henviser til Rådets henstilling af den 22. februar 2024 om decharge til agenturet for gennemførelsen af budgettet for regnskabsåret 2022 (0</w:t>
      </w:r>
      <w:r w:rsidR="002B0DC5" w:rsidRPr="00CF68C7">
        <w:t>6180</w:t>
      </w:r>
      <w:r w:rsidRPr="00CF68C7">
        <w:t>/2024 – C9</w:t>
      </w:r>
      <w:r w:rsidRPr="00CF68C7">
        <w:noBreakHyphen/>
        <w:t>00</w:t>
      </w:r>
      <w:r w:rsidR="002B0DC5" w:rsidRPr="00CF68C7">
        <w:t>94</w:t>
      </w:r>
      <w:r w:rsidRPr="00CF68C7">
        <w:t>/2024),</w:t>
      </w:r>
    </w:p>
    <w:p w14:paraId="79317E29" w14:textId="77777777" w:rsidR="00E90E42" w:rsidRPr="00CF68C7" w:rsidRDefault="00E90E42" w:rsidP="00E90E42">
      <w:pPr>
        <w:pStyle w:val="NormalHanging12a"/>
      </w:pPr>
      <w:r w:rsidRPr="00CF68C7">
        <w:t>–</w:t>
      </w:r>
      <w:r w:rsidRPr="00CF68C7">
        <w:tab/>
        <w:t>der henviser til artikel 319 i traktaten om Den Europæiske Unions funktionsmåde,</w:t>
      </w:r>
    </w:p>
    <w:p w14:paraId="7AC1F4D6" w14:textId="77777777" w:rsidR="00E90E42" w:rsidRPr="00CF68C7" w:rsidRDefault="00E90E42" w:rsidP="00E90E42">
      <w:pPr>
        <w:pStyle w:val="NormalHanging12a"/>
      </w:pPr>
      <w:r w:rsidRPr="00CF68C7">
        <w:t>–</w:t>
      </w:r>
      <w:r w:rsidRPr="00CF68C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F68C7">
        <w:rPr>
          <w:rStyle w:val="FootnoteReference"/>
        </w:rPr>
        <w:footnoteReference w:id="3"/>
      </w:r>
      <w:r w:rsidRPr="00CF68C7">
        <w:t>, særlig artikel 70,</w:t>
      </w:r>
    </w:p>
    <w:p w14:paraId="7DDA9F03" w14:textId="77777777" w:rsidR="00E90E42" w:rsidRPr="00CF68C7" w:rsidRDefault="00E90E42" w:rsidP="00E90E42">
      <w:pPr>
        <w:pStyle w:val="NormalHanging12a"/>
      </w:pPr>
      <w:r w:rsidRPr="00CF68C7">
        <w:t>–</w:t>
      </w:r>
      <w:r w:rsidRPr="00CF68C7">
        <w:tab/>
        <w:t>der henviser til Europa-Parlamentets og Rådets forordning (EF) nr. 726/2004 af 31. marts 2004 om fastlæggelse af EU-procedurer for godkendelse og overvågning af humanmedicinske lægemidler og om oprettelse af et europæisk lægemiddelagentur</w:t>
      </w:r>
      <w:r w:rsidRPr="00CF68C7">
        <w:rPr>
          <w:rStyle w:val="FootnoteReference"/>
        </w:rPr>
        <w:footnoteReference w:id="4"/>
      </w:r>
      <w:r w:rsidRPr="00CF68C7">
        <w:t xml:space="preserve">, </w:t>
      </w:r>
      <w:r w:rsidRPr="00CF68C7">
        <w:lastRenderedPageBreak/>
        <w:t>særlig artikel 68,</w:t>
      </w:r>
    </w:p>
    <w:p w14:paraId="47133E3C" w14:textId="77777777" w:rsidR="00E90E42" w:rsidRPr="00CF68C7" w:rsidRDefault="00E90E42" w:rsidP="00E90E42">
      <w:pPr>
        <w:pStyle w:val="NormalHanging12a"/>
      </w:pPr>
      <w:r w:rsidRPr="00CF68C7">
        <w:t>–</w:t>
      </w:r>
      <w:r w:rsidRPr="00CF68C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F68C7">
        <w:rPr>
          <w:rStyle w:val="FootnoteReference"/>
        </w:rPr>
        <w:footnoteReference w:id="5"/>
      </w:r>
      <w:r w:rsidRPr="00CF68C7">
        <w:t>, særlig artikel 105,</w:t>
      </w:r>
    </w:p>
    <w:p w14:paraId="48475F49" w14:textId="77777777" w:rsidR="00E90E42" w:rsidRPr="00CF68C7" w:rsidRDefault="00E90E42" w:rsidP="00E90E42">
      <w:pPr>
        <w:pStyle w:val="NormalHanging12a"/>
      </w:pPr>
      <w:r w:rsidRPr="00CF68C7">
        <w:t>–</w:t>
      </w:r>
      <w:r w:rsidRPr="00CF68C7">
        <w:tab/>
        <w:t>der henviser til forretningsordenens artikel 100 og bilag V,</w:t>
      </w:r>
    </w:p>
    <w:p w14:paraId="751F450A" w14:textId="77777777" w:rsidR="00E90E42" w:rsidRPr="00CF68C7" w:rsidRDefault="00E90E42" w:rsidP="00E90E42">
      <w:pPr>
        <w:pStyle w:val="NormalHanging12a"/>
      </w:pPr>
      <w:r w:rsidRPr="00CF68C7">
        <w:t>–</w:t>
      </w:r>
      <w:r w:rsidRPr="00CF68C7">
        <w:tab/>
        <w:t>der henviser til udtalelse fra Udvalget om Miljø, Folkesundhed og Fødevaresikkerhed,</w:t>
      </w:r>
    </w:p>
    <w:p w14:paraId="4BA88273" w14:textId="77777777" w:rsidR="00E90E42" w:rsidRPr="00CF68C7" w:rsidRDefault="00E90E42" w:rsidP="00E90E42">
      <w:pPr>
        <w:pStyle w:val="NormalHanging12a"/>
      </w:pPr>
      <w:r w:rsidRPr="00CF68C7">
        <w:t>–</w:t>
      </w:r>
      <w:r w:rsidRPr="00CF68C7">
        <w:tab/>
        <w:t>der henviser til betænkning fra Budgetkontroludvalget (A9-0133/2024),</w:t>
      </w:r>
    </w:p>
    <w:p w14:paraId="1AA14C52" w14:textId="77777777" w:rsidR="00E90E42" w:rsidRPr="00CF68C7" w:rsidRDefault="00E90E42" w:rsidP="00E90E42">
      <w:pPr>
        <w:pStyle w:val="NormalHanging12a"/>
      </w:pPr>
      <w:r w:rsidRPr="00CF68C7">
        <w:t>1.</w:t>
      </w:r>
      <w:r w:rsidRPr="00CF68C7">
        <w:tab/>
        <w:t>meddeler den administrerende direktør for Det Europæiske Lægemiddelagentur decharge for gennemførelsen af agenturets budget for regnskabsåret 2022;</w:t>
      </w:r>
    </w:p>
    <w:p w14:paraId="38F9B7C3" w14:textId="77777777" w:rsidR="00E90E42" w:rsidRPr="00CF68C7" w:rsidRDefault="00E90E42" w:rsidP="00E90E42">
      <w:pPr>
        <w:pStyle w:val="NormalHanging12a"/>
      </w:pPr>
      <w:r w:rsidRPr="00CF68C7">
        <w:t>2.</w:t>
      </w:r>
      <w:r w:rsidRPr="00CF68C7">
        <w:tab/>
        <w:t>fremsætter sine bemærkninger i nedenstående beslutning;</w:t>
      </w:r>
    </w:p>
    <w:p w14:paraId="5F0B82BD" w14:textId="77777777" w:rsidR="00E90E42" w:rsidRPr="00CF68C7" w:rsidRDefault="00E90E42" w:rsidP="00E90E42">
      <w:pPr>
        <w:pStyle w:val="NormalHanging12a"/>
      </w:pPr>
      <w:r w:rsidRPr="00CF68C7">
        <w:t>3.</w:t>
      </w:r>
      <w:r w:rsidRPr="00CF68C7">
        <w:tab/>
        <w:t xml:space="preserve">pålægger sin formand at sende denne afgørelse og beslutningen, der er en integrerende del heraf, til den administrerende direktør for Det Europæiske Lægemiddelagentur, Rådet, Kommissionen og Revisionsretten og drage omsorg for, at de offentliggøres i </w:t>
      </w:r>
      <w:r w:rsidRPr="00CF68C7">
        <w:rPr>
          <w:i/>
          <w:iCs/>
        </w:rPr>
        <w:t>Den Europæiske Unions Tidende</w:t>
      </w:r>
      <w:r w:rsidRPr="00CF68C7">
        <w:t xml:space="preserve"> (L-udgaven).</w:t>
      </w:r>
    </w:p>
    <w:p w14:paraId="57A370C3" w14:textId="77777777" w:rsidR="00E90E42" w:rsidRPr="00CF68C7" w:rsidRDefault="00E90E42" w:rsidP="00E90E42"/>
    <w:p w14:paraId="3429DC75" w14:textId="77777777" w:rsidR="00E90E42" w:rsidRPr="00CF68C7" w:rsidRDefault="00E90E42" w:rsidP="00E90E42">
      <w:pPr>
        <w:widowControl/>
        <w:rPr>
          <w:rFonts w:ascii="Arial" w:hAnsi="Arial" w:cs="Arial"/>
          <w:b/>
        </w:rPr>
        <w:sectPr w:rsidR="00E90E42" w:rsidRPr="00CF68C7" w:rsidSect="00BA476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4FB3265" w14:textId="77777777" w:rsidR="00E90E42" w:rsidRPr="00CF68C7" w:rsidRDefault="00E90E42" w:rsidP="002B0DC5">
      <w:pPr>
        <w:pStyle w:val="ATHeading3"/>
      </w:pPr>
      <w:bookmarkStart w:id="8" w:name="_Toc146810493"/>
      <w:bookmarkStart w:id="9" w:name="_Toc161734417"/>
      <w:bookmarkStart w:id="10" w:name="_Toc161994406"/>
      <w:r w:rsidRPr="00CF68C7">
        <w:t xml:space="preserve">2. </w:t>
      </w:r>
      <w:bookmarkEnd w:id="8"/>
      <w:bookmarkEnd w:id="9"/>
      <w:bookmarkEnd w:id="10"/>
      <w:r w:rsidR="002B0DC5" w:rsidRPr="00CF68C7">
        <w:t xml:space="preserve">Europa-Parlamentets afgørelse af 11. april 2024 </w:t>
      </w:r>
      <w:r w:rsidRPr="00CF68C7">
        <w:t>om afslutning af regnskaberne for Det Europæiske Lægemiddelagentur for regnskabsåret 2022</w:t>
      </w:r>
      <w:r w:rsidR="002B0DC5" w:rsidRPr="00CF68C7">
        <w:t xml:space="preserve"> (2023</w:t>
      </w:r>
      <w:r w:rsidRPr="00CF68C7">
        <w:t>/2156(DEC))</w:t>
      </w:r>
    </w:p>
    <w:p w14:paraId="73C927E0" w14:textId="77777777" w:rsidR="00E90E42" w:rsidRPr="00CF68C7" w:rsidRDefault="00E90E42" w:rsidP="00E90E42">
      <w:pPr>
        <w:pStyle w:val="EPComma"/>
      </w:pPr>
      <w:r w:rsidRPr="00CF68C7">
        <w:rPr>
          <w:i/>
          <w:iCs/>
        </w:rPr>
        <w:t>Europa-Parlamentet</w:t>
      </w:r>
      <w:r w:rsidRPr="00CF68C7">
        <w:t>,</w:t>
      </w:r>
    </w:p>
    <w:p w14:paraId="070BBEC1" w14:textId="77777777" w:rsidR="00E90E42" w:rsidRPr="00CF68C7" w:rsidRDefault="00E90E42" w:rsidP="00E90E42">
      <w:pPr>
        <w:pStyle w:val="NormalHanging12a"/>
      </w:pPr>
      <w:r w:rsidRPr="00CF68C7">
        <w:t>–</w:t>
      </w:r>
      <w:r w:rsidRPr="00CF68C7">
        <w:tab/>
        <w:t>der henviser til det endelige årsregnskab for Det Europæiske Lægemiddelagentur for regnskabsåret 2022,</w:t>
      </w:r>
    </w:p>
    <w:p w14:paraId="68A1A7AF" w14:textId="77777777" w:rsidR="00E90E42" w:rsidRPr="00CF68C7" w:rsidRDefault="00E90E42" w:rsidP="00E90E42">
      <w:pPr>
        <w:pStyle w:val="NormalHanging12a"/>
      </w:pPr>
      <w:r w:rsidRPr="00CF68C7">
        <w:t>–</w:t>
      </w:r>
      <w:r w:rsidRPr="00CF68C7">
        <w:tab/>
        <w:t>der henviser til Revisionsrettens årsberetning om EU-agenturerne for regnskabsåret 2022, med agenturernes svar</w:t>
      </w:r>
      <w:r w:rsidRPr="00CF68C7">
        <w:rPr>
          <w:rStyle w:val="FootnoteReference"/>
        </w:rPr>
        <w:footnoteReference w:id="6"/>
      </w:r>
      <w:r w:rsidRPr="00CF68C7">
        <w:t>,</w:t>
      </w:r>
    </w:p>
    <w:p w14:paraId="1CAADFE9" w14:textId="77777777" w:rsidR="00E90E42" w:rsidRPr="00CF68C7" w:rsidRDefault="00E90E42" w:rsidP="00E90E42">
      <w:pPr>
        <w:pStyle w:val="NormalHanging12a"/>
      </w:pPr>
      <w:r w:rsidRPr="00CF68C7">
        <w:t>–</w:t>
      </w:r>
      <w:r w:rsidRPr="00CF68C7">
        <w:tab/>
        <w:t>der henviser til Revisionsrettens erklæring for regnskabsåret 2022 om regnskabernes rigtighed</w:t>
      </w:r>
      <w:r w:rsidRPr="00CF68C7">
        <w:rPr>
          <w:rStyle w:val="FootnoteReference"/>
        </w:rPr>
        <w:footnoteReference w:id="7"/>
      </w:r>
      <w:r w:rsidRPr="00CF68C7">
        <w:t xml:space="preserve"> og de underliggende transaktioners lovlighed og formelle rigtighed, jf. artikel 287 i traktaten om Den Europæiske Unions funktionsmåde,</w:t>
      </w:r>
    </w:p>
    <w:p w14:paraId="625CA05F" w14:textId="6C5352D9" w:rsidR="00E90E42" w:rsidRPr="00CF68C7" w:rsidRDefault="00E90E42" w:rsidP="00E90E42">
      <w:pPr>
        <w:pStyle w:val="NormalHanging12a"/>
      </w:pPr>
      <w:r w:rsidRPr="00CF68C7">
        <w:t>–</w:t>
      </w:r>
      <w:r w:rsidRPr="00CF68C7">
        <w:tab/>
        <w:t>der henviser til Rådets henstilling af den 22. februar 2024 om decharge til agenturet for gennemførelsen af budgettet for regnskabsåret 2022 (0</w:t>
      </w:r>
      <w:r w:rsidR="002B0DC5" w:rsidRPr="00CF68C7">
        <w:t>6180</w:t>
      </w:r>
      <w:r w:rsidRPr="00CF68C7">
        <w:t>/2024 – C9</w:t>
      </w:r>
      <w:r w:rsidRPr="00CF68C7">
        <w:noBreakHyphen/>
        <w:t>00</w:t>
      </w:r>
      <w:r w:rsidR="002B0DC5" w:rsidRPr="00CF68C7">
        <w:t>94</w:t>
      </w:r>
      <w:r w:rsidRPr="00CF68C7">
        <w:t>/2024),</w:t>
      </w:r>
    </w:p>
    <w:p w14:paraId="1681353B" w14:textId="77777777" w:rsidR="00E90E42" w:rsidRPr="00CF68C7" w:rsidRDefault="00E90E42" w:rsidP="00E90E42">
      <w:pPr>
        <w:pStyle w:val="NormalHanging12a"/>
      </w:pPr>
      <w:r w:rsidRPr="00CF68C7">
        <w:t>–</w:t>
      </w:r>
      <w:r w:rsidRPr="00CF68C7">
        <w:tab/>
        <w:t>der henviser til artikel 319 i traktaten om Den Europæiske Unions funktionsmåde,</w:t>
      </w:r>
    </w:p>
    <w:p w14:paraId="75E3CE4E" w14:textId="77777777" w:rsidR="00E90E42" w:rsidRPr="00CF68C7" w:rsidRDefault="00E90E42" w:rsidP="00E90E42">
      <w:pPr>
        <w:pStyle w:val="NormalHanging12a"/>
      </w:pPr>
      <w:r w:rsidRPr="00CF68C7">
        <w:t>–</w:t>
      </w:r>
      <w:r w:rsidRPr="00CF68C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F68C7">
        <w:rPr>
          <w:rStyle w:val="FootnoteReference"/>
        </w:rPr>
        <w:footnoteReference w:id="8"/>
      </w:r>
      <w:r w:rsidRPr="00CF68C7">
        <w:t>, særlig artikel 70,</w:t>
      </w:r>
    </w:p>
    <w:p w14:paraId="3F6E772E" w14:textId="77777777" w:rsidR="00E90E42" w:rsidRPr="00CF68C7" w:rsidRDefault="00E90E42" w:rsidP="00E90E42">
      <w:pPr>
        <w:pStyle w:val="NormalHanging12a"/>
      </w:pPr>
      <w:r w:rsidRPr="00CF68C7">
        <w:t>–</w:t>
      </w:r>
      <w:r w:rsidRPr="00CF68C7">
        <w:tab/>
        <w:t>der henviser til Europa-Parlamentets og Rådets forordning (EF) nr. 726/2004 af 31. marts 2004 om fastlæggelse af EU-procedurer for godkendelse og overvågning af humanmedicinske lægemidler og om oprettelse af et europæisk lægemiddelagentur</w:t>
      </w:r>
      <w:r w:rsidRPr="00CF68C7">
        <w:rPr>
          <w:rStyle w:val="FootnoteReference"/>
        </w:rPr>
        <w:footnoteReference w:id="9"/>
      </w:r>
      <w:r w:rsidRPr="00CF68C7">
        <w:t>, særlig artikel 68,</w:t>
      </w:r>
    </w:p>
    <w:p w14:paraId="0BDEE878" w14:textId="77777777" w:rsidR="00E90E42" w:rsidRPr="00CF68C7" w:rsidRDefault="00E90E42" w:rsidP="00E90E42">
      <w:pPr>
        <w:pStyle w:val="NormalHanging12a"/>
      </w:pPr>
      <w:r w:rsidRPr="00CF68C7">
        <w:t>–</w:t>
      </w:r>
      <w:r w:rsidRPr="00CF68C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F68C7">
        <w:rPr>
          <w:rStyle w:val="FootnoteReference"/>
        </w:rPr>
        <w:footnoteReference w:id="10"/>
      </w:r>
      <w:r w:rsidRPr="00CF68C7">
        <w:t>, særlig artikel 105,</w:t>
      </w:r>
    </w:p>
    <w:p w14:paraId="01890563" w14:textId="77777777" w:rsidR="00E90E42" w:rsidRPr="00CF68C7" w:rsidRDefault="00E90E42" w:rsidP="00E90E42">
      <w:pPr>
        <w:pStyle w:val="NormalHanging12a"/>
      </w:pPr>
      <w:r w:rsidRPr="00CF68C7">
        <w:t>–</w:t>
      </w:r>
      <w:r w:rsidRPr="00CF68C7">
        <w:tab/>
        <w:t>der henviser til forretningsordenens artikel 100 og bilag V,</w:t>
      </w:r>
    </w:p>
    <w:p w14:paraId="00A04684" w14:textId="77777777" w:rsidR="00E90E42" w:rsidRPr="00CF68C7" w:rsidRDefault="00E90E42" w:rsidP="00E90E42">
      <w:pPr>
        <w:pStyle w:val="NormalHanging12a"/>
      </w:pPr>
      <w:r w:rsidRPr="00CF68C7">
        <w:t>–</w:t>
      </w:r>
      <w:r w:rsidRPr="00CF68C7">
        <w:tab/>
        <w:t>der henviser til udtalelse fra Udvalget om Miljø, Folkesundhed og Fødevaresikkerhed,</w:t>
      </w:r>
    </w:p>
    <w:p w14:paraId="1FBDD520" w14:textId="77777777" w:rsidR="00E90E42" w:rsidRPr="00CF68C7" w:rsidRDefault="00E90E42" w:rsidP="00E90E42">
      <w:pPr>
        <w:pStyle w:val="NormalHanging12a"/>
      </w:pPr>
      <w:r w:rsidRPr="00CF68C7">
        <w:t>–</w:t>
      </w:r>
      <w:r w:rsidRPr="00CF68C7">
        <w:tab/>
        <w:t>der henviser til betænkning fra Budgetkontroludvalget (A9-0133/2024),</w:t>
      </w:r>
    </w:p>
    <w:p w14:paraId="50A6012E" w14:textId="77777777" w:rsidR="00E90E42" w:rsidRPr="00CF68C7" w:rsidRDefault="00E90E42" w:rsidP="00E90E42">
      <w:pPr>
        <w:pStyle w:val="NormalHanging12a"/>
      </w:pPr>
      <w:r w:rsidRPr="00CF68C7">
        <w:t>1.</w:t>
      </w:r>
      <w:r w:rsidRPr="00CF68C7">
        <w:tab/>
        <w:t>godkender afslutningen af regnskaberne for Det Europæiske Lægemiddelagentur for regnskabsåret 2022;</w:t>
      </w:r>
    </w:p>
    <w:p w14:paraId="0B881705" w14:textId="77777777" w:rsidR="00E90E42" w:rsidRPr="00CF68C7" w:rsidRDefault="00E90E42" w:rsidP="00E90E42">
      <w:pPr>
        <w:pStyle w:val="NormalHanging12a"/>
      </w:pPr>
      <w:r w:rsidRPr="00CF68C7">
        <w:t>2.</w:t>
      </w:r>
      <w:r w:rsidRPr="00CF68C7">
        <w:tab/>
        <w:t xml:space="preserve">pålægger sin formand at sende denne afgørelse til den administrerende direktør for Det Europæiske Lægemiddelagentur, Rådet, Kommissionen og Revisionsretten og drage omsorg for, at den offentliggøres i </w:t>
      </w:r>
      <w:r w:rsidRPr="00CF68C7">
        <w:rPr>
          <w:i/>
          <w:iCs/>
        </w:rPr>
        <w:t>Den Europæiske Unions Tidende</w:t>
      </w:r>
      <w:r w:rsidRPr="00CF68C7">
        <w:t xml:space="preserve"> (L-udgaven).</w:t>
      </w:r>
    </w:p>
    <w:p w14:paraId="7EE7D9C1" w14:textId="77777777" w:rsidR="00E90E42" w:rsidRPr="00CF68C7" w:rsidRDefault="00E90E42" w:rsidP="00E90E42"/>
    <w:p w14:paraId="1F99B122" w14:textId="77777777" w:rsidR="00E90E42" w:rsidRPr="00CF68C7" w:rsidRDefault="00E90E42" w:rsidP="00E90E42">
      <w:pPr>
        <w:widowControl/>
        <w:rPr>
          <w:rFonts w:ascii="Arial" w:hAnsi="Arial" w:cs="Arial"/>
          <w:b/>
        </w:rPr>
        <w:sectPr w:rsidR="00E90E42" w:rsidRPr="00CF68C7" w:rsidSect="00BA476B">
          <w:footnotePr>
            <w:numRestart w:val="eachPage"/>
          </w:footnotePr>
          <w:endnotePr>
            <w:numFmt w:val="decimal"/>
          </w:endnotePr>
          <w:pgSz w:w="11906" w:h="16838"/>
          <w:pgMar w:top="1134" w:right="1418" w:bottom="1418" w:left="1418" w:header="567" w:footer="567" w:gutter="0"/>
          <w:cols w:space="720"/>
          <w:docGrid w:linePitch="326"/>
        </w:sectPr>
      </w:pPr>
    </w:p>
    <w:p w14:paraId="662D2E1B" w14:textId="77777777" w:rsidR="00E90E42" w:rsidRPr="00CF68C7" w:rsidRDefault="00E90E42" w:rsidP="002B0DC5">
      <w:pPr>
        <w:pStyle w:val="ATHeading3"/>
      </w:pPr>
      <w:bookmarkStart w:id="11" w:name="_Toc146810494"/>
      <w:bookmarkStart w:id="12" w:name="_Toc161734418"/>
      <w:bookmarkStart w:id="13" w:name="_Toc161994407"/>
      <w:r w:rsidRPr="00CF68C7">
        <w:t xml:space="preserve">3. </w:t>
      </w:r>
      <w:bookmarkEnd w:id="11"/>
      <w:bookmarkEnd w:id="12"/>
      <w:bookmarkEnd w:id="13"/>
      <w:r w:rsidR="002B0DC5" w:rsidRPr="00CF68C7">
        <w:t xml:space="preserve">Europa-Parlamentets beslutning af 11. april 2024 </w:t>
      </w:r>
      <w:r w:rsidRPr="00CF68C7">
        <w:t>med bemærkningerne, der er en integrerende del af afgørelsen om decharge for gennemførelsen af budgettet for Det Europæiske Lægemiddelagentur for regnskabsåret 2022</w:t>
      </w:r>
      <w:r w:rsidR="002B0DC5" w:rsidRPr="00CF68C7">
        <w:t xml:space="preserve"> (2023</w:t>
      </w:r>
      <w:r w:rsidRPr="00CF68C7">
        <w:t>/2156(DEC))</w:t>
      </w:r>
    </w:p>
    <w:p w14:paraId="6E4EA9F5" w14:textId="77777777" w:rsidR="00E90E42" w:rsidRPr="00CF68C7" w:rsidRDefault="00E90E42" w:rsidP="00E90E42">
      <w:pPr>
        <w:pStyle w:val="EPComma"/>
      </w:pPr>
      <w:r w:rsidRPr="00CF68C7">
        <w:rPr>
          <w:i/>
          <w:iCs/>
        </w:rPr>
        <w:t>Europa-Parlamentet</w:t>
      </w:r>
      <w:r w:rsidRPr="00CF68C7">
        <w:t>,</w:t>
      </w:r>
    </w:p>
    <w:p w14:paraId="5ADB0846" w14:textId="77777777" w:rsidR="00E90E42" w:rsidRPr="00CF68C7" w:rsidRDefault="00E90E42" w:rsidP="00E90E42">
      <w:pPr>
        <w:pStyle w:val="NormalHanging12a"/>
      </w:pPr>
      <w:r w:rsidRPr="00CF68C7">
        <w:t>–</w:t>
      </w:r>
      <w:r w:rsidRPr="00CF68C7">
        <w:tab/>
        <w:t>der henviser til sin afgørelse om decharge for gennemførelsen af budgettet for Det Europæiske Lægemiddelagentur for regnskabsåret 2022,</w:t>
      </w:r>
    </w:p>
    <w:p w14:paraId="1FD95167" w14:textId="77777777" w:rsidR="00E90E42" w:rsidRPr="00CF68C7" w:rsidRDefault="00E90E42" w:rsidP="00E90E42">
      <w:pPr>
        <w:pStyle w:val="NormalHanging12a"/>
      </w:pPr>
      <w:r w:rsidRPr="00CF68C7">
        <w:t>–</w:t>
      </w:r>
      <w:r w:rsidRPr="00CF68C7">
        <w:tab/>
        <w:t>der henviser til forretningsordenens artikel 100 og bilag V,</w:t>
      </w:r>
    </w:p>
    <w:p w14:paraId="6F14AC70" w14:textId="77777777" w:rsidR="00E90E42" w:rsidRPr="00CF68C7" w:rsidRDefault="00E90E42" w:rsidP="00E90E42">
      <w:pPr>
        <w:pStyle w:val="NormalHanging12a"/>
      </w:pPr>
      <w:r w:rsidRPr="00CF68C7">
        <w:t>–</w:t>
      </w:r>
      <w:r w:rsidRPr="00CF68C7">
        <w:tab/>
        <w:t>der henviser til udtalelse fra Udvalget om Miljø, Folkesundhed og Fødevaresikkerhed,</w:t>
      </w:r>
    </w:p>
    <w:p w14:paraId="07284498" w14:textId="77777777" w:rsidR="00E90E42" w:rsidRPr="00CF68C7" w:rsidRDefault="00E90E42" w:rsidP="00E90E42">
      <w:pPr>
        <w:pStyle w:val="NormalHanging12a"/>
      </w:pPr>
      <w:r w:rsidRPr="00CF68C7">
        <w:t>–</w:t>
      </w:r>
      <w:r w:rsidRPr="00CF68C7">
        <w:tab/>
        <w:t>der henviser til betænkning fra Budgetkontroludvalget (A9-0133/2024),</w:t>
      </w:r>
    </w:p>
    <w:p w14:paraId="2EDC3118" w14:textId="77777777" w:rsidR="00E90E42" w:rsidRPr="00CF68C7" w:rsidRDefault="00E90E42" w:rsidP="00E90E42">
      <w:pPr>
        <w:pStyle w:val="Normal12Hanging"/>
        <w:widowControl/>
        <w:rPr>
          <w:szCs w:val="24"/>
        </w:rPr>
      </w:pPr>
      <w:r w:rsidRPr="00CF68C7">
        <w:t>A.</w:t>
      </w:r>
      <w:r w:rsidRPr="00CF68C7">
        <w:tab/>
        <w:t>der henviser til, at det endelige budget for Det Europæiske Lægemiddelagentur ("agenturet") for regnskabsåret 2022 ifølge dets oversigt over indtægter og udgifter</w:t>
      </w:r>
      <w:r w:rsidRPr="00CF68C7">
        <w:rPr>
          <w:szCs w:val="24"/>
          <w:vertAlign w:val="superscript"/>
        </w:rPr>
        <w:footnoteReference w:id="11"/>
      </w:r>
      <w:r w:rsidRPr="00CF68C7">
        <w:t xml:space="preserve"> var på 421 815 000 EUR, hvilket svarer til en stigning på 11,23 % i forhold til 2021; der henviser til, at agenturet er et gebyrfinansieret agentur, og at omkring 88 % af dets indtægter i 2022 stammede fra gebyrer opkrævet i forbindelse med evaluering af lægemidler og andre erhvervsrelaterede aktiviteter, og 12 % stammede fra Unionens budget og diverse indtægter;</w:t>
      </w:r>
    </w:p>
    <w:p w14:paraId="50543032" w14:textId="77777777" w:rsidR="00E90E42" w:rsidRPr="00CF68C7" w:rsidRDefault="00E90E42" w:rsidP="00E90E42">
      <w:pPr>
        <w:pStyle w:val="Normal12Hanging"/>
        <w:widowControl/>
        <w:rPr>
          <w:szCs w:val="24"/>
        </w:rPr>
      </w:pPr>
      <w:r w:rsidRPr="00CF68C7">
        <w:t>B.</w:t>
      </w:r>
      <w:r w:rsidRPr="00CF68C7">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48C9DD22" w14:textId="77777777" w:rsidR="00E90E42" w:rsidRPr="00CF68C7" w:rsidRDefault="00E90E42" w:rsidP="00E90E42">
      <w:pPr>
        <w:pStyle w:val="Normal12Hanging"/>
        <w:rPr>
          <w:szCs w:val="24"/>
        </w:rPr>
      </w:pPr>
      <w:r w:rsidRPr="00CF68C7">
        <w:t>C.</w:t>
      </w:r>
      <w:r w:rsidRPr="00CF68C7">
        <w:tab/>
        <w:t>der henviser til, at der med hensyn til agenturets udbudsafdeling ikke blev indberettet nogen problemer i 2022, som nødvendiggjorde korrigerende foranstaltninger, og at der heller ikke er igangværende eller udestående korrigerende foranstaltninger fra tidligere års revisioner og vurderinger;</w:t>
      </w:r>
    </w:p>
    <w:p w14:paraId="03353B92" w14:textId="77777777" w:rsidR="00E90E42" w:rsidRPr="00CF68C7" w:rsidRDefault="00E90E42" w:rsidP="00E90E42">
      <w:pPr>
        <w:pStyle w:val="Normal12Hanging"/>
        <w:widowControl/>
        <w:rPr>
          <w:b/>
          <w:i/>
          <w:szCs w:val="24"/>
        </w:rPr>
      </w:pPr>
      <w:r w:rsidRPr="00CF68C7">
        <w:rPr>
          <w:b/>
          <w:i/>
        </w:rPr>
        <w:t>Budgetmæssig og økonomisk forvaltning</w:t>
      </w:r>
    </w:p>
    <w:p w14:paraId="2C3AF7D4" w14:textId="77777777" w:rsidR="00E90E42" w:rsidRPr="00CF68C7" w:rsidRDefault="00E90E42" w:rsidP="00E90E42">
      <w:pPr>
        <w:pStyle w:val="Normal12Hanging"/>
        <w:widowControl/>
      </w:pPr>
      <w:r w:rsidRPr="00CF68C7">
        <w:t>1.</w:t>
      </w:r>
      <w:r w:rsidRPr="00CF68C7">
        <w:tab/>
        <w:t>bemærker, at budgetovervågningsindsatsen i regnskabsåret 2022 resulterede i en budgetgennemførelsesgrad for forpligtelsesbevillinger for det pågældende år på 96,80 %, hvilket svarer til et fald på 0,42 % i forhold til 2021; beklager, at udnyttelsesgraden for betalingsbevillinger i det pågældende år var på 71,48 %, hvilket svarer til et fald på 0,88 % i forhold til 2021;</w:t>
      </w:r>
    </w:p>
    <w:p w14:paraId="6D4244CD" w14:textId="77777777" w:rsidR="00E90E42" w:rsidRPr="00CF68C7" w:rsidRDefault="00E90E42" w:rsidP="00E90E42">
      <w:pPr>
        <w:pStyle w:val="Normal12Hanging"/>
        <w:widowControl/>
      </w:pPr>
      <w:r w:rsidRPr="00CF68C7">
        <w:t>2.</w:t>
      </w:r>
      <w:r w:rsidRPr="00CF68C7">
        <w:tab/>
        <w:t>bemærker, at agenturet i forbindelse med en revideret betaling på 2 mio. EUR først godkendte den tilhørende budgetforpligtelse, efter at den retlige forpligtelse var blevet godkendt; minder om, at dette er i strid med artikel 73, stk. 2, i agenturets finansforordning; opfordrer agenturet til at træffe øjeblikkelige foranstaltninger og gennemføre foranstaltninger til at sikre, at alle finansielle transaktioner er i overensstemmelse med agenturets finansforordning;</w:t>
      </w:r>
    </w:p>
    <w:p w14:paraId="22565393" w14:textId="77777777" w:rsidR="00E90E42" w:rsidRPr="00CF68C7" w:rsidRDefault="00E90E42" w:rsidP="00E90E42">
      <w:pPr>
        <w:pStyle w:val="NormalHanging12a"/>
      </w:pPr>
      <w:r w:rsidRPr="00CF68C7">
        <w:t>3.</w:t>
      </w:r>
      <w:r w:rsidRPr="00CF68C7">
        <w:tab/>
        <w:t>minder om, at eventuelle forpligtelser frem til 2039 som følge af lejemålet af agenturets tidligere kontorlokaler i London stadig er et vedvarende problem; bemærker med bekymring, at den anslåede udestående leje samt de hertil knyttede administrationsgebyrer og forsikringspræmier, som agenturet skal betale frem til lejemålets ophør, udgjorde i alt 366 mio. EUR pr. 31. december 2022, hvilket er omkring 23 mio. EUR om året; bemærker, at agenturet i juli 2019 indgik en aftale med sin udlejer og med virkning fra juli 2019 fremlejede sine tidligere lokaler til en underlejer på vilkår, som svarer til vilkårene i hovedlejekontrakten; erkender, at fremlejekontrakten gælder indtil udløbet af agenturets lejemål i juni 2039, og at agenturet, eftersom det fortsat er part i hovedlejekontrakten, kan holdes ansvarligt for det samlede resterende beløb, der i henhold til vilkårene i denne kontrakt skal betales, hvis underlejeren ikke opfylder sine forpligtelser; gør opmærksom på et andet element, som fremgår af agenturets regnskaber, nemlig den usikkerhed, der er forbundet med de finansielle resultater i dets underlejers øverste moderselskab som følge af dets forringede kreditvurdering og nylige gældsomlægning, som førte til, at det stoppede sine betalinger; noterer sig, at agenturet og dets bestyrelse er betænkelige ved, at agenturet i stedet for udelukkende at fokusere på sin opgave med at beskytte og fremme folkesundheden nu også skal forvalte en erhvervsejendom i et tredjeland og dirigere sine menneskelige og økonomiske ressourcer bort fra sit folkesundhedsmæssige ansvar over for Unionens borgere; er bekendt med, at Parlamentets Budgetudvalg den 11. januar 2024 havde en drøftelse med agenturet om den mulige ændring af agenturets fremleje af agenturets tidligere hjemsted i London; fastholder, at der er behov for en politisk beslutning for at sikre en langsigtet løsning på dette problem; insisterer på, at der, mens der arbejdes på en langsigtet løsning, bør findes og iværksættes en kortsigtet foranstaltning for at håndtere og inddæmme problemet, eftersom underlejeren fortsat ikke betaler sin husleje;</w:t>
      </w:r>
    </w:p>
    <w:p w14:paraId="64D105D7" w14:textId="77777777" w:rsidR="00E90E42" w:rsidRPr="00CF68C7" w:rsidRDefault="00E90E42" w:rsidP="00E90E42">
      <w:pPr>
        <w:pStyle w:val="Normal12Hanging"/>
        <w:widowControl/>
        <w:rPr>
          <w:b/>
          <w:i/>
          <w:szCs w:val="24"/>
        </w:rPr>
      </w:pPr>
      <w:r w:rsidRPr="00CF68C7">
        <w:rPr>
          <w:b/>
          <w:i/>
        </w:rPr>
        <w:t>Performance</w:t>
      </w:r>
    </w:p>
    <w:p w14:paraId="41DA0855" w14:textId="77777777" w:rsidR="00E90E42" w:rsidRPr="00CF68C7" w:rsidRDefault="00E90E42" w:rsidP="00E90E42">
      <w:pPr>
        <w:pStyle w:val="Normal12Hanging"/>
        <w:widowControl/>
        <w:rPr>
          <w:szCs w:val="24"/>
        </w:rPr>
      </w:pPr>
      <w:r w:rsidRPr="00CF68C7">
        <w:t>4.</w:t>
      </w:r>
      <w:r w:rsidRPr="00CF68C7">
        <w:tab/>
        <w:t>noterer sig, at agenturet i 2022 rapporterede om 41 resultatindikatorer og anslog en gennemførelsesgrad på 92,60 %; bemærker, at agenturet i 2022 udnyttede sit hverv som formand for den internationale koalition af lægemiddelreguleringsmyndigheder til at fremskynde arbejdet med harmonisering af internationale reguleringsordninger; bemærker, at agenturet også sørgede for at gennemføre tre vigtige retsakter (forordning (EU) nr. 536/2014</w:t>
      </w:r>
      <w:r w:rsidRPr="00CF68C7">
        <w:rPr>
          <w:rStyle w:val="FootnoteReference"/>
          <w:szCs w:val="24"/>
        </w:rPr>
        <w:footnoteReference w:id="12"/>
      </w:r>
      <w:r w:rsidRPr="00CF68C7">
        <w:t>, forordning (EU) 2019/6</w:t>
      </w:r>
      <w:r w:rsidRPr="00CF68C7">
        <w:rPr>
          <w:rStyle w:val="FootnoteReference"/>
          <w:szCs w:val="24"/>
        </w:rPr>
        <w:footnoteReference w:id="13"/>
      </w:r>
      <w:r w:rsidRPr="00CF68C7">
        <w:t xml:space="preserve"> og det udvidede mandat i forordning (EU) 2022/123</w:t>
      </w:r>
      <w:r w:rsidRPr="00CF68C7">
        <w:rPr>
          <w:rStyle w:val="FootnoteReference"/>
          <w:szCs w:val="24"/>
        </w:rPr>
        <w:footnoteReference w:id="14"/>
      </w:r>
      <w:r w:rsidRPr="00CF68C7">
        <w:t>) og fremskynde arbejdet med datastyring;</w:t>
      </w:r>
    </w:p>
    <w:p w14:paraId="647E8F0D" w14:textId="77777777" w:rsidR="00E90E42" w:rsidRPr="00CF68C7" w:rsidRDefault="00E90E42" w:rsidP="00E90E42">
      <w:pPr>
        <w:pStyle w:val="Normal12Hanging"/>
        <w:widowControl/>
        <w:rPr>
          <w:szCs w:val="24"/>
        </w:rPr>
      </w:pPr>
      <w:r w:rsidRPr="00CF68C7">
        <w:t>5.</w:t>
      </w:r>
      <w:r w:rsidRPr="00CF68C7">
        <w:tab/>
        <w:t>glæder sig over, at agenturets mandat blev forlænget den 1. marts 2022 med ikrafttrædelsen af forordning (EU) 2022/123, som styrkede dets rolle i forbindelse med kriseberedskab og krisestyring med hensyn til lægemidler og medicinsk udstyr; bemærker, at denne forordning pålagde agenturet at oprette nye organer såsom Styringsgruppen vedrørende Mangel på Lægemidler og Taskforcen for Krisesituationer, og at agenturet desuden overtog forvaltningen af ekspertpanelerne for medicinsk udstyr, som blev overført til agenturet fra Kommissionens Fælles Forskningscenter; bemærker endvidere, at agenturet i henhold til forordning (EU) 2022/123 er ansvarligt for at overvåge hændelser, der kan føre til en krise, rapportere om og koordinere Unionens reaktion på mangel på kritiske lægemidler, medicinsk udstyr og in vitro-diagnostisk medicinsk udstyr under en krise;</w:t>
      </w:r>
    </w:p>
    <w:p w14:paraId="6642CE52" w14:textId="77777777" w:rsidR="00E90E42" w:rsidRPr="00CF68C7" w:rsidRDefault="00E90E42" w:rsidP="00E90E42">
      <w:pPr>
        <w:pStyle w:val="Normal12Hanging"/>
        <w:widowControl/>
        <w:rPr>
          <w:szCs w:val="24"/>
        </w:rPr>
      </w:pPr>
      <w:r w:rsidRPr="00CF68C7">
        <w:t>6.</w:t>
      </w:r>
      <w:r w:rsidRPr="00CF68C7">
        <w:tab/>
        <w:t>fremhæver, at andre vigtige resultater i 2022 omfatter godkendelsen af to nye vacciner og to covid-19-behandlinger, og at Taskforcen for Krisesituationer anbefalede midlertidig anvendelse af den amerikansk-godkendte vaccine mod abekopper "Jynneos for Monkeypox" til støtte for de nationale EU-myndigheders vaccinationsindsats sideløbende med en udvidelse af anvendelsen af Imvanex til også at beskytte voksne mod abekopper; noterer sig, at agenturet desuden samarbejdede med lægecentret på Erasmus Universitet i Rotterdam om at oprette koordinationscentret for "Data Analysis and Real-World Interrogation Network" (DARWIN EU®), der skal fungere som stifinder for det foreslåede europæiske sundhedsdataområde og forbinde tjenester inden for rammerne af det europæiske sundhedsdataområde som led i reguleringen af lægemidler; bemærker endvidere, at gennemførelsen af "Scaled Agile Framework" indebar omstilling af agenturets IT-portefølje til Agile-arbejdsmetoden, fastlæggelse af værdistrømme i overensstemmelse med agenturets kerneopgave, og operationalisering af produkthold inden for disse værdistrømme; opfordrer agenturet til at lære af disse erfaringer og til fremover at gøre brug af bedste praksis udledt af dem;</w:t>
      </w:r>
    </w:p>
    <w:p w14:paraId="2BF20F82" w14:textId="77777777" w:rsidR="00E90E42" w:rsidRPr="00CF68C7" w:rsidRDefault="00E90E42" w:rsidP="00E90E42">
      <w:pPr>
        <w:pStyle w:val="NormalHanging12a"/>
      </w:pPr>
      <w:r w:rsidRPr="00CF68C7">
        <w:t>7.</w:t>
      </w:r>
      <w:r w:rsidRPr="00CF68C7">
        <w:tab/>
        <w:t>gør på ny opmærksom på den centrale rolle, som agenturet spiller med hensyn til at beskytte folkesundheden og dyresundheden ved at vurdere og føre tilsyn med human- og veterinærmedicinske lægemidler og beskytte folkesundheden ved at skabe øget bevidsthed om vigtige spørgsmål, bl.a. antimikrobiel resistens og forebyggelse af overførbare sygdomme ved hjælp af vaccination;</w:t>
      </w:r>
    </w:p>
    <w:p w14:paraId="0049C167" w14:textId="77777777" w:rsidR="00E90E42" w:rsidRPr="00CF68C7" w:rsidRDefault="00E90E42" w:rsidP="00E90E42">
      <w:pPr>
        <w:pStyle w:val="NormalHanging12a"/>
      </w:pPr>
      <w:r w:rsidRPr="00CF68C7">
        <w:t>8.</w:t>
      </w:r>
      <w:r w:rsidRPr="00CF68C7">
        <w:tab/>
        <w:t>bemærker imidlertid, at utilstrækkelige ressourcer til agenturet kan undergrave agenturets mulighed for at opfylde sin opgave, og opfordrer Kommissionen og Rådet til at afsætte tilstrækkelige EU-midler til at sikre, at agenturet har ressourcer nok til uden forsinkelse at kunne varetage alle sine aktiviteter inden for den brede vifte af reguleringsmekanismer, herunder fremme udviklingen af og adgangen til lægemidler, støtte forskning og innovation, og sit ansvar for at overvåge og afbøde potentielle eller faktiske mangler på kritiske lægemidler;</w:t>
      </w:r>
    </w:p>
    <w:p w14:paraId="288D315C" w14:textId="77777777" w:rsidR="00E90E42" w:rsidRPr="00CF68C7" w:rsidRDefault="00E90E42" w:rsidP="00E90E42">
      <w:pPr>
        <w:pStyle w:val="Normal12Hanging"/>
      </w:pPr>
      <w:r w:rsidRPr="00CF68C7">
        <w:t>9.</w:t>
      </w:r>
      <w:r w:rsidRPr="00CF68C7">
        <w:tab/>
        <w:t>anerkender, at 2022 stadig var kendetegnet ved et betydeligt niveau af covid-19-relaterede aktiviteter, med et skift fra aktiviteter forud for markedsføringstilladelsen og i forbindelse med den oprindelige markedsføringstilladelse til aktiviteter efter at markedsføringstilladelsen var givet;</w:t>
      </w:r>
    </w:p>
    <w:p w14:paraId="4BAB5EF4" w14:textId="77777777" w:rsidR="00E90E42" w:rsidRPr="00CF68C7" w:rsidRDefault="00E90E42" w:rsidP="00E90E42">
      <w:pPr>
        <w:pStyle w:val="NormalHanging12a"/>
      </w:pPr>
      <w:r w:rsidRPr="00CF68C7">
        <w:t>10.</w:t>
      </w:r>
      <w:r w:rsidRPr="00CF68C7">
        <w:tab/>
        <w:t>glæder sig over, at 52 % af de ansøgere, der har fået en positiv udtalelse om deres lægemiddel, har modtaget videnskabelig rådgivning eller protokolbistand fra agenturet i udviklingsfasen for deres produkt, mens dette tal stiger til 78 % for ansøgere om lægemidler med nye virksomme stoffer; er af den opfattelse, at tidlig rådgivning har potentiale til at strømline godkendelsesprocessen betydeligt og føre til udvikling af sikre og effektive lægemidler;</w:t>
      </w:r>
    </w:p>
    <w:p w14:paraId="08669847" w14:textId="77777777" w:rsidR="00E90E42" w:rsidRPr="00CF68C7" w:rsidRDefault="00E90E42" w:rsidP="00E90E42">
      <w:pPr>
        <w:pStyle w:val="Normal12Hanging"/>
        <w:widowControl/>
        <w:rPr>
          <w:b/>
          <w:i/>
          <w:szCs w:val="24"/>
        </w:rPr>
      </w:pPr>
      <w:r w:rsidRPr="00CF68C7">
        <w:rPr>
          <w:b/>
          <w:i/>
        </w:rPr>
        <w:t>Effektivitet og gevinster</w:t>
      </w:r>
    </w:p>
    <w:p w14:paraId="62EC82E7" w14:textId="77777777" w:rsidR="00E90E42" w:rsidRPr="00CF68C7" w:rsidRDefault="00E90E42" w:rsidP="00E90E42">
      <w:pPr>
        <w:pStyle w:val="Normal12Hanging"/>
        <w:widowControl/>
        <w:rPr>
          <w:szCs w:val="24"/>
        </w:rPr>
      </w:pPr>
      <w:r w:rsidRPr="00CF68C7">
        <w:t>11.</w:t>
      </w:r>
      <w:r w:rsidRPr="00CF68C7">
        <w:tab/>
        <w:t>er bekendt med, at agenturet i 2022 fortsatte gennemførelsen af sin strategi for at opnå effektivitetsgevinster med fokus på forbedring af processer og digitalisering;</w:t>
      </w:r>
    </w:p>
    <w:p w14:paraId="2666D114" w14:textId="77777777" w:rsidR="00E90E42" w:rsidRPr="00CF68C7" w:rsidRDefault="00E90E42" w:rsidP="00E90E42">
      <w:pPr>
        <w:pStyle w:val="Normal12Hanging"/>
        <w:widowControl/>
        <w:rPr>
          <w:szCs w:val="24"/>
        </w:rPr>
      </w:pPr>
      <w:r w:rsidRPr="00CF68C7">
        <w:t>12.</w:t>
      </w:r>
      <w:r w:rsidRPr="00CF68C7">
        <w:tab/>
        <w:t>bemærker, at agenturet gennem arbejdet i sit digitale innovationslaboratorium (DigiLab) undersøgte mulighederne for at indføre automatisering af administrativt arbejde; bemærker, at DigiLab iværksatte 14 automatiseringsprojekter, som var blevet prioriteret og godkendt af ledelsesteamet for digital acceleration sammen med ekspertisecenteret for analyse (ACE), herunder automatisering af e-mailkategorisering, oprettelse af lister over kliniske breakpoints og en EU-pilotdatabase med en liste over referencedatoer med henblik på effektivitetsgevinster i forbindelse med vedligeholdelse og offentliggørelse på agenturets websted; bemærker, at DigiLab også samarbejdede med ACE om at afprøve fem potentielle løsninger på forretningsmæssige udfordringer;</w:t>
      </w:r>
    </w:p>
    <w:p w14:paraId="516FBB17" w14:textId="77777777" w:rsidR="00E90E42" w:rsidRPr="00CF68C7" w:rsidRDefault="00E90E42" w:rsidP="00E90E42">
      <w:pPr>
        <w:pStyle w:val="Normal12Hanging"/>
        <w:widowControl/>
        <w:rPr>
          <w:szCs w:val="24"/>
        </w:rPr>
      </w:pPr>
      <w:r w:rsidRPr="00CF68C7">
        <w:t>13.</w:t>
      </w:r>
      <w:r w:rsidRPr="00CF68C7">
        <w:tab/>
        <w:t>glæder sig over, at agenturet som led i sin digitaliseringsindsats i 2022 færdiggjorde integrationen af inspektioner af god klinisk praksis og god lægemiddelovervågningspraksis i sin IT-portal IRIS, hvilket øger produktiviteten, gennemsigtigheden og samarbejdet i overensstemmelse med agenturets program for digital omstilling, som efter anmodning fra Udvalget for Humanmedicinske Lægemidler eller Udvalget for Lægemidler til Dyr fører tilsyn med inspektioner af lægemidler og veterinærlægemidler inden for rammerne af den centraliserede procedure eller henvisningsprocessen; opfordrer agenturet til at finde flere interne procedurer, der kan strømlines via digitalisering;</w:t>
      </w:r>
    </w:p>
    <w:p w14:paraId="46693E7E" w14:textId="77777777" w:rsidR="00E90E42" w:rsidRPr="00CF68C7" w:rsidRDefault="00E90E42" w:rsidP="00E90E42">
      <w:pPr>
        <w:pStyle w:val="Normal12Hanging"/>
        <w:widowControl/>
        <w:rPr>
          <w:szCs w:val="24"/>
        </w:rPr>
      </w:pPr>
      <w:r w:rsidRPr="00CF68C7">
        <w:t>14.</w:t>
      </w:r>
      <w:r w:rsidRPr="00CF68C7">
        <w:tab/>
        <w:t>bemærker, at agenturet i 2022 som led i procesforbedringsdimensionerne arbejdede på en omstilling i henhold til Agile-metoden med henblik på at skabe øget gennemsigtighed, opnå en reduceret administrativ byrde og mere tydelig ansvarlighed gennem en ny forvaltningsmodel og arbejdsmetode inden for informationsstyring/IT;</w:t>
      </w:r>
    </w:p>
    <w:p w14:paraId="4E8F3925" w14:textId="77777777" w:rsidR="00E90E42" w:rsidRPr="00CF68C7" w:rsidRDefault="00E90E42" w:rsidP="00E90E42">
      <w:pPr>
        <w:pStyle w:val="Normal12Hanging"/>
        <w:widowControl/>
        <w:rPr>
          <w:szCs w:val="24"/>
        </w:rPr>
      </w:pPr>
      <w:r w:rsidRPr="00CF68C7">
        <w:t>15.</w:t>
      </w:r>
      <w:r w:rsidRPr="00CF68C7">
        <w:tab/>
        <w:t>påpeger, at agenturet i 2022 gradvist genoptog aktiviteterne i sin bygning, samtidig med at det opretholdt fleksible arbejdsordninger og gav mulighed for at telearbejde op til 60 % af arbejdstiden på månedsbasis, at midlertidige regler for forretningsrejser prioriterede virtuel deltagelse i konferencer, møder og kurser, hvor fysisk deltagelse blev anset for at give strategisk merværdi, og at der blev gennemført en beslutning om at veksle mellem virtuelle og fysiske rammer for videnskabelige udvalgsmøder og arbejdsgrupper med henblik på at styre kapaciteten på stedet og bidrage til kontrol med CO</w:t>
      </w:r>
      <w:r w:rsidRPr="00CF68C7">
        <w:rPr>
          <w:vertAlign w:val="subscript"/>
        </w:rPr>
        <w:t>2</w:t>
      </w:r>
      <w:r w:rsidRPr="00CF68C7">
        <w:t>-fodaftrykket, hvilket resulterede i lavere CO</w:t>
      </w:r>
      <w:r w:rsidRPr="00CF68C7">
        <w:rPr>
          <w:vertAlign w:val="subscript"/>
        </w:rPr>
        <w:t>2</w:t>
      </w:r>
      <w:r w:rsidRPr="00CF68C7">
        <w:t>-emissioner i forhold til årene før pandemien trods genoptagelsen af fysiske aktiviteter;</w:t>
      </w:r>
    </w:p>
    <w:p w14:paraId="67902452" w14:textId="77777777" w:rsidR="00E90E42" w:rsidRPr="00CF68C7" w:rsidRDefault="00E90E42" w:rsidP="00E90E42">
      <w:pPr>
        <w:pStyle w:val="NormalHanging12a"/>
      </w:pPr>
      <w:r w:rsidRPr="00CF68C7">
        <w:t>16.</w:t>
      </w:r>
      <w:r w:rsidRPr="00CF68C7">
        <w:tab/>
        <w:t>minder om betydningen af at øge digitaliseringen af agenturet med hensyn til interne operationer og forvaltning, men også med henblik på at fremskynde digitaliseringen af procedurerne; understreger nødvendigheden af, at agenturet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insisterer på behovet for at intensivere indsatsen mod cyberangreb eller forsøg på infiltration, navnlig dem, der stammer fra Rusland eller Kina;</w:t>
      </w:r>
    </w:p>
    <w:p w14:paraId="1FCE3C80" w14:textId="77777777" w:rsidR="00E90E42" w:rsidRPr="00CF68C7" w:rsidRDefault="00E90E42" w:rsidP="00E90E42">
      <w:pPr>
        <w:pStyle w:val="NormalHanging12a"/>
      </w:pPr>
      <w:r w:rsidRPr="00CF68C7">
        <w:t>17.</w:t>
      </w:r>
      <w:r w:rsidRPr="00CF68C7">
        <w:tab/>
        <w:t>bemærker med tilfredshed, at agenturet samarbejder med andre agenturer, navnlig Det Europæiske Center for Forebyggelse af og Kontrol med Sygdomme og Den Europæiske Fødevaresikkerhedsautoritet, bl.a. om den europæiske vaccinationsinformationsportal, med henblik på overvågning af vaccinesikkerhed og indberetning af bivirkninger samt overvågning af forbruget af antimikrobielle stoffer og af antimikrobiel resistens;</w:t>
      </w:r>
    </w:p>
    <w:p w14:paraId="45F3C4C1" w14:textId="77777777" w:rsidR="00E90E42" w:rsidRPr="00CF68C7" w:rsidRDefault="00E90E42" w:rsidP="00E90E42">
      <w:pPr>
        <w:pStyle w:val="NormalHanging12a"/>
      </w:pPr>
      <w:r w:rsidRPr="00CF68C7">
        <w:t>18.</w:t>
      </w:r>
      <w:r w:rsidRPr="00CF68C7">
        <w:tab/>
        <w:t>anmoder agenturet om fortsat at fremme samarbejdet med andre EU-agenturer og internationale organisationer og om at skabe dialog med interessenter og borgere;</w:t>
      </w:r>
    </w:p>
    <w:p w14:paraId="33CFFA2E" w14:textId="77777777" w:rsidR="00E90E42" w:rsidRPr="00CF68C7" w:rsidRDefault="00E90E42" w:rsidP="00E90E42">
      <w:pPr>
        <w:pStyle w:val="Normal12Hanging"/>
        <w:widowControl/>
        <w:rPr>
          <w:b/>
          <w:i/>
          <w:szCs w:val="24"/>
        </w:rPr>
      </w:pPr>
      <w:r w:rsidRPr="00CF68C7">
        <w:rPr>
          <w:b/>
          <w:i/>
        </w:rPr>
        <w:t>Personalepolitik</w:t>
      </w:r>
    </w:p>
    <w:p w14:paraId="4CBD76ED" w14:textId="77777777" w:rsidR="00E90E42" w:rsidRPr="00CF68C7" w:rsidRDefault="00E90E42" w:rsidP="00E90E42">
      <w:pPr>
        <w:pStyle w:val="Normal12Hanging"/>
        <w:widowControl/>
        <w:rPr>
          <w:szCs w:val="24"/>
        </w:rPr>
      </w:pPr>
      <w:r w:rsidRPr="00CF68C7">
        <w:t>19.</w:t>
      </w:r>
      <w:r w:rsidRPr="00CF68C7">
        <w:tab/>
        <w:t>bemærker, at gennemførelsesgraden for stillingsfortegnelsen pr. 31. december 2022 var 99,39 % med 658 midlertidigt ansatte ud af de 662 midlertidigt ansatte, som var godkendt i henhold til Unionens budget (i forhold til 657 godkendte stillinger i 2021); bemærker, at der derudover arbejdede 192 kontraktansatte, 25 udstationerede nationale eksperter og 114 vikarer for agenturet i 2022;</w:t>
      </w:r>
    </w:p>
    <w:p w14:paraId="1B882F20" w14:textId="77777777" w:rsidR="00E90E42" w:rsidRPr="00CF68C7" w:rsidRDefault="00E90E42" w:rsidP="00E90E42">
      <w:pPr>
        <w:pStyle w:val="NormalHanging12a"/>
      </w:pPr>
      <w:r w:rsidRPr="00CF68C7">
        <w:t>20.</w:t>
      </w:r>
      <w:r w:rsidRPr="00CF68C7">
        <w:tab/>
        <w:t>beklager den manglende kønsbalance i agenturets bestyrelse, hvor 36 ud af 67 (54 %) er mænd, og for det samlede personale, hvor 568 ud af 865 (66 %) er kvinder; beklager endvidere, at 17 ud af 27 (63 %) i den øverste ledelse er mænd; er af den faste overbevisning, at kønsbalancen blandt medlemmerne af agenturets øverste ledelse og mellemledere og det administrative personale skal forbedres i et hurtigere tempo;</w:t>
      </w:r>
    </w:p>
    <w:p w14:paraId="5284ADF9" w14:textId="77777777" w:rsidR="00E90E42" w:rsidRPr="00CF68C7" w:rsidRDefault="00E90E42" w:rsidP="00E90E42">
      <w:pPr>
        <w:pStyle w:val="NormalHanging12a"/>
      </w:pPr>
      <w:r w:rsidRPr="00CF68C7">
        <w:t>21.</w:t>
      </w:r>
      <w:r w:rsidRPr="00CF68C7">
        <w:tab/>
        <w:t>gør opmærksom på sin bekymring over den geografiske balance blandt agenturets top</w:t>
      </w:r>
      <w:r w:rsidRPr="00CF68C7">
        <w:noBreakHyphen/>
        <w:t xml:space="preserve"> og mellemledere, idet der kun er én leder fra Central- og Østeuropa; insisterer på, at der skal ske forbedringer; anmoder agenturet om at rapportere tilbage til dechargemyndigheden herom;</w:t>
      </w:r>
    </w:p>
    <w:p w14:paraId="47131102" w14:textId="77777777" w:rsidR="00E90E42" w:rsidRPr="00CF68C7" w:rsidRDefault="00E90E42" w:rsidP="00E90E42">
      <w:pPr>
        <w:pStyle w:val="NormalHanging12a"/>
      </w:pPr>
      <w:r w:rsidRPr="00CF68C7">
        <w:t>22.</w:t>
      </w:r>
      <w:r w:rsidRPr="00CF68C7">
        <w:tab/>
        <w:t>minder om vigtigheden af at sikre kønsbalance og anerkender i den henseende, at agenturet er ved at gennemføre forskellige initiativer til at afhjælpe kønsskævheden i den øverste ledelse, herunder et ledelsesudviklingsprogram, interne mobilitetsmuligheder og oprettelse af ledelsesfællesskaber for at motivere og støtte kvindelige medarbejdere; bemærker, at der er ved at blive opbygget en talentpulje blandt chefer for kontorer, tjenester og afdelinger, med en gradvis stigning i antallet af kvindelige ledere; bemærker endvidere, at pensioneringen af mænd på centrale lederposter giver rekrutteringsmuligheder for kvinder, hvilket suppleres med en forbedret strategi for arbejdsgiverbranding, målrettet markedsføring i forbindelse med rekruttering, nedsættelse af en arbejdsgruppe om mangfoldighed og inklusion og godkendelse af chartret om mangfoldighed og inklusion i marts 2022;</w:t>
      </w:r>
    </w:p>
    <w:p w14:paraId="4180549D" w14:textId="77777777" w:rsidR="00E90E42" w:rsidRPr="00CF68C7" w:rsidRDefault="00E90E42" w:rsidP="00E90E42">
      <w:pPr>
        <w:pStyle w:val="NormalHanging12a"/>
      </w:pPr>
      <w:r w:rsidRPr="00CF68C7">
        <w:t>23.</w:t>
      </w:r>
      <w:r w:rsidRPr="00CF68C7">
        <w:tab/>
        <w:t>bemærker, at det indberettede antal overarbejdstimer i 2022 var 72 463, hvilket var 30 % lavere end de 102 912 timer, der blev indberettet i 2021; bemærker endvidere, at det gennemsnitlige overarbejde i 2022 udgjorde 4,3 % sammenlignet med de 6,3 %, der blev indberettet i 2021, hvilket er tæt på gennemsnittet på 4,0 %, som blev registreret i perioden 2016-2019; fremhæver betydningen af en god balance mellem arbejdsliv og privatliv, fleksible arbejdstider, telearbejde og retten til at være offline med hensyn til at forbedre personalets trivsel;</w:t>
      </w:r>
    </w:p>
    <w:p w14:paraId="733AF189" w14:textId="77777777" w:rsidR="00E90E42" w:rsidRPr="00CF68C7" w:rsidRDefault="00E90E42" w:rsidP="00E90E42">
      <w:pPr>
        <w:widowControl/>
        <w:spacing w:after="240"/>
        <w:ind w:left="567" w:hanging="567"/>
        <w:rPr>
          <w:szCs w:val="24"/>
        </w:rPr>
      </w:pPr>
      <w:r w:rsidRPr="00CF68C7">
        <w:t>24.</w:t>
      </w:r>
      <w:r w:rsidRPr="00CF68C7">
        <w:tab/>
        <w:t>glæder sig over, at agenturet i 2022 gennemførte en omfattende trivselsundersøgelse, og at de anbefalinger, der fulgte af denne undersøgelse, er blevet integreret i agenturets HR-strategi for 2023-2025;</w:t>
      </w:r>
    </w:p>
    <w:p w14:paraId="37510131" w14:textId="77777777" w:rsidR="00E90E42" w:rsidRPr="00CF68C7" w:rsidRDefault="00E90E42" w:rsidP="00E90E42">
      <w:pPr>
        <w:pStyle w:val="NormalHanging12a"/>
      </w:pPr>
      <w:r w:rsidRPr="00CF68C7">
        <w:t>25.</w:t>
      </w:r>
      <w:r w:rsidRPr="00CF68C7">
        <w:tab/>
        <w:t>bemærker, at agenturet har en politik for beskyttelse af personers værdighed og forebyggelse af psykisk og seksuel chikane, og at agenturet deltager i agenturernes taskforce af fortrolige rådgivere; ser frem til at modtage deres rapport og anbefalinger; bemærker, at der ikke blev indberettet nogen tilfælde af chikane i 2022, og opfordrer agenturet til at fortsætte og udvikle arbejdet med også at forebygge tilfælde i fremtiden;</w:t>
      </w:r>
    </w:p>
    <w:p w14:paraId="39A78859" w14:textId="77777777" w:rsidR="00E90E42" w:rsidRPr="00CF68C7" w:rsidRDefault="00E90E42" w:rsidP="00E90E42">
      <w:pPr>
        <w:pStyle w:val="NormalHanging12a"/>
        <w:rPr>
          <w:b/>
          <w:i/>
        </w:rPr>
      </w:pPr>
      <w:r w:rsidRPr="00CF68C7">
        <w:rPr>
          <w:b/>
          <w:i/>
        </w:rPr>
        <w:t>Forebyggelse og håndtering af interessekonflikter samt gennemsigtighed</w:t>
      </w:r>
    </w:p>
    <w:p w14:paraId="6B26861C" w14:textId="77777777" w:rsidR="00E90E42" w:rsidRPr="00CF68C7" w:rsidRDefault="00E90E42" w:rsidP="00E90E42">
      <w:pPr>
        <w:pStyle w:val="NormalHanging12a"/>
      </w:pPr>
      <w:r w:rsidRPr="00CF68C7">
        <w:t>26.</w:t>
      </w:r>
      <w:r w:rsidRPr="00CF68C7">
        <w:tab/>
        <w:t>bemærker, at agenturet for at bevare upartiskhed og objektivitet i sine aktiviteter regelmæssigt tilpasser politikkernes anvendelsesområde og gennemførelsesprocesser i forhold til nye risici, som opstår i forbindelse med nye aktiviteter og/eller interaktioner med nye kategorier af interessenter; noterer sig, at politikken vedrørende konkurrerende interesser for medlemmer af bestyrelsen, politikken vedrørende konkurrerende interesser for eksperter samt gennemførelsesbestemmelserne om håndtering af erklærede interesser for personale og ansøgere inden ansættelsen er blevet revideret i 2022 som følge af agenturets nye ansvarsområder på området for medicinsk udstyr og in vitro-diagnostisk medicinsk udstyr og dets udvidede mandat;</w:t>
      </w:r>
    </w:p>
    <w:p w14:paraId="3FF3E0D3" w14:textId="77777777" w:rsidR="00E90E42" w:rsidRPr="00CF68C7" w:rsidRDefault="00E90E42" w:rsidP="00E90E42">
      <w:pPr>
        <w:pStyle w:val="NormalHanging12a"/>
      </w:pPr>
      <w:r w:rsidRPr="00CF68C7">
        <w:t>27.</w:t>
      </w:r>
      <w:r w:rsidRPr="00CF68C7">
        <w:tab/>
        <w:t>bemærker, at agenturet har en tillidsbrudsprocedure, der fastlægger, hvordan det håndterer ukorrekte eller ufuldstændige elektroniske interesseerklæringer fra eksperter og udvalgsmedlemmer og videregivelse af fortrolige oplysninger; bemærker, at tillidsbrudsproceduren blev revideret i december 2022; fremhæver, at det fremgår af den reviderede tillidsbrudsprocedure, at den også finder anvendelse på de andre organer, der er oprettet under agenturet inden for rammerne af det udvidede mandat (f.eks. Taskforcen for Krisesituationer og begge styringsgrupper vedrørende mangler);</w:t>
      </w:r>
    </w:p>
    <w:p w14:paraId="0A04D3D9" w14:textId="77777777" w:rsidR="00E90E42" w:rsidRPr="00CF68C7" w:rsidRDefault="00E90E42" w:rsidP="00E90E42">
      <w:pPr>
        <w:pStyle w:val="NormalHanging12a"/>
      </w:pPr>
      <w:r w:rsidRPr="00CF68C7">
        <w:t>28.</w:t>
      </w:r>
      <w:r w:rsidRPr="00CF68C7">
        <w:tab/>
        <w:t>bemærker, at der i 2022 blev indledt to tillidsbrudsprocedurer over for eksperter; bemærker, at én sag vedrørte et udvalgsmedlem, der undlod at oplyse om et honorar for et foredrag, hvilket resulterede i reviderede erklæringer og en treårig udelukkelsesperiode, og at den anden sag vedrørte et udvalgsmedlem, der undlod at oplyse om et nært familiemedlems interesse, hvilket førte til, at vedkommende blev udelukket fra agenturets aktiviteter i ni måneder;</w:t>
      </w:r>
    </w:p>
    <w:p w14:paraId="763FF376" w14:textId="77777777" w:rsidR="00E90E42" w:rsidRPr="00CF68C7" w:rsidRDefault="00E90E42" w:rsidP="00E90E42">
      <w:pPr>
        <w:pStyle w:val="NormalHanging12a"/>
      </w:pPr>
      <w:r w:rsidRPr="00CF68C7">
        <w:t>29.</w:t>
      </w:r>
      <w:r w:rsidRPr="00CF68C7">
        <w:tab/>
        <w:t>fremhæver, at der i 2022 blev indgivet 22 ansøgninger fra fratrædende agenturpersonale om tilladelse til beskæftigelse efter fratrædelsen, hvilket resulterede i forskellige tilladelser, herunder både ubegrænsede og begrænsede tilladelser; anerkender, at agenturet siden december 2020 på sit websted har offentliggjort beslutninger vedrørende medlemmer af den øverste ledelse, der forlader organisationen, hvilket i væsentlig grad har bidraget til gennemsigtighed i håndteringen af konkurrerende interesser;</w:t>
      </w:r>
    </w:p>
    <w:p w14:paraId="0E6BE896" w14:textId="77777777" w:rsidR="00E90E42" w:rsidRPr="00CF68C7" w:rsidRDefault="00E90E42" w:rsidP="00E90E42">
      <w:pPr>
        <w:pStyle w:val="NormalHanging12a"/>
      </w:pPr>
      <w:r w:rsidRPr="00CF68C7">
        <w:t>30.</w:t>
      </w:r>
      <w:r w:rsidRPr="00CF68C7">
        <w:tab/>
        <w:t>bemærker med tilfredshed, at Kommissionens Interne Revisionstjeneste i sin beretning, som blev offentliggjort i 2022, og som havde fokus på HR-anliggender, bekræftede systemets robusthed på grundlag af medarbejdernes meget høje bevidsthed om de involverede risici og modenhedsniveauet af de interne kontroller til håndtering af potentielle interessekonflikter;</w:t>
      </w:r>
    </w:p>
    <w:p w14:paraId="5CC67990" w14:textId="77777777" w:rsidR="00E90E42" w:rsidRPr="00CF68C7" w:rsidRDefault="00E90E42" w:rsidP="00E90E42">
      <w:pPr>
        <w:pStyle w:val="NormalHanging12a"/>
      </w:pPr>
      <w:r w:rsidRPr="00CF68C7">
        <w:t>31.</w:t>
      </w:r>
      <w:r w:rsidRPr="00CF68C7">
        <w:tab/>
        <w:t>bemærker, at agenturet i sin egenskab af teknisk og videnskabeligt EU-organ ikke formelt går i dialog eller mødes med lobbyister, men at agenturet dog går i dialog og mødes med interessenter i overensstemmelse med sine formelle rammer for interessenter; bemærker endvidere, at møder med eksterne interessenter er offentlige, og at de nærmere detaljer offentliggøres på siden med arrangementer på agenturets websted;</w:t>
      </w:r>
    </w:p>
    <w:p w14:paraId="4532768F" w14:textId="77777777" w:rsidR="00E90E42" w:rsidRPr="00CF68C7" w:rsidRDefault="00E90E42" w:rsidP="00E90E42">
      <w:pPr>
        <w:pStyle w:val="NormalHanging12a"/>
      </w:pPr>
      <w:r w:rsidRPr="00CF68C7">
        <w:t>32.</w:t>
      </w:r>
      <w:r w:rsidRPr="00CF68C7">
        <w:tab/>
        <w:t>anerkender den synlighed, som agenturet har opnået; mener, at der stadig er mulighed for, at det kan opnå større synlighed i medierne, på internettet og på de sociale medier med henblik på at gøre borgerne opmærksomme på sit arbejde og truslerne mod vores miljø;</w:t>
      </w:r>
    </w:p>
    <w:p w14:paraId="3BFB1F58" w14:textId="77777777" w:rsidR="00E90E42" w:rsidRPr="00CF68C7" w:rsidRDefault="00E90E42" w:rsidP="00E90E42">
      <w:pPr>
        <w:pStyle w:val="NormalHanging12a"/>
      </w:pPr>
      <w:r w:rsidRPr="00CF68C7">
        <w:t>33.</w:t>
      </w:r>
      <w:r w:rsidRPr="00CF68C7">
        <w:tab/>
        <w:t>bemærker, at agenturet i 2022 modtog 676 anmodninger om aktindsigt, hvilket er færre end antallet af modtagne anmodninger i 2019 (783 anmodninger) eller 2021 (710 anmodninger), og frigav 216 666 sider, hvilket er flere end de 165 943 i 2021, men betydeligt færre end de 318 013 sider i 2019; bemærker, at agenturet anvender en kømekanisme til at forvalte behandlingen af flere anmodninger om aktindsigt fra den samme anmodende part, hvilket udgør en flaskehals for rettidig adgang til dokumenter, som agenturet er i besiddelse af, og afskrækker ansøgere fra at indgive nye anmodninger; opfordrer agenturet til at fremlægge detaljerede oplysninger om antallet af anmodninger om aktindsigt, der stadig er inaktive i køsystemet, og den gennemsnitlige tid, de befinder sig i køsystemet, inden de behandles; opfordrer til, at der iværksættes en gennemgang af agenturets regler for behandling af anmodninger om aktindsigt, kømekanismen, udviklingen i anmodninger over tid og indvirkningen på ansøgerne;</w:t>
      </w:r>
    </w:p>
    <w:p w14:paraId="2BEE532E" w14:textId="77777777" w:rsidR="00E90E42" w:rsidRPr="00CF68C7" w:rsidRDefault="00E90E42" w:rsidP="00E90E42">
      <w:pPr>
        <w:pStyle w:val="NormalHanging12a"/>
      </w:pPr>
      <w:r w:rsidRPr="00CF68C7">
        <w:t>34.</w:t>
      </w:r>
      <w:r w:rsidRPr="00CF68C7">
        <w:tab/>
        <w:t>opfordrer Kommissionen til at sikre, at agenturet får tilstrækkelige ressourcer til at gennemføre de opgaver, agenturet blev pålagt ved vedtagelsen af forordning (EU) nr. 536/2014, og undgå personalemangel, der vil påvirke agenturets gennemsigtighedspolitik negativt, herunder med hensyn til rettidig offentliggørelse af kliniske data, mødereferater og rettidige svar på anmodninger om aktindsigt;</w:t>
      </w:r>
    </w:p>
    <w:p w14:paraId="70F9C7E0" w14:textId="77777777" w:rsidR="00E90E42" w:rsidRPr="00CF68C7" w:rsidRDefault="00E90E42" w:rsidP="00E90E42">
      <w:pPr>
        <w:pStyle w:val="Normal12Hanging"/>
        <w:widowControl/>
        <w:rPr>
          <w:szCs w:val="24"/>
          <w:u w:val="single"/>
        </w:rPr>
      </w:pPr>
      <w:r w:rsidRPr="00CF68C7">
        <w:rPr>
          <w:b/>
          <w:i/>
        </w:rPr>
        <w:t>Intern kontrol</w:t>
      </w:r>
    </w:p>
    <w:p w14:paraId="3975D71C" w14:textId="77777777" w:rsidR="00E90E42" w:rsidRPr="00CF68C7" w:rsidRDefault="00E90E42" w:rsidP="00E90E42">
      <w:pPr>
        <w:pStyle w:val="Normal12Hanging"/>
        <w:widowControl/>
        <w:rPr>
          <w:szCs w:val="24"/>
        </w:rPr>
      </w:pPr>
      <w:r w:rsidRPr="00CF68C7">
        <w:t>35.</w:t>
      </w:r>
      <w:r w:rsidRPr="00CF68C7">
        <w:tab/>
        <w:t>bemærker, at der blev udarbejdet et spørgeskema med henblik på at vurdere gennemførelsen, funktionen og forbedringen af de 17 principper inden for rammen for intern kontrol; bemærker, at ledere og medarbejdere med ansvar for specifikke principper eller elementer modtog spørgeskemaet, og at der blev gennemført samtaler med henblik på yderligere afklaring; bemærker endvidere, at den overordnede konklusion er, at det interne kontrolsystem anses for at være effektivt og produktivt, dets komponenter og principper er generelt til stede og fungerer rimeligt godt, mens nogle principper kunne have gavn af mindre præciseringer eller yderligere oplysninger, og der foreslås justeringer og forbedringer;</w:t>
      </w:r>
    </w:p>
    <w:p w14:paraId="78CA1506" w14:textId="77777777" w:rsidR="00E90E42" w:rsidRPr="00CF68C7" w:rsidRDefault="00E90E42" w:rsidP="00E90E42">
      <w:pPr>
        <w:pStyle w:val="Normal12Hanging"/>
        <w:widowControl/>
        <w:rPr>
          <w:szCs w:val="24"/>
        </w:rPr>
      </w:pPr>
      <w:r w:rsidRPr="00CF68C7">
        <w:t>36.</w:t>
      </w:r>
      <w:r w:rsidRPr="00CF68C7">
        <w:tab/>
        <w:t>henleder opmærksomheden på, at agenturet som følge af sin flytning i 2019 lejede en bygning i Amsterdam, som blev fuldstændigt indrettet og møbleret ved brug af den nederlandske regerings 15 mio. EUR-incitamentsordning, som inkluderer donation af møbler og cateringudstyr; bemærker, at Revisionsretten konstaterede, at agenturet ikke havde sørget for klar identifikation (f.eks. mærker med stregkoder) på nogle af disse aktiver, hovedsagelig møbler; bemærker endvidere, at agenturet havde foretaget fire inventaropgørelser siden flytningen, og at der hver gang var uoverensstemmelser (som over tid faldt fra 534 331 EUR til 15 000 EUR) mellem listen over aktiver doneret af den nederlandske regering, agenturets register over aktiver og de aktiver, der befandt sig i lokalerne; fremhæver, at manglen på en fuldstændig og ajourført inventarliste, som angiver placeringen af de materielle aktiver, er i strid med finansforordningens artikel 87 og svækker agenturets mulighed for at sikre beskyttelsen af sine aktiver; glæder sig over, at agenturet med henblik på løbende at forbedre sine processer vil udstede en ajourført intern vejledning om forvaltningen af sit aktivregister, indføre en risikobaseret tilgang til mærkning af møbler og fremlægge en plan for periodiske fysiske kontroller for løbende at bekræfte korrektheden af sin inventarfortegnelse;</w:t>
      </w:r>
    </w:p>
    <w:p w14:paraId="7B958ECC" w14:textId="77777777" w:rsidR="00E90E42" w:rsidRPr="00CF68C7" w:rsidRDefault="00E90E42" w:rsidP="00E90E42">
      <w:pPr>
        <w:pStyle w:val="Normal12Hanging"/>
        <w:widowControl/>
        <w:rPr>
          <w:szCs w:val="24"/>
        </w:rPr>
      </w:pPr>
      <w:r w:rsidRPr="00CF68C7">
        <w:t>37.</w:t>
      </w:r>
      <w:r w:rsidRPr="00CF68C7">
        <w:tab/>
        <w:t>noterer sig bemærkningen i Revisionsrettens beretning om, at agenturet bidrager til visse typer af sit personales børnepasningsudgifter i Nederlandene, f.eks. udgifter til fritidsordninger før og efter skole; bemærker, at Revisionsretten konstaterede, at agenturet ikke var i stand til at fremlægge fyldestgørende dokumentation for den kontrol, der var foretaget for at sikre, at udgifter til skolemåltider ikke blev medtaget, og derfor satte spørgsmålstegn ved, om en sådan kontrol blev foretaget systematisk; bemærker på baggrund af agenturets svar, at udgifter til måltider er udelukket fra skolepengene, og at agenturet vil fremlægge dokumentation for, at udgifter til skolemåltider ikke medtages i beregningen af bidraget;</w:t>
      </w:r>
    </w:p>
    <w:p w14:paraId="33941F9F" w14:textId="77777777" w:rsidR="00E90E42" w:rsidRPr="00CF68C7" w:rsidRDefault="00E90E42" w:rsidP="00E90E42">
      <w:pPr>
        <w:pStyle w:val="Normal12Hanging"/>
        <w:widowControl/>
        <w:rPr>
          <w:szCs w:val="24"/>
        </w:rPr>
      </w:pPr>
      <w:r w:rsidRPr="00CF68C7">
        <w:t>38.</w:t>
      </w:r>
      <w:r w:rsidRPr="00CF68C7">
        <w:tab/>
        <w:t>noterer sig resultatet af de aktiviteter, der blev udført af agenturets interne revisionsfunktion, med 6 kritiske og 19 meget vigtige henstillinger i 2022; opfordrer agenturet til at efterkomme de 14 vigtige henstillinger, der pr. 31. december 2022 afventede en forbedringsplan, og til at aflægge rapport til dechargemyndigheden om udviklingen i denne henseende;</w:t>
      </w:r>
    </w:p>
    <w:p w14:paraId="548DE5CF" w14:textId="77777777" w:rsidR="00E90E42" w:rsidRPr="00CF68C7" w:rsidRDefault="00E90E42" w:rsidP="00E90E42">
      <w:pPr>
        <w:pStyle w:val="Normal12Hanging"/>
        <w:widowControl/>
        <w:rPr>
          <w:szCs w:val="24"/>
        </w:rPr>
      </w:pPr>
      <w:r w:rsidRPr="00CF68C7">
        <w:rPr>
          <w:b/>
          <w:i/>
        </w:rPr>
        <w:t>Øvrige bemærkninger</w:t>
      </w:r>
    </w:p>
    <w:p w14:paraId="62B6283D" w14:textId="77777777" w:rsidR="00E90E42" w:rsidRPr="00CF68C7" w:rsidRDefault="00E90E42" w:rsidP="00E90E42">
      <w:pPr>
        <w:pStyle w:val="NormalHanging12a"/>
        <w:widowControl/>
        <w:rPr>
          <w:szCs w:val="24"/>
        </w:rPr>
      </w:pPr>
      <w:r w:rsidRPr="00CF68C7">
        <w:t>39.</w:t>
      </w:r>
      <w:r w:rsidRPr="00CF68C7">
        <w:tab/>
        <w:t>glæder sig over, at agenturet tilpassede sine langsigtede klimamål til målet i forordning (EU) 2021/1119</w:t>
      </w:r>
      <w:r w:rsidRPr="00CF68C7">
        <w:rPr>
          <w:rStyle w:val="FootnoteReference"/>
          <w:szCs w:val="24"/>
        </w:rPr>
        <w:footnoteReference w:id="15"/>
      </w:r>
      <w:r w:rsidRPr="00CF68C7">
        <w:t xml:space="preserve"> om en nettoreduktion af drivhusgasemissionerne på 55 % senest i 2030 (i forhold til 1990-niveauet) og opnåelse af klimaneutralitet senest i 2050; bemærker, at agenturet med hensyn til energi- og vandforbrug omsatte disse mål til opnåelse af en reduktion på 15 % pr. kvadratmeter kontorareal mellem 2012 og 2021; bemærker, at dette reduktionsmål blev beregnet under hensyntagen til agenturets vækst i den pågældende periode og den omstændighed, at agenturet flyttede ind i en større, men også mere energieffektiv bygning, da det flyttede fra London til Amsterdam; bemærker med hensyn til både energi og vand, at målet blev mere end opfyldt, idet agenturet pr. kvadratmeter reducerede energiforbruget med 45 % og vandforbruget med 63 %;</w:t>
      </w:r>
    </w:p>
    <w:p w14:paraId="01329789" w14:textId="77777777" w:rsidR="00E90E42" w:rsidRPr="00CF68C7" w:rsidRDefault="00E90E42" w:rsidP="00E90E42">
      <w:pPr>
        <w:pStyle w:val="NormalHanging12a"/>
        <w:widowControl/>
        <w:rPr>
          <w:szCs w:val="24"/>
        </w:rPr>
      </w:pPr>
      <w:r w:rsidRPr="00CF68C7">
        <w:t>40.</w:t>
      </w:r>
      <w:r w:rsidRPr="00CF68C7">
        <w:tab/>
        <w:t>noterer sig, at agenturet forbereder sig til certificeringsprocessen under ordningen for miljøledelse og miljørevision;</w:t>
      </w:r>
    </w:p>
    <w:p w14:paraId="0CEC216A" w14:textId="77777777" w:rsidR="00E90E42" w:rsidRPr="00CF68C7" w:rsidRDefault="00E90E42" w:rsidP="00E90E42">
      <w:pPr>
        <w:pStyle w:val="NormalHanging12a"/>
        <w:widowControl/>
        <w:rPr>
          <w:szCs w:val="24"/>
        </w:rPr>
      </w:pPr>
      <w:r w:rsidRPr="00CF68C7">
        <w:t>41.</w:t>
      </w:r>
      <w:r w:rsidRPr="00CF68C7">
        <w:tab/>
        <w:t>glæder sig over, at agenturet i 2022 for at øge cybersikkerheden vedtog strategien for informationssikkerhed og den tilhørende gennemførelsesplan med sigte på at forbedre de eksisterende sikkerhedsforanstaltninger og sikkerhedsprocesser for at beskytte agenturets informationsaktiver og samtidig understøtte nye forretningsmæssige og teknologiske udfordringer; bemærker, at der i 2022 også blev gennemført andre vigtige foranstaltninger, herunder oprettelsen af et program for bevidstgørelse om og uddannelse i sikkerhed og gennemførelsen af et sikkerhedsoperationscenter, som løbende skal overvåge og forbedre agenturets sikkerhedsstatus og samtidig forebygge, opdage, analysere og reagere på cybersikkerhedshændelser; bemærker endvidere, at agenturet har arbejdet tæt sammen med Cybersikkerhedstjenesten for Unionens Institutioner, Organer, Kontorer og Agenturer og Den Europæiske Unions Agentur for Cybersikkerhed om mange aspekter af informationssikkerhed og cybersikkerhed, herunder bl.a. drøftelser og regelmæssige opdateringer om den kommende forordning om cybersikkerhed for EU's institutioner, agenturer og organer;</w:t>
      </w:r>
    </w:p>
    <w:p w14:paraId="59CA8D4A" w14:textId="77777777" w:rsidR="00E90E42" w:rsidRPr="00CF68C7" w:rsidRDefault="00E90E42" w:rsidP="00E90E42">
      <w:pPr>
        <w:pStyle w:val="NormalHanging12a"/>
        <w:widowControl/>
        <w:rPr>
          <w:szCs w:val="24"/>
        </w:rPr>
      </w:pPr>
      <w:r w:rsidRPr="00CF68C7">
        <w:t>42.</w:t>
      </w:r>
      <w:r w:rsidRPr="00CF68C7">
        <w:tab/>
        <w:t>roser agenturet for at udsende indledende rådgivning til sponsorer om, hvordan gennemførelsen af kliniske forsøg kan håndteres på baggrund af de forstyrrelser, som den russiske invasion af Ukraine har forårsaget;</w:t>
      </w:r>
    </w:p>
    <w:p w14:paraId="4A9B348C" w14:textId="77777777" w:rsidR="00E90E42" w:rsidRPr="00CF68C7" w:rsidRDefault="00E90E42" w:rsidP="00E90E42">
      <w:pPr>
        <w:pStyle w:val="NormalCenter12a"/>
      </w:pPr>
      <w:r w:rsidRPr="00CF68C7">
        <w:t>°</w:t>
      </w:r>
    </w:p>
    <w:p w14:paraId="3F3BCD27" w14:textId="77777777" w:rsidR="00E90E42" w:rsidRPr="00CF68C7" w:rsidRDefault="00E90E42" w:rsidP="00E90E42">
      <w:pPr>
        <w:pStyle w:val="NormalCenter12a"/>
      </w:pPr>
      <w:r w:rsidRPr="00CF68C7">
        <w:t>°</w:t>
      </w:r>
      <w:r w:rsidRPr="00CF68C7">
        <w:tab/>
        <w:t>°</w:t>
      </w:r>
    </w:p>
    <w:p w14:paraId="743A3964" w14:textId="539E32B6" w:rsidR="00E90E42" w:rsidRPr="00CF68C7" w:rsidRDefault="00E90E42" w:rsidP="00E90E42">
      <w:pPr>
        <w:pStyle w:val="NormalHanging12a"/>
        <w:widowControl/>
      </w:pPr>
      <w:r w:rsidRPr="00CF68C7">
        <w:t>43.</w:t>
      </w:r>
      <w:r w:rsidRPr="00CF68C7">
        <w:tab/>
        <w:t xml:space="preserve">henviser med hensyn til de øvrige bemærkninger, der ledsager dechargeafgørelsen, og som er af horisontal karakter, til sin beslutning af </w:t>
      </w:r>
      <w:r w:rsidR="002B0DC5" w:rsidRPr="00CF68C7">
        <w:t>11. april 2024</w:t>
      </w:r>
      <w:r w:rsidRPr="00CF68C7">
        <w:rPr>
          <w:vertAlign w:val="superscript"/>
        </w:rPr>
        <w:footnoteReference w:id="16"/>
      </w:r>
      <w:bookmarkStart w:id="14" w:name="_GoBack"/>
      <w:bookmarkEnd w:id="14"/>
      <w:r w:rsidRPr="00CF68C7">
        <w:t xml:space="preserve"> om agenturernes resultater, økonomiske forvaltning og kontrol.</w:t>
      </w:r>
    </w:p>
    <w:sectPr w:rsidR="00E90E42" w:rsidRPr="00CF68C7" w:rsidSect="00BA476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B6770" w14:textId="77777777" w:rsidR="00555B9B" w:rsidRPr="00BA476B" w:rsidRDefault="00555B9B">
      <w:r w:rsidRPr="00BA476B">
        <w:separator/>
      </w:r>
    </w:p>
  </w:endnote>
  <w:endnote w:type="continuationSeparator" w:id="0">
    <w:p w14:paraId="591F3EEF" w14:textId="77777777" w:rsidR="00555B9B" w:rsidRPr="00BA476B" w:rsidRDefault="00555B9B">
      <w:r w:rsidRPr="00BA47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EDFB4" w14:textId="77777777" w:rsidR="00E90E42" w:rsidRPr="00BA476B" w:rsidRDefault="00E90E42" w:rsidP="002E64B5">
    <w:pPr>
      <w:pStyle w:val="EPFooter"/>
    </w:pPr>
    <w:r w:rsidRPr="00BA476B">
      <w:t>PE</w:t>
    </w:r>
    <w:r w:rsidRPr="00BA476B">
      <w:rPr>
        <w:rStyle w:val="HideTWBExt"/>
      </w:rPr>
      <w:t>&lt;NoPE&gt;</w:t>
    </w:r>
    <w:r w:rsidRPr="00BA476B">
      <w:t>753.524</w:t>
    </w:r>
    <w:r w:rsidRPr="00BA476B">
      <w:rPr>
        <w:rStyle w:val="HideTWBExt"/>
      </w:rPr>
      <w:t>&lt;/NoPE&gt;&lt;Version&gt;</w:t>
    </w:r>
    <w:r w:rsidRPr="00BA476B">
      <w:t>v02-00</w:t>
    </w:r>
    <w:r w:rsidRPr="00BA476B">
      <w:rPr>
        <w:rStyle w:val="HideTWBExt"/>
      </w:rPr>
      <w:t>&lt;/Version&gt;</w:t>
    </w:r>
    <w:r w:rsidRPr="00BA476B">
      <w:tab/>
    </w:r>
    <w:r w:rsidRPr="00BA476B">
      <w:fldChar w:fldCharType="begin"/>
    </w:r>
    <w:r w:rsidRPr="00BA476B">
      <w:instrText xml:space="preserve"> PAGE  \* MERGEFORMAT </w:instrText>
    </w:r>
    <w:r w:rsidRPr="00BA476B">
      <w:fldChar w:fldCharType="separate"/>
    </w:r>
    <w:r w:rsidRPr="00BA476B">
      <w:rPr>
        <w:noProof/>
      </w:rPr>
      <w:t>14</w:t>
    </w:r>
    <w:r w:rsidRPr="00BA476B">
      <w:fldChar w:fldCharType="end"/>
    </w:r>
    <w:r w:rsidRPr="00BA476B">
      <w:t>/</w:t>
    </w:r>
    <w:r w:rsidR="0025472C">
      <w:fldChar w:fldCharType="begin"/>
    </w:r>
    <w:r w:rsidR="0025472C">
      <w:instrText xml:space="preserve"> NUMPAGES  \* MERGEFORMAT </w:instrText>
    </w:r>
    <w:r w:rsidR="0025472C">
      <w:fldChar w:fldCharType="separate"/>
    </w:r>
    <w:r w:rsidRPr="00BA476B">
      <w:rPr>
        <w:noProof/>
      </w:rPr>
      <w:t>14</w:t>
    </w:r>
    <w:r w:rsidR="0025472C">
      <w:rPr>
        <w:noProof/>
      </w:rPr>
      <w:fldChar w:fldCharType="end"/>
    </w:r>
    <w:r w:rsidRPr="00BA476B">
      <w:tab/>
    </w:r>
    <w:r w:rsidRPr="00BA476B">
      <w:rPr>
        <w:rStyle w:val="HideTWBExt"/>
      </w:rPr>
      <w:t>&lt;PathFdR&gt;</w:t>
    </w:r>
    <w:r w:rsidRPr="00BA476B">
      <w:t>RR\1299241DA.docx</w:t>
    </w:r>
    <w:r w:rsidRPr="00BA476B">
      <w:rPr>
        <w:rStyle w:val="HideTWBExt"/>
      </w:rPr>
      <w:t>&lt;/PathFdR&gt;</w:t>
    </w:r>
  </w:p>
  <w:p w14:paraId="4CD89DF5" w14:textId="77777777" w:rsidR="00E90E42" w:rsidRPr="00BA476B" w:rsidRDefault="00E90E42" w:rsidP="002E64B5">
    <w:pPr>
      <w:pStyle w:val="EPFooter2"/>
    </w:pPr>
    <w:r w:rsidRPr="00BA476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2B7C6" w14:textId="77777777" w:rsidR="00E90E42" w:rsidRPr="00BA476B" w:rsidRDefault="00E90E42" w:rsidP="002E64B5">
    <w:pPr>
      <w:pStyle w:val="EPFooter"/>
    </w:pPr>
    <w:r w:rsidRPr="00BA476B">
      <w:rPr>
        <w:rStyle w:val="HideTWBExt"/>
      </w:rPr>
      <w:t>&lt;PathFdR&gt;</w:t>
    </w:r>
    <w:r w:rsidRPr="00BA476B">
      <w:t>RR\1299241DA.docx</w:t>
    </w:r>
    <w:r w:rsidRPr="00BA476B">
      <w:rPr>
        <w:rStyle w:val="HideTWBExt"/>
      </w:rPr>
      <w:t>&lt;/PathFdR&gt;</w:t>
    </w:r>
    <w:r w:rsidRPr="00BA476B">
      <w:tab/>
    </w:r>
    <w:r w:rsidRPr="00BA476B">
      <w:tab/>
      <w:t>PE</w:t>
    </w:r>
    <w:r w:rsidRPr="00BA476B">
      <w:rPr>
        <w:rStyle w:val="HideTWBExt"/>
      </w:rPr>
      <w:t>&lt;NoPE&gt;</w:t>
    </w:r>
    <w:r w:rsidRPr="00BA476B">
      <w:t>753.524</w:t>
    </w:r>
    <w:r w:rsidRPr="00BA476B">
      <w:rPr>
        <w:rStyle w:val="HideTWBExt"/>
      </w:rPr>
      <w:t>&lt;/NoPE&gt;&lt;Version&gt;</w:t>
    </w:r>
    <w:r w:rsidRPr="00BA476B">
      <w:t>v02-00</w:t>
    </w:r>
    <w:r w:rsidRPr="00BA476B">
      <w:rPr>
        <w:rStyle w:val="HideTWBExt"/>
      </w:rPr>
      <w:t>&lt;/Version&gt;</w:t>
    </w:r>
  </w:p>
  <w:p w14:paraId="694106B0" w14:textId="77777777" w:rsidR="00E90E42" w:rsidRPr="00BA476B" w:rsidRDefault="00E90E42" w:rsidP="002E64B5">
    <w:pPr>
      <w:pStyle w:val="EPFooter2"/>
    </w:pPr>
    <w:r w:rsidRPr="00BA476B">
      <w:t>DA</w:t>
    </w:r>
    <w:r w:rsidRPr="00BA476B">
      <w:tab/>
    </w:r>
    <w:r w:rsidRPr="00BA476B">
      <w:rPr>
        <w:b w:val="0"/>
        <w:i/>
        <w:color w:val="C0C0C0"/>
        <w:sz w:val="22"/>
      </w:rPr>
      <w:t>Forenet i mangfoldighed</w:t>
    </w:r>
    <w:r w:rsidRPr="00BA476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2E194" w14:textId="77777777" w:rsidR="00064002" w:rsidRPr="00BA476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E1997" w14:textId="77777777" w:rsidR="00064002" w:rsidRPr="00BA476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FCCC5" w14:textId="77777777" w:rsidR="00064002" w:rsidRPr="00BA47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D96B8" w14:textId="77777777" w:rsidR="00555B9B" w:rsidRPr="00BA476B" w:rsidRDefault="00555B9B">
      <w:r w:rsidRPr="00BA476B">
        <w:separator/>
      </w:r>
    </w:p>
  </w:footnote>
  <w:footnote w:type="continuationSeparator" w:id="0">
    <w:p w14:paraId="0DDBF397" w14:textId="77777777" w:rsidR="00555B9B" w:rsidRPr="00BA476B" w:rsidRDefault="00555B9B">
      <w:r w:rsidRPr="00BA476B">
        <w:continuationSeparator/>
      </w:r>
    </w:p>
  </w:footnote>
  <w:footnote w:id="1">
    <w:p w14:paraId="63E4F874" w14:textId="770C5A70" w:rsidR="00E90E42" w:rsidRPr="00CF68C7" w:rsidRDefault="00E90E42" w:rsidP="00BA476B">
      <w:pPr>
        <w:pStyle w:val="FootnoteText"/>
        <w:ind w:left="567" w:hanging="567"/>
        <w:rPr>
          <w:sz w:val="24"/>
        </w:rPr>
      </w:pPr>
      <w:r w:rsidRPr="00BA476B">
        <w:rPr>
          <w:rStyle w:val="FootnoteReference"/>
          <w:sz w:val="24"/>
          <w:lang w:val="da-DK"/>
        </w:rPr>
        <w:footnoteRef/>
      </w:r>
      <w:r w:rsidR="00BA476B" w:rsidRPr="00CF68C7">
        <w:rPr>
          <w:sz w:val="24"/>
        </w:rPr>
        <w:t xml:space="preserve"> </w:t>
      </w:r>
      <w:r w:rsidR="00BA476B" w:rsidRPr="00CF68C7">
        <w:rPr>
          <w:sz w:val="24"/>
        </w:rPr>
        <w:tab/>
      </w:r>
      <w:r w:rsidRPr="00CF68C7">
        <w:rPr>
          <w:sz w:val="24"/>
        </w:rPr>
        <w:t>EUT C, C/2023/594, 27.10</w:t>
      </w:r>
      <w:r w:rsidR="002B0DC5" w:rsidRPr="00CF68C7">
        <w:rPr>
          <w:sz w:val="24"/>
        </w:rPr>
        <w:t>.</w:t>
      </w:r>
      <w:r w:rsidRPr="00CF68C7">
        <w:rPr>
          <w:sz w:val="24"/>
        </w:rPr>
        <w:t>2023.</w:t>
      </w:r>
    </w:p>
  </w:footnote>
  <w:footnote w:id="2">
    <w:p w14:paraId="621C5C72" w14:textId="77777777" w:rsidR="00E90E42" w:rsidRPr="00CF68C7" w:rsidRDefault="00E90E42" w:rsidP="00BA476B">
      <w:pPr>
        <w:pStyle w:val="FootnoteText"/>
        <w:ind w:left="567" w:hanging="567"/>
        <w:rPr>
          <w:sz w:val="24"/>
        </w:rPr>
      </w:pPr>
      <w:r w:rsidRPr="00BA476B">
        <w:rPr>
          <w:rStyle w:val="FootnoteReference"/>
          <w:sz w:val="24"/>
          <w:lang w:val="da-DK"/>
        </w:rPr>
        <w:footnoteRef/>
      </w:r>
      <w:r w:rsidR="00BA476B" w:rsidRPr="00CF68C7">
        <w:rPr>
          <w:sz w:val="24"/>
        </w:rPr>
        <w:t xml:space="preserve"> </w:t>
      </w:r>
      <w:r w:rsidR="00BA476B" w:rsidRPr="00CF68C7">
        <w:rPr>
          <w:sz w:val="24"/>
        </w:rPr>
        <w:tab/>
      </w:r>
      <w:r w:rsidRPr="00CF68C7">
        <w:rPr>
          <w:sz w:val="24"/>
        </w:rPr>
        <w:t>EUT C, C/2023/112, 12.10.2023.</w:t>
      </w:r>
    </w:p>
  </w:footnote>
  <w:footnote w:id="3">
    <w:p w14:paraId="7513673D"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EUT L 193 af 30.7.2018, s. 1.</w:t>
      </w:r>
    </w:p>
  </w:footnote>
  <w:footnote w:id="4">
    <w:p w14:paraId="046C8999"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EUT L 136 af 30.4.2004, s. 1.</w:t>
      </w:r>
    </w:p>
  </w:footnote>
  <w:footnote w:id="5">
    <w:p w14:paraId="52E75E90" w14:textId="77777777" w:rsidR="00E90E42" w:rsidRPr="0025472C" w:rsidRDefault="00E90E42" w:rsidP="00BA476B">
      <w:pPr>
        <w:pStyle w:val="FootnoteText"/>
        <w:ind w:left="567" w:hanging="567"/>
        <w:rPr>
          <w:sz w:val="24"/>
          <w:szCs w:val="24"/>
          <w:lang w:val="da-DK"/>
        </w:rPr>
      </w:pPr>
      <w:r w:rsidRPr="00BA476B">
        <w:rPr>
          <w:rStyle w:val="FootnoteReference"/>
          <w:sz w:val="24"/>
          <w:lang w:val="da-DK"/>
        </w:rPr>
        <w:footnoteRef/>
      </w:r>
      <w:r w:rsidR="00BA476B" w:rsidRPr="0025472C">
        <w:rPr>
          <w:sz w:val="24"/>
          <w:lang w:val="da-DK"/>
        </w:rPr>
        <w:t xml:space="preserve"> </w:t>
      </w:r>
      <w:r w:rsidR="00BA476B" w:rsidRPr="0025472C">
        <w:rPr>
          <w:sz w:val="24"/>
          <w:lang w:val="da-DK"/>
        </w:rPr>
        <w:tab/>
      </w:r>
      <w:r w:rsidRPr="0025472C">
        <w:rPr>
          <w:sz w:val="24"/>
          <w:lang w:val="da-DK"/>
        </w:rPr>
        <w:t>EUT L 122 af 10.5.2019, s. 1.</w:t>
      </w:r>
    </w:p>
  </w:footnote>
  <w:footnote w:id="6">
    <w:p w14:paraId="1123AC0F" w14:textId="2FF6713A" w:rsidR="00E90E42" w:rsidRPr="0025472C" w:rsidRDefault="00E90E42" w:rsidP="00BA476B">
      <w:pPr>
        <w:pStyle w:val="FootnoteText"/>
        <w:ind w:left="567" w:hanging="567"/>
        <w:rPr>
          <w:sz w:val="24"/>
          <w:lang w:val="da-DK"/>
        </w:rPr>
      </w:pPr>
      <w:r w:rsidRPr="00BA476B">
        <w:rPr>
          <w:rStyle w:val="FootnoteReference"/>
          <w:sz w:val="24"/>
          <w:lang w:val="da-DK"/>
        </w:rPr>
        <w:footnoteRef/>
      </w:r>
      <w:r w:rsidR="00BA476B" w:rsidRPr="0025472C">
        <w:rPr>
          <w:sz w:val="24"/>
          <w:lang w:val="da-DK"/>
        </w:rPr>
        <w:t xml:space="preserve"> </w:t>
      </w:r>
      <w:r w:rsidR="00BA476B" w:rsidRPr="0025472C">
        <w:rPr>
          <w:sz w:val="24"/>
          <w:lang w:val="da-DK"/>
        </w:rPr>
        <w:tab/>
      </w:r>
      <w:r w:rsidRPr="0025472C">
        <w:rPr>
          <w:sz w:val="24"/>
          <w:lang w:val="da-DK"/>
        </w:rPr>
        <w:t>EUT C, C/2023/594, 27.10</w:t>
      </w:r>
      <w:r w:rsidR="002B0DC5" w:rsidRPr="0025472C">
        <w:rPr>
          <w:sz w:val="24"/>
          <w:lang w:val="da-DK"/>
        </w:rPr>
        <w:t>.</w:t>
      </w:r>
      <w:r w:rsidRPr="0025472C">
        <w:rPr>
          <w:sz w:val="24"/>
          <w:lang w:val="da-DK"/>
        </w:rPr>
        <w:t>2023.</w:t>
      </w:r>
    </w:p>
  </w:footnote>
  <w:footnote w:id="7">
    <w:p w14:paraId="208C6496" w14:textId="77777777" w:rsidR="00E90E42" w:rsidRPr="00CF68C7" w:rsidRDefault="00E90E42" w:rsidP="00BA476B">
      <w:pPr>
        <w:pStyle w:val="FootnoteText"/>
        <w:ind w:left="567" w:hanging="567"/>
        <w:rPr>
          <w:sz w:val="24"/>
        </w:rPr>
      </w:pPr>
      <w:r w:rsidRPr="00BA476B">
        <w:rPr>
          <w:rStyle w:val="FootnoteReference"/>
          <w:sz w:val="24"/>
          <w:lang w:val="da-DK"/>
        </w:rPr>
        <w:footnoteRef/>
      </w:r>
      <w:r w:rsidR="00BA476B" w:rsidRPr="00CF68C7">
        <w:rPr>
          <w:sz w:val="24"/>
        </w:rPr>
        <w:t xml:space="preserve"> </w:t>
      </w:r>
      <w:r w:rsidR="00BA476B" w:rsidRPr="00CF68C7">
        <w:rPr>
          <w:sz w:val="24"/>
        </w:rPr>
        <w:tab/>
      </w:r>
      <w:r w:rsidRPr="00CF68C7">
        <w:rPr>
          <w:sz w:val="24"/>
        </w:rPr>
        <w:t>EUT C, C/2023/112, 12.10.2023.</w:t>
      </w:r>
    </w:p>
  </w:footnote>
  <w:footnote w:id="8">
    <w:p w14:paraId="44FB9D9E" w14:textId="77777777" w:rsidR="00E90E42" w:rsidRPr="0025472C" w:rsidRDefault="00E90E42" w:rsidP="00BA476B">
      <w:pPr>
        <w:pStyle w:val="FootnoteText"/>
        <w:ind w:left="567" w:hanging="567"/>
        <w:rPr>
          <w:sz w:val="24"/>
        </w:rPr>
      </w:pPr>
      <w:r w:rsidRPr="00BA476B">
        <w:rPr>
          <w:rStyle w:val="FootnoteReference"/>
          <w:sz w:val="24"/>
          <w:lang w:val="da-DK"/>
        </w:rPr>
        <w:footnoteRef/>
      </w:r>
      <w:r w:rsidR="00BA476B" w:rsidRPr="0025472C">
        <w:rPr>
          <w:sz w:val="24"/>
        </w:rPr>
        <w:t xml:space="preserve"> </w:t>
      </w:r>
      <w:r w:rsidR="00BA476B" w:rsidRPr="0025472C">
        <w:rPr>
          <w:sz w:val="24"/>
        </w:rPr>
        <w:tab/>
      </w:r>
      <w:r w:rsidRPr="0025472C">
        <w:rPr>
          <w:sz w:val="24"/>
        </w:rPr>
        <w:t>EUT L 193 af 30.7.2018, s. 1.</w:t>
      </w:r>
    </w:p>
  </w:footnote>
  <w:footnote w:id="9">
    <w:p w14:paraId="03DA890C"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EUT L 136 af 30.4.2004, s. 1.</w:t>
      </w:r>
    </w:p>
  </w:footnote>
  <w:footnote w:id="10">
    <w:p w14:paraId="71C8523F" w14:textId="77777777" w:rsidR="00E90E42" w:rsidRPr="00BA476B" w:rsidRDefault="00E90E42" w:rsidP="00BA476B">
      <w:pPr>
        <w:pStyle w:val="FootnoteText"/>
        <w:ind w:left="567" w:hanging="567"/>
        <w:rPr>
          <w:sz w:val="24"/>
          <w:szCs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EUT L 122 af 10.5.2019, s. 1.</w:t>
      </w:r>
    </w:p>
  </w:footnote>
  <w:footnote w:id="11">
    <w:p w14:paraId="2D082044" w14:textId="77777777" w:rsidR="00E90E42" w:rsidRPr="00BA476B" w:rsidRDefault="00E90E42" w:rsidP="00BA476B">
      <w:pPr>
        <w:pStyle w:val="FootnoteText"/>
        <w:ind w:left="567" w:hanging="567"/>
        <w:rPr>
          <w:sz w:val="24"/>
          <w:lang w:val="da-DK"/>
        </w:rPr>
      </w:pPr>
      <w:r w:rsidRPr="00BA476B">
        <w:rPr>
          <w:sz w:val="24"/>
          <w:vertAlign w:val="superscript"/>
          <w:lang w:val="da-DK"/>
        </w:rPr>
        <w:footnoteRef/>
      </w:r>
      <w:r w:rsidR="00BA476B" w:rsidRPr="00BA476B">
        <w:rPr>
          <w:sz w:val="24"/>
          <w:lang w:val="da-DK"/>
        </w:rPr>
        <w:t xml:space="preserve"> </w:t>
      </w:r>
      <w:r w:rsidR="00BA476B" w:rsidRPr="00BA476B">
        <w:rPr>
          <w:sz w:val="24"/>
          <w:lang w:val="da-DK"/>
        </w:rPr>
        <w:tab/>
      </w:r>
      <w:r w:rsidRPr="00BA476B">
        <w:rPr>
          <w:sz w:val="24"/>
          <w:lang w:val="da-DK"/>
        </w:rPr>
        <w:t>EUT C 489 af 22.12.2022, s. 7.</w:t>
      </w:r>
    </w:p>
  </w:footnote>
  <w:footnote w:id="12">
    <w:p w14:paraId="2BCAA167"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Europa-Parlamentets og Rådets forordning (EU) nr. 536/2014 af 16. april 2014 om kliniske forsøg med humanmedicinske lægemidler og om ophævelse af direktiv 2001/20/EF (EUT L 158 af 27.5.2014, s. 1).</w:t>
      </w:r>
    </w:p>
  </w:footnote>
  <w:footnote w:id="13">
    <w:p w14:paraId="179EB7F3"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Europa-Parlamentets og Rådets forordning (EU) 2019/6 af 11. december 2018 om veterinærlægemidler og om ophævelse af direktiv 2001/82/EF (EUT L 4 af 7.1.2019, s. 43).</w:t>
      </w:r>
    </w:p>
  </w:footnote>
  <w:footnote w:id="14">
    <w:p w14:paraId="3F039C5A" w14:textId="7777777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Europa-Parlamentets og Rådets forordning (EU) 2022/123 af 25. januar 2022 om styrkelse af Det Europæiske Lægemiddelagenturs rolle i forbindelse med kriseberedskab og krisestyring med hensyn til lægemidler og medicinsk udstyr (EUT L 20 af 31.1.2022, s. 1).</w:t>
      </w:r>
    </w:p>
  </w:footnote>
  <w:footnote w:id="15">
    <w:p w14:paraId="0891EF95" w14:textId="77777777" w:rsidR="00E90E42" w:rsidRPr="00BA476B" w:rsidRDefault="00E90E42" w:rsidP="00BA476B">
      <w:pPr>
        <w:pStyle w:val="FootnoteText"/>
        <w:ind w:left="567" w:hanging="567"/>
        <w:rPr>
          <w:sz w:val="24"/>
          <w:szCs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Europa-Parlamentets og Rådets forordning (EU) 2021/1119 af 30. juni 2021 om fastlæggelse af rammerne for at opnå klimaneutralitet og om ændring af forordning (EF) nr. 401/2009 og (EU) 2018/1999 ("den europæiske klimalov") (EUT L 243 af 9.7.2021, s. 1).</w:t>
      </w:r>
    </w:p>
  </w:footnote>
  <w:footnote w:id="16">
    <w:p w14:paraId="61A0D429" w14:textId="26E09897" w:rsidR="00E90E42" w:rsidRPr="00BA476B" w:rsidRDefault="00E90E42" w:rsidP="00BA476B">
      <w:pPr>
        <w:pStyle w:val="FootnoteText"/>
        <w:ind w:left="567" w:hanging="567"/>
        <w:rPr>
          <w:sz w:val="24"/>
          <w:lang w:val="da-DK"/>
        </w:rPr>
      </w:pPr>
      <w:r w:rsidRPr="00BA476B">
        <w:rPr>
          <w:rStyle w:val="FootnoteReference"/>
          <w:sz w:val="24"/>
          <w:lang w:val="da-DK"/>
        </w:rPr>
        <w:footnoteRef/>
      </w:r>
      <w:r w:rsidR="00BA476B" w:rsidRPr="00BA476B">
        <w:rPr>
          <w:sz w:val="24"/>
          <w:lang w:val="da-DK"/>
        </w:rPr>
        <w:t xml:space="preserve"> </w:t>
      </w:r>
      <w:r w:rsidR="00BA476B" w:rsidRPr="00BA476B">
        <w:rPr>
          <w:sz w:val="24"/>
          <w:lang w:val="da-DK"/>
        </w:rPr>
        <w:tab/>
      </w:r>
      <w:r w:rsidRPr="00BA476B">
        <w:rPr>
          <w:sz w:val="24"/>
          <w:lang w:val="da-DK"/>
        </w:rPr>
        <w:t>Vedtagne tekster, P9_TA(2024)</w:t>
      </w:r>
      <w:r w:rsidR="0025472C">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545E9" w14:textId="77777777" w:rsidR="00064002" w:rsidRPr="00BA47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7A8C2" w14:textId="77777777" w:rsidR="00064002" w:rsidRPr="00BA47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9227B" w14:textId="77777777" w:rsidR="00064002" w:rsidRPr="00BA47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DA"/>
    <w:docVar w:name="dvnumam" w:val="0"/>
    <w:docVar w:name="dvpe" w:val="753.524"/>
    <w:docVar w:name="dvrapporteur" w:val="Ordfører: "/>
    <w:docVar w:name="dvtitre" w:val="1. Europa-Parlamentets afgørelse af 11. april 2024 om decharge for gennemførelsen af budgettet for Det Europæiske Lægemiddelagentur for regnskabsåret 2022(2023/2156(DEC))"/>
  </w:docVars>
  <w:rsids>
    <w:rsidRoot w:val="00555B9B"/>
    <w:rsid w:val="00002272"/>
    <w:rsid w:val="00064002"/>
    <w:rsid w:val="000677B9"/>
    <w:rsid w:val="000831BA"/>
    <w:rsid w:val="000A42CC"/>
    <w:rsid w:val="000E7DD9"/>
    <w:rsid w:val="0010095E"/>
    <w:rsid w:val="00125B37"/>
    <w:rsid w:val="00187494"/>
    <w:rsid w:val="001F32AE"/>
    <w:rsid w:val="0025472C"/>
    <w:rsid w:val="002767FF"/>
    <w:rsid w:val="002B0DC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B9B"/>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76B"/>
    <w:rsid w:val="00BD48FE"/>
    <w:rsid w:val="00BD7BD8"/>
    <w:rsid w:val="00BE6ADC"/>
    <w:rsid w:val="00C05BFE"/>
    <w:rsid w:val="00C23CD4"/>
    <w:rsid w:val="00C61C0C"/>
    <w:rsid w:val="00C941CB"/>
    <w:rsid w:val="00CC2357"/>
    <w:rsid w:val="00CF071A"/>
    <w:rsid w:val="00CF68C7"/>
    <w:rsid w:val="00D058B8"/>
    <w:rsid w:val="00D56C11"/>
    <w:rsid w:val="00D834A0"/>
    <w:rsid w:val="00D872DF"/>
    <w:rsid w:val="00D91E21"/>
    <w:rsid w:val="00DA7FCD"/>
    <w:rsid w:val="00E365E1"/>
    <w:rsid w:val="00E820A4"/>
    <w:rsid w:val="00E90E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D36DD"/>
  <w15:chartTrackingRefBased/>
  <w15:docId w15:val="{82720A55-AA0F-4D58-8F5F-2042DF08A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0E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0E42"/>
    <w:pPr>
      <w:spacing w:before="480" w:after="240"/>
    </w:pPr>
  </w:style>
  <w:style w:type="paragraph" w:customStyle="1" w:styleId="PageHeading">
    <w:name w:val="PageHeading"/>
    <w:basedOn w:val="Normal"/>
    <w:rsid w:val="00E90E42"/>
    <w:pPr>
      <w:keepNext/>
      <w:spacing w:after="480"/>
      <w:jc w:val="center"/>
    </w:pPr>
    <w:rPr>
      <w:rFonts w:ascii="Arial" w:hAnsi="Arial" w:cs="Arial"/>
      <w:b/>
    </w:rPr>
  </w:style>
  <w:style w:type="paragraph" w:customStyle="1" w:styleId="NormalBold">
    <w:name w:val="NormalBold"/>
    <w:basedOn w:val="Normal"/>
    <w:rsid w:val="00E90E42"/>
    <w:rPr>
      <w:b/>
    </w:rPr>
  </w:style>
  <w:style w:type="paragraph" w:customStyle="1" w:styleId="NormalHanging12a">
    <w:name w:val="NormalHanging12a"/>
    <w:basedOn w:val="Normal"/>
    <w:link w:val="NormalHanging12aChar"/>
    <w:rsid w:val="00E90E42"/>
    <w:pPr>
      <w:spacing w:after="240"/>
      <w:ind w:left="567" w:hanging="567"/>
    </w:pPr>
  </w:style>
  <w:style w:type="paragraph" w:customStyle="1" w:styleId="NormalCenter12a">
    <w:name w:val="NormalCenter12a"/>
    <w:basedOn w:val="Normal"/>
    <w:rsid w:val="00E90E42"/>
    <w:pPr>
      <w:spacing w:after="240"/>
      <w:jc w:val="center"/>
    </w:pPr>
  </w:style>
  <w:style w:type="paragraph" w:styleId="Header">
    <w:name w:val="header"/>
    <w:basedOn w:val="Normal"/>
    <w:link w:val="HeaderChar"/>
    <w:rsid w:val="00E90E42"/>
    <w:pPr>
      <w:tabs>
        <w:tab w:val="center" w:pos="4513"/>
        <w:tab w:val="right" w:pos="9026"/>
      </w:tabs>
    </w:pPr>
  </w:style>
  <w:style w:type="character" w:customStyle="1" w:styleId="HeaderChar">
    <w:name w:val="Header Char"/>
    <w:basedOn w:val="DefaultParagraphFont"/>
    <w:link w:val="Header"/>
    <w:rsid w:val="00E90E42"/>
    <w:rPr>
      <w:sz w:val="24"/>
      <w:lang w:val="da-DK"/>
    </w:rPr>
  </w:style>
  <w:style w:type="paragraph" w:customStyle="1" w:styleId="EPFooter">
    <w:name w:val="EPFooter"/>
    <w:basedOn w:val="Normal"/>
    <w:rsid w:val="00E90E4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90E42"/>
    <w:rPr>
      <w:sz w:val="24"/>
      <w:lang w:val="da-DK"/>
    </w:rPr>
  </w:style>
  <w:style w:type="paragraph" w:customStyle="1" w:styleId="Normal12Hanging">
    <w:name w:val="Normal12Hanging"/>
    <w:basedOn w:val="Normal"/>
    <w:rsid w:val="00E90E42"/>
    <w:pPr>
      <w:spacing w:after="240"/>
      <w:ind w:left="567" w:hanging="567"/>
    </w:pPr>
  </w:style>
  <w:style w:type="paragraph" w:customStyle="1" w:styleId="Normal24a">
    <w:name w:val="Normal24a"/>
    <w:basedOn w:val="Normal"/>
    <w:rsid w:val="00E90E42"/>
    <w:pPr>
      <w:spacing w:after="480"/>
    </w:pPr>
  </w:style>
  <w:style w:type="paragraph" w:customStyle="1" w:styleId="Normal12a">
    <w:name w:val="Normal12a"/>
    <w:basedOn w:val="Normal"/>
    <w:rsid w:val="00E90E42"/>
    <w:pPr>
      <w:spacing w:after="240"/>
    </w:pPr>
  </w:style>
  <w:style w:type="paragraph" w:customStyle="1" w:styleId="PageHeadingNotTOC">
    <w:name w:val="PageHeadingNotTOC"/>
    <w:basedOn w:val="Normal"/>
    <w:rsid w:val="00E90E42"/>
    <w:pPr>
      <w:keepNext/>
      <w:spacing w:after="480"/>
      <w:jc w:val="center"/>
    </w:pPr>
    <w:rPr>
      <w:rFonts w:ascii="Arial" w:hAnsi="Arial" w:cs="Arial"/>
      <w:b/>
    </w:rPr>
  </w:style>
  <w:style w:type="paragraph" w:styleId="Footer">
    <w:name w:val="footer"/>
    <w:basedOn w:val="Normal"/>
    <w:link w:val="FooterChar"/>
    <w:rsid w:val="002B0DC5"/>
    <w:pPr>
      <w:tabs>
        <w:tab w:val="center" w:pos="4513"/>
        <w:tab w:val="right" w:pos="9026"/>
      </w:tabs>
    </w:pPr>
  </w:style>
  <w:style w:type="character" w:customStyle="1" w:styleId="FooterChar">
    <w:name w:val="Footer Char"/>
    <w:basedOn w:val="DefaultParagraphFont"/>
    <w:link w:val="Footer"/>
    <w:rsid w:val="002B0DC5"/>
    <w:rPr>
      <w:sz w:val="24"/>
      <w:lang w:val="da-DK"/>
    </w:rPr>
  </w:style>
  <w:style w:type="character" w:styleId="CommentReference">
    <w:name w:val="annotation reference"/>
    <w:basedOn w:val="DefaultParagraphFont"/>
    <w:rsid w:val="002B0DC5"/>
    <w:rPr>
      <w:sz w:val="16"/>
      <w:szCs w:val="16"/>
    </w:rPr>
  </w:style>
  <w:style w:type="paragraph" w:styleId="CommentText">
    <w:name w:val="annotation text"/>
    <w:basedOn w:val="Normal"/>
    <w:link w:val="CommentTextChar"/>
    <w:rsid w:val="002B0DC5"/>
    <w:rPr>
      <w:sz w:val="20"/>
    </w:rPr>
  </w:style>
  <w:style w:type="character" w:customStyle="1" w:styleId="CommentTextChar">
    <w:name w:val="Comment Text Char"/>
    <w:basedOn w:val="DefaultParagraphFont"/>
    <w:link w:val="CommentText"/>
    <w:rsid w:val="002B0DC5"/>
    <w:rPr>
      <w:lang w:val="da-DK"/>
    </w:rPr>
  </w:style>
  <w:style w:type="paragraph" w:styleId="CommentSubject">
    <w:name w:val="annotation subject"/>
    <w:basedOn w:val="CommentText"/>
    <w:next w:val="CommentText"/>
    <w:link w:val="CommentSubjectChar"/>
    <w:rsid w:val="002B0DC5"/>
    <w:rPr>
      <w:b/>
      <w:bCs/>
    </w:rPr>
  </w:style>
  <w:style w:type="character" w:customStyle="1" w:styleId="CommentSubjectChar">
    <w:name w:val="Comment Subject Char"/>
    <w:basedOn w:val="CommentTextChar"/>
    <w:link w:val="CommentSubject"/>
    <w:rsid w:val="002B0DC5"/>
    <w:rPr>
      <w:b/>
      <w:bCs/>
      <w:lang w:val="da-DK"/>
    </w:rPr>
  </w:style>
  <w:style w:type="paragraph" w:styleId="BalloonText">
    <w:name w:val="Balloon Text"/>
    <w:basedOn w:val="Normal"/>
    <w:link w:val="BalloonTextChar"/>
    <w:rsid w:val="002B0DC5"/>
    <w:rPr>
      <w:rFonts w:ascii="Segoe UI" w:hAnsi="Segoe UI" w:cs="Segoe UI"/>
      <w:sz w:val="18"/>
      <w:szCs w:val="18"/>
    </w:rPr>
  </w:style>
  <w:style w:type="character" w:customStyle="1" w:styleId="BalloonTextChar">
    <w:name w:val="Balloon Text Char"/>
    <w:basedOn w:val="DefaultParagraphFont"/>
    <w:link w:val="BalloonText"/>
    <w:rsid w:val="002B0DC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5BB5F-55CB-4D28-BC31-AD3237786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4419</Words>
  <Characters>27694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2024-04-11T12:02:00Z</dcterms:created>
  <dcterms:modified xsi:type="dcterms:W3CDTF">2024-04-11T12:02:00Z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A9-0133/2024</vt:lpwstr>
  </property>
  <property fmtid="{D5CDD505-2E9C-101B-9397-08002B2CF9AE}" pid="4" name="&lt;Type&gt;">
    <vt:lpwstr>RR</vt:lpwstr>
  </property>
</Properties>
</file>