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0951" w:rsidTr="0010095E">
        <w:trPr>
          <w:trHeight w:hRule="exact" w:val="1418"/>
        </w:trPr>
        <w:tc>
          <w:tcPr>
            <w:tcW w:w="6804" w:type="dxa"/>
            <w:shd w:val="clear" w:color="auto" w:fill="auto"/>
            <w:vAlign w:val="center"/>
          </w:tcPr>
          <w:p w:rsidR="00751A4A" w:rsidRPr="008B0951" w:rsidRDefault="00CF38EE" w:rsidP="0010095E">
            <w:pPr>
              <w:pStyle w:val="EPName"/>
            </w:pPr>
            <w:r w:rsidRPr="008B0951">
              <w:t>Europos Parlamentas</w:t>
            </w:r>
          </w:p>
          <w:p w:rsidR="00751A4A" w:rsidRPr="008B0951" w:rsidRDefault="00817416" w:rsidP="00756632">
            <w:pPr>
              <w:pStyle w:val="EPTerm"/>
              <w:rPr>
                <w:rStyle w:val="HideTWBExt"/>
                <w:noProof w:val="0"/>
                <w:vanish w:val="0"/>
                <w:color w:val="auto"/>
              </w:rPr>
            </w:pPr>
            <w:r w:rsidRPr="008B0951">
              <w:t>2019-2024</w:t>
            </w:r>
          </w:p>
        </w:tc>
        <w:tc>
          <w:tcPr>
            <w:tcW w:w="2268" w:type="dxa"/>
            <w:shd w:val="clear" w:color="auto" w:fill="auto"/>
          </w:tcPr>
          <w:p w:rsidR="00751A4A" w:rsidRPr="008B0951" w:rsidRDefault="00187494" w:rsidP="0010095E">
            <w:pPr>
              <w:pStyle w:val="EPLogo"/>
            </w:pPr>
            <w:r w:rsidRPr="008B0951">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0951" w:rsidRDefault="00D058B8" w:rsidP="004C5D52">
      <w:pPr>
        <w:pStyle w:val="LineTop"/>
      </w:pPr>
    </w:p>
    <w:p w:rsidR="00680577" w:rsidRPr="008B0951" w:rsidRDefault="00CF38EE" w:rsidP="00680577">
      <w:pPr>
        <w:pStyle w:val="EPBodyTA1"/>
      </w:pPr>
      <w:r w:rsidRPr="008B0951">
        <w:t>PRIIMTI TEKSTAI</w:t>
      </w:r>
    </w:p>
    <w:p w:rsidR="00D058B8" w:rsidRPr="008B0951" w:rsidRDefault="00D058B8" w:rsidP="00D058B8">
      <w:pPr>
        <w:pStyle w:val="LineBottom"/>
      </w:pPr>
    </w:p>
    <w:p w:rsidR="00CF38EE" w:rsidRPr="008B0951" w:rsidRDefault="00CF38EE" w:rsidP="00CF38EE">
      <w:pPr>
        <w:pStyle w:val="ATHeading1"/>
      </w:pPr>
      <w:bookmarkStart w:id="0" w:name="TANumber"/>
      <w:r w:rsidRPr="008B0951">
        <w:t>P9_TA(2024)0</w:t>
      </w:r>
      <w:r w:rsidR="00FD7627" w:rsidRPr="008B0951">
        <w:t>245</w:t>
      </w:r>
      <w:bookmarkEnd w:id="0"/>
    </w:p>
    <w:p w:rsidR="00CF38EE" w:rsidRPr="008B0951" w:rsidRDefault="00CF38EE" w:rsidP="00CF38EE">
      <w:pPr>
        <w:pStyle w:val="ATHeading2"/>
      </w:pPr>
      <w:bookmarkStart w:id="1" w:name="title"/>
      <w:r w:rsidRPr="008B0951">
        <w:t>2022 m. biudžeto įvykdymo patvirtinimas: Europos vaistų agentūra</w:t>
      </w:r>
      <w:bookmarkEnd w:id="1"/>
    </w:p>
    <w:p w:rsidR="00CF38EE" w:rsidRPr="008B0951" w:rsidRDefault="00CF38EE" w:rsidP="00CF38EE">
      <w:pPr>
        <w:rPr>
          <w:i/>
          <w:vanish/>
        </w:rPr>
      </w:pPr>
      <w:r w:rsidRPr="008B0951">
        <w:rPr>
          <w:i/>
        </w:rPr>
        <w:fldChar w:fldCharType="begin"/>
      </w:r>
      <w:r w:rsidRPr="008B0951">
        <w:rPr>
          <w:i/>
        </w:rPr>
        <w:instrText xml:space="preserve"> TC"(</w:instrText>
      </w:r>
      <w:bookmarkStart w:id="2" w:name="DocNumber"/>
      <w:r w:rsidRPr="008B0951">
        <w:rPr>
          <w:i/>
        </w:rPr>
        <w:instrText>A9-0133/2024</w:instrText>
      </w:r>
      <w:bookmarkEnd w:id="2"/>
      <w:r w:rsidRPr="008B0951">
        <w:rPr>
          <w:i/>
        </w:rPr>
        <w:instrText xml:space="preserve"> - Pranešėjas: Petri Sarvamaa)"\l3 \n&gt; \* MERGEFORMAT </w:instrText>
      </w:r>
      <w:r w:rsidRPr="008B0951">
        <w:rPr>
          <w:i/>
        </w:rPr>
        <w:fldChar w:fldCharType="end"/>
      </w:r>
    </w:p>
    <w:p w:rsidR="00CF38EE" w:rsidRPr="008B0951" w:rsidRDefault="00CF38EE" w:rsidP="00CF38EE">
      <w:pPr>
        <w:rPr>
          <w:vanish/>
        </w:rPr>
      </w:pPr>
      <w:bookmarkStart w:id="3" w:name="Commission"/>
      <w:r w:rsidRPr="008B0951">
        <w:rPr>
          <w:vanish/>
        </w:rPr>
        <w:t>Biudžeto kontrolės komitetas</w:t>
      </w:r>
      <w:bookmarkEnd w:id="3"/>
    </w:p>
    <w:p w:rsidR="00CF38EE" w:rsidRPr="008B0951" w:rsidRDefault="00CF38EE" w:rsidP="00CF38EE">
      <w:pPr>
        <w:rPr>
          <w:vanish/>
        </w:rPr>
      </w:pPr>
      <w:bookmarkStart w:id="4" w:name="PE"/>
      <w:r w:rsidRPr="008B0951">
        <w:rPr>
          <w:vanish/>
        </w:rPr>
        <w:t>PE753.524</w:t>
      </w:r>
      <w:bookmarkEnd w:id="4"/>
    </w:p>
    <w:p w:rsidR="00CF38EE" w:rsidRPr="008B0951" w:rsidRDefault="00CF38EE" w:rsidP="008F7970">
      <w:pPr>
        <w:pStyle w:val="ATHeading3"/>
      </w:pPr>
      <w:bookmarkStart w:id="5" w:name="Sujet"/>
      <w:r w:rsidRPr="008B0951">
        <w:t xml:space="preserve">1. 2024 m. </w:t>
      </w:r>
      <w:r w:rsidR="008F7970" w:rsidRPr="008B0951">
        <w:t>balandžio</w:t>
      </w:r>
      <w:r w:rsidRPr="008B0951">
        <w:t xml:space="preserve"> 11 d. Europos Parlamento sprendimas dėl Europos vaistų agentūros 2022 finansinių metų biudžeto įvykdymo patvirtinimo</w:t>
      </w:r>
      <w:bookmarkEnd w:id="5"/>
      <w:r w:rsidRPr="008B0951">
        <w:t xml:space="preserve"> </w:t>
      </w:r>
      <w:bookmarkStart w:id="6" w:name="References"/>
      <w:r w:rsidRPr="008B0951">
        <w:t>(2023/2156(DEC))</w:t>
      </w:r>
      <w:bookmarkEnd w:id="6"/>
    </w:p>
    <w:p w:rsidR="00B540D2" w:rsidRPr="008B0951" w:rsidRDefault="00B540D2" w:rsidP="00B540D2">
      <w:pPr>
        <w:pStyle w:val="EPComma"/>
      </w:pPr>
      <w:bookmarkStart w:id="7" w:name="TextBodyBegin"/>
      <w:bookmarkEnd w:id="7"/>
      <w:r w:rsidRPr="008B0951">
        <w:rPr>
          <w:i/>
        </w:rPr>
        <w:t>Europos Parlamentas</w:t>
      </w:r>
      <w:r w:rsidRPr="008B0951">
        <w:t>,</w:t>
      </w:r>
    </w:p>
    <w:p w:rsidR="00B540D2" w:rsidRPr="008B0951" w:rsidRDefault="00B540D2" w:rsidP="00B540D2">
      <w:pPr>
        <w:pStyle w:val="NormalHanging12a"/>
      </w:pPr>
      <w:r w:rsidRPr="008B0951">
        <w:t>–</w:t>
      </w:r>
      <w:r w:rsidRPr="008B0951">
        <w:tab/>
        <w:t>atsižvelgdamas į Europos vaistų agentūros 2022 finansinių metų galutines metines ataskaitas,</w:t>
      </w:r>
    </w:p>
    <w:p w:rsidR="00B540D2" w:rsidRPr="008B0951" w:rsidRDefault="00B540D2" w:rsidP="00B540D2">
      <w:pPr>
        <w:pStyle w:val="NormalHanging12a"/>
      </w:pPr>
      <w:r w:rsidRPr="008B0951">
        <w:t>–</w:t>
      </w:r>
      <w:r w:rsidRPr="008B0951">
        <w:tab/>
        <w:t>atsižvelgdamas į Audito Rūmų 2022 finansinių metų metinę ataskaitą dėl ES agentūrų kartu su agentūrų atsakymais</w:t>
      </w:r>
      <w:r w:rsidRPr="008B0951">
        <w:rPr>
          <w:rStyle w:val="FootnoteReference"/>
        </w:rPr>
        <w:footnoteReference w:id="1"/>
      </w:r>
      <w:r w:rsidRPr="008B0951">
        <w:t>,</w:t>
      </w:r>
    </w:p>
    <w:p w:rsidR="00B540D2" w:rsidRPr="008B0951" w:rsidRDefault="00B540D2" w:rsidP="00B540D2">
      <w:pPr>
        <w:pStyle w:val="NormalHanging12a"/>
      </w:pPr>
      <w:r w:rsidRPr="008B0951">
        <w:t>–</w:t>
      </w:r>
      <w:r w:rsidRPr="008B0951">
        <w:tab/>
        <w:t>atsižvelgdamas į Audito Rūmų pagal Sutarties dėl Europos Sąjungos veikimo 287 straipsnį pateiktą sąskaitų patikimumo ir pagal jas atliktų operacijų teisėtumo ir tvarkingumo patikinimo pareiškimą</w:t>
      </w:r>
      <w:r w:rsidRPr="008B0951">
        <w:rPr>
          <w:rStyle w:val="FootnoteReference"/>
        </w:rPr>
        <w:footnoteReference w:id="2"/>
      </w:r>
      <w:r w:rsidRPr="008B0951">
        <w:t>,</w:t>
      </w:r>
    </w:p>
    <w:p w:rsidR="00B540D2" w:rsidRPr="008B0951" w:rsidRDefault="00B540D2" w:rsidP="00B540D2">
      <w:pPr>
        <w:pStyle w:val="NormalHanging12a"/>
      </w:pPr>
      <w:r w:rsidRPr="008B0951">
        <w:t>–</w:t>
      </w:r>
      <w:r w:rsidRPr="008B0951">
        <w:tab/>
        <w:t xml:space="preserve">atsižvelgdamas į </w:t>
      </w:r>
      <w:r w:rsidR="0004554E" w:rsidRPr="008B0951">
        <w:t xml:space="preserve">2024 m. vasario 22 d. </w:t>
      </w:r>
      <w:r w:rsidRPr="008B0951">
        <w:t>Tarybos rekomendaciją dėl patvirtinimo, kad Agentūra įvykdė 2022 finansinių metų biudžetą (</w:t>
      </w:r>
      <w:r w:rsidR="008F7970" w:rsidRPr="008B0951">
        <w:t>06180</w:t>
      </w:r>
      <w:r w:rsidRPr="008B0951">
        <w:t>/2024 – C9</w:t>
      </w:r>
      <w:r w:rsidRPr="008B0951">
        <w:noBreakHyphen/>
      </w:r>
      <w:r w:rsidR="008F7970" w:rsidRPr="008B0951">
        <w:t>0094</w:t>
      </w:r>
      <w:r w:rsidRPr="008B0951">
        <w:t>/2024),</w:t>
      </w:r>
    </w:p>
    <w:p w:rsidR="00B540D2" w:rsidRPr="008B0951" w:rsidRDefault="00B540D2" w:rsidP="00B540D2">
      <w:pPr>
        <w:pStyle w:val="NormalHanging12a"/>
      </w:pPr>
      <w:r w:rsidRPr="008B0951">
        <w:t>–</w:t>
      </w:r>
      <w:r w:rsidRPr="008B0951">
        <w:tab/>
        <w:t>atsižvelgdamas į Sutarties dėl Europos Sąjungos veikimo 319 straipsnį,</w:t>
      </w:r>
    </w:p>
    <w:p w:rsidR="00B540D2" w:rsidRPr="008B0951" w:rsidRDefault="00B540D2" w:rsidP="00B540D2">
      <w:pPr>
        <w:pStyle w:val="NormalHanging12a"/>
      </w:pPr>
      <w:r w:rsidRPr="008B0951">
        <w:t>–</w:t>
      </w:r>
      <w:r w:rsidRPr="008B0951">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8B0951">
        <w:rPr>
          <w:rStyle w:val="FootnoteReference"/>
        </w:rPr>
        <w:footnoteReference w:id="3"/>
      </w:r>
      <w:r w:rsidRPr="008B0951">
        <w:t>, ypač į jo 70 straipsnį,</w:t>
      </w:r>
    </w:p>
    <w:p w:rsidR="00B540D2" w:rsidRPr="008B0951" w:rsidRDefault="00B540D2" w:rsidP="00B540D2">
      <w:pPr>
        <w:pStyle w:val="NormalHanging12a"/>
      </w:pPr>
      <w:r w:rsidRPr="008B0951">
        <w:t>–</w:t>
      </w:r>
      <w:r w:rsidRPr="008B0951">
        <w:tab/>
        <w:t>atsižvelgdamas į 2004 m. kovo 31 d. Europos Parlamento ir Tarybos reglamentą (EB) Nr. 726/2004, nustatantį Sąjungos leidimų dėl žmonėms skirtų vaistų išdavimo ir priežiūros tvarką ir įsteigiantį Europos vaistų agentūrą</w:t>
      </w:r>
      <w:r w:rsidRPr="008B0951">
        <w:rPr>
          <w:rStyle w:val="FootnoteReference"/>
        </w:rPr>
        <w:footnoteReference w:id="4"/>
      </w:r>
      <w:r w:rsidRPr="008B0951">
        <w:t>, ypač į jo 68 straipsnį,</w:t>
      </w:r>
    </w:p>
    <w:p w:rsidR="00B540D2" w:rsidRPr="008B0951" w:rsidRDefault="00B540D2" w:rsidP="00B540D2">
      <w:pPr>
        <w:pStyle w:val="NormalHanging12a"/>
      </w:pPr>
      <w:r w:rsidRPr="008B0951">
        <w:lastRenderedPageBreak/>
        <w:t>–</w:t>
      </w:r>
      <w:r w:rsidRPr="008B0951">
        <w:tab/>
        <w:t>atsižvelgdamas į 2018 m. gruodžio 18 d. Komisijos deleguotąjį reglamentą (ES) 2019/715 dėl finansinio pagrindų reglamento, taikomo organams, įsteigtiems pagal SESV ir Euratomo sutartį ir nurodytiems Europos Parlamento ir Tarybos reglamento (ES, Euratomas) 2018/10467 70 straipsnyje</w:t>
      </w:r>
      <w:r w:rsidRPr="008B0951">
        <w:rPr>
          <w:rStyle w:val="FootnoteReference"/>
        </w:rPr>
        <w:footnoteReference w:id="5"/>
      </w:r>
      <w:r w:rsidRPr="008B0951">
        <w:t>, ypač į jo 105 straipsnį,</w:t>
      </w:r>
    </w:p>
    <w:p w:rsidR="00B540D2" w:rsidRPr="008B0951" w:rsidRDefault="00B540D2" w:rsidP="00B540D2">
      <w:pPr>
        <w:pStyle w:val="NormalHanging12a"/>
      </w:pPr>
      <w:r w:rsidRPr="008B0951">
        <w:t>–</w:t>
      </w:r>
      <w:r w:rsidRPr="008B0951">
        <w:tab/>
        <w:t>atsižvelgdamas į Darbo tvarkos taisyklių 100 straipsnį ir V priedą,</w:t>
      </w:r>
    </w:p>
    <w:p w:rsidR="00B540D2" w:rsidRPr="008B0951" w:rsidRDefault="00B540D2" w:rsidP="00B540D2">
      <w:pPr>
        <w:pStyle w:val="NormalHanging12a"/>
      </w:pPr>
      <w:r w:rsidRPr="008B0951">
        <w:t>–</w:t>
      </w:r>
      <w:r w:rsidRPr="008B0951">
        <w:tab/>
        <w:t>atsižvelgdamas į Aplinkos, visuomenės sveikatos ir maisto saugos komiteto nuomonę,</w:t>
      </w:r>
    </w:p>
    <w:p w:rsidR="00B540D2" w:rsidRPr="008B0951" w:rsidRDefault="00B540D2" w:rsidP="00B540D2">
      <w:pPr>
        <w:pStyle w:val="NormalHanging12a"/>
      </w:pPr>
      <w:r w:rsidRPr="008B0951">
        <w:t>–</w:t>
      </w:r>
      <w:r w:rsidRPr="008B0951">
        <w:tab/>
        <w:t>atsižvelgdamas į Biudžeto kontrolės komiteto pranešimą (A9-0133/2024),</w:t>
      </w:r>
    </w:p>
    <w:p w:rsidR="00B540D2" w:rsidRPr="008B0951" w:rsidRDefault="00B540D2" w:rsidP="00B540D2">
      <w:pPr>
        <w:pStyle w:val="NormalHanging12a"/>
      </w:pPr>
      <w:r w:rsidRPr="008B0951">
        <w:t>1.</w:t>
      </w:r>
      <w:r w:rsidRPr="008B0951">
        <w:tab/>
        <w:t>patvirtina Europos vaistų agentūros vykdomajai direktorei, kad Agentūros 2022 finansinių metų biudžetas įvykdytas;</w:t>
      </w:r>
    </w:p>
    <w:p w:rsidR="00B540D2" w:rsidRPr="008B0951" w:rsidRDefault="00B540D2" w:rsidP="00B540D2">
      <w:pPr>
        <w:pStyle w:val="NormalHanging12a"/>
      </w:pPr>
      <w:r w:rsidRPr="008B0951">
        <w:t>2.</w:t>
      </w:r>
      <w:r w:rsidRPr="008B0951">
        <w:tab/>
        <w:t>išdėsto savo pastabas toliau pateikiamoje rezoliucijoje;</w:t>
      </w:r>
    </w:p>
    <w:p w:rsidR="00B540D2" w:rsidRPr="008B0951" w:rsidRDefault="00B540D2" w:rsidP="00B540D2">
      <w:pPr>
        <w:pStyle w:val="NormalHanging12a"/>
      </w:pPr>
      <w:r w:rsidRPr="008B0951">
        <w:t>3.</w:t>
      </w:r>
      <w:r w:rsidRPr="008B0951">
        <w:tab/>
        <w:t xml:space="preserve">paveda Pirmininkei perduoti šį sprendimą ir rezoliuciją, kuri yra neatskiriama jo dalis, Europos vaistų agentūros vykdomajai direktorei, Tarybai, Komisijai ir Audito Rūmams ir pasirūpinti, kad jie būtų paskelbti </w:t>
      </w:r>
      <w:r w:rsidRPr="008B0951">
        <w:rPr>
          <w:i/>
        </w:rPr>
        <w:t>Europos Sąjungos oficialiajame leidinyje</w:t>
      </w:r>
      <w:r w:rsidRPr="008B0951">
        <w:t xml:space="preserve"> (L serijoje).</w:t>
      </w:r>
    </w:p>
    <w:p w:rsidR="00B540D2" w:rsidRPr="008B0951" w:rsidRDefault="00B540D2" w:rsidP="00B540D2"/>
    <w:p w:rsidR="00B540D2" w:rsidRPr="008B0951" w:rsidRDefault="00B540D2" w:rsidP="00B540D2">
      <w:pPr>
        <w:pStyle w:val="PageHeading"/>
        <w:sectPr w:rsidR="00B540D2" w:rsidRPr="008B0951" w:rsidSect="004D74B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540D2" w:rsidRPr="008B0951" w:rsidRDefault="00B540D2" w:rsidP="008B0951">
      <w:pPr>
        <w:pStyle w:val="ATHeading3"/>
      </w:pPr>
      <w:bookmarkStart w:id="8" w:name="_Toc162002572"/>
      <w:r w:rsidRPr="008B0951">
        <w:lastRenderedPageBreak/>
        <w:t xml:space="preserve">2. </w:t>
      </w:r>
      <w:r w:rsidR="00665DA1" w:rsidRPr="008B0951">
        <w:t xml:space="preserve">2024 m. balandžio 11 d. Europos Parlamento sprendimas </w:t>
      </w:r>
      <w:bookmarkEnd w:id="8"/>
      <w:r w:rsidRPr="008B0951">
        <w:t>dėl Europos vaistų agentūros 2022 finansinių metų sąskaitų uždarymo</w:t>
      </w:r>
      <w:r w:rsidR="00665DA1" w:rsidRPr="008B0951">
        <w:t xml:space="preserve"> </w:t>
      </w:r>
      <w:r w:rsidRPr="008B0951">
        <w:t>(2023/2156(DEC))</w:t>
      </w:r>
    </w:p>
    <w:p w:rsidR="00B540D2" w:rsidRPr="008B0951" w:rsidRDefault="00B540D2" w:rsidP="00B540D2">
      <w:pPr>
        <w:pStyle w:val="EPComma"/>
      </w:pPr>
      <w:r w:rsidRPr="008B0951">
        <w:rPr>
          <w:i/>
        </w:rPr>
        <w:t>Europos Parlamentas</w:t>
      </w:r>
      <w:r w:rsidRPr="008B0951">
        <w:t>,</w:t>
      </w:r>
    </w:p>
    <w:p w:rsidR="00B540D2" w:rsidRPr="008B0951" w:rsidRDefault="00B540D2" w:rsidP="00B540D2">
      <w:pPr>
        <w:pStyle w:val="NormalHanging12a"/>
      </w:pPr>
      <w:r w:rsidRPr="008B0951">
        <w:t>–</w:t>
      </w:r>
      <w:r w:rsidRPr="008B0951">
        <w:tab/>
        <w:t>atsižvelgdamas į Europos vaistų agentūros 2022 finansinių metų galutines metines ataskaitas,</w:t>
      </w:r>
    </w:p>
    <w:p w:rsidR="00B540D2" w:rsidRPr="008B0951" w:rsidRDefault="00B540D2" w:rsidP="00B540D2">
      <w:pPr>
        <w:pStyle w:val="NormalHanging12a"/>
      </w:pPr>
      <w:r w:rsidRPr="008B0951">
        <w:t>–</w:t>
      </w:r>
      <w:r w:rsidRPr="008B0951">
        <w:tab/>
        <w:t>atsižvelgdamas į Audito Rūmų 2022 finansinių metų metinę ataskaitą dėl ES agentūrų kartu su agentūrų atsakymais</w:t>
      </w:r>
      <w:r w:rsidRPr="008B0951">
        <w:rPr>
          <w:rStyle w:val="FootnoteReference"/>
        </w:rPr>
        <w:footnoteReference w:id="6"/>
      </w:r>
      <w:r w:rsidRPr="008B0951">
        <w:t>,</w:t>
      </w:r>
    </w:p>
    <w:p w:rsidR="00B540D2" w:rsidRPr="008B0951" w:rsidRDefault="00B540D2" w:rsidP="00B540D2">
      <w:pPr>
        <w:pStyle w:val="NormalHanging12a"/>
      </w:pPr>
      <w:r w:rsidRPr="008B0951">
        <w:t>–</w:t>
      </w:r>
      <w:r w:rsidRPr="008B0951">
        <w:tab/>
        <w:t>atsižvelgdamas į Audito Rūmų pagal Sutarties dėl Europos Sąjungos veikimo 287 straipsnį pateiktą sąskaitų patikimumo ir pagal jas atliktų operacijų teisėtumo ir tvarkingumo patikinimo pareiškimą</w:t>
      </w:r>
      <w:r w:rsidRPr="008B0951">
        <w:rPr>
          <w:rStyle w:val="FootnoteReference"/>
        </w:rPr>
        <w:footnoteReference w:id="7"/>
      </w:r>
      <w:r w:rsidRPr="008B0951">
        <w:t>,</w:t>
      </w:r>
    </w:p>
    <w:p w:rsidR="00B540D2" w:rsidRPr="008B0951" w:rsidRDefault="00B540D2" w:rsidP="00B540D2">
      <w:pPr>
        <w:pStyle w:val="NormalHanging12a"/>
      </w:pPr>
      <w:r w:rsidRPr="008B0951">
        <w:t>–</w:t>
      </w:r>
      <w:r w:rsidRPr="008B0951">
        <w:tab/>
        <w:t xml:space="preserve">atsižvelgdamas į </w:t>
      </w:r>
      <w:r w:rsidR="0004554E" w:rsidRPr="008B0951">
        <w:t xml:space="preserve">2024 m. vasario 22 d. </w:t>
      </w:r>
      <w:r w:rsidRPr="008B0951">
        <w:t>Tarybos rekomendaciją dėl patvirtinimo, kad Agentūra įvykdė 2022 finansinių metų biudžetą (</w:t>
      </w:r>
      <w:r w:rsidR="00E83C25" w:rsidRPr="008B0951">
        <w:t>06180</w:t>
      </w:r>
      <w:r w:rsidRPr="008B0951">
        <w:t>/2024 – C9</w:t>
      </w:r>
      <w:r w:rsidRPr="008B0951">
        <w:noBreakHyphen/>
      </w:r>
      <w:r w:rsidR="00E83C25" w:rsidRPr="008B0951">
        <w:t>0094</w:t>
      </w:r>
      <w:r w:rsidRPr="008B0951">
        <w:t>/2024),</w:t>
      </w:r>
    </w:p>
    <w:p w:rsidR="00B540D2" w:rsidRPr="008B0951" w:rsidRDefault="00B540D2" w:rsidP="00B540D2">
      <w:pPr>
        <w:pStyle w:val="NormalHanging12a"/>
      </w:pPr>
      <w:r w:rsidRPr="008B0951">
        <w:t>–</w:t>
      </w:r>
      <w:r w:rsidRPr="008B0951">
        <w:tab/>
        <w:t>atsižvelgdamas į Sutarties dėl Europos Sąjungos veikimo 319 straipsnį,</w:t>
      </w:r>
    </w:p>
    <w:p w:rsidR="00B540D2" w:rsidRPr="008B0951" w:rsidRDefault="00B540D2" w:rsidP="00B540D2">
      <w:pPr>
        <w:pStyle w:val="NormalHanging12a"/>
      </w:pPr>
      <w:r w:rsidRPr="008B0951">
        <w:t>–</w:t>
      </w:r>
      <w:r w:rsidRPr="008B0951">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8B0951">
        <w:rPr>
          <w:rStyle w:val="FootnoteReference"/>
        </w:rPr>
        <w:footnoteReference w:id="8"/>
      </w:r>
      <w:r w:rsidRPr="008B0951">
        <w:t>, ypač į jo 70 straipsnį,</w:t>
      </w:r>
    </w:p>
    <w:p w:rsidR="00B540D2" w:rsidRPr="008B0951" w:rsidRDefault="00B540D2" w:rsidP="00B540D2">
      <w:pPr>
        <w:pStyle w:val="NormalHanging12a"/>
      </w:pPr>
      <w:r w:rsidRPr="008B0951">
        <w:t>–</w:t>
      </w:r>
      <w:r w:rsidRPr="008B0951">
        <w:tab/>
        <w:t>atsižvelgdamas į 2004 m. kovo 31 d. Europos Parlamento ir Tarybos reglamentą (EB) Nr. 726/2004, nustatantį Sąjungos leidimų dėl žmonėms skirtų vaistų išdavimo ir priežiūros tvarką ir įsteigiantį Europos vaistų agentūrą</w:t>
      </w:r>
      <w:r w:rsidRPr="008B0951">
        <w:rPr>
          <w:rStyle w:val="FootnoteReference"/>
        </w:rPr>
        <w:footnoteReference w:id="9"/>
      </w:r>
      <w:r w:rsidRPr="008B0951">
        <w:t>, ypač į jo 68 straipsnį,</w:t>
      </w:r>
    </w:p>
    <w:p w:rsidR="00B540D2" w:rsidRPr="008B0951" w:rsidRDefault="00B540D2" w:rsidP="00B540D2">
      <w:pPr>
        <w:pStyle w:val="NormalHanging12a"/>
      </w:pPr>
      <w:r w:rsidRPr="008B0951">
        <w:t>–</w:t>
      </w:r>
      <w:r w:rsidRPr="008B0951">
        <w:tab/>
        <w:t>atsižvelgdamas į 2018 m. gruodžio 18 d. Komisijos deleguotąjį reglamentą (ES) 2019/715 dėl finansinio pagrindų reglamento, taikomo organams, įsteigtiems pagal SESV ir Euratomo sutartį ir nurodytiems Europos Parlamento ir Tarybos reglamento (ES, Euratomas) 2018/10467 70 straipsnyje</w:t>
      </w:r>
      <w:r w:rsidRPr="008B0951">
        <w:rPr>
          <w:rStyle w:val="FootnoteReference"/>
        </w:rPr>
        <w:footnoteReference w:id="10"/>
      </w:r>
      <w:r w:rsidRPr="008B0951">
        <w:t>, ypač į jo 105 straipsnį,</w:t>
      </w:r>
    </w:p>
    <w:p w:rsidR="00B540D2" w:rsidRPr="008B0951" w:rsidRDefault="00B540D2" w:rsidP="00B540D2">
      <w:pPr>
        <w:pStyle w:val="NormalHanging12a"/>
      </w:pPr>
      <w:r w:rsidRPr="008B0951">
        <w:t>–</w:t>
      </w:r>
      <w:r w:rsidRPr="008B0951">
        <w:tab/>
        <w:t>atsižvelgdamas į Darbo tvarkos taisyklių 100 straipsnį ir V priedą,</w:t>
      </w:r>
    </w:p>
    <w:p w:rsidR="00B540D2" w:rsidRPr="008B0951" w:rsidRDefault="00B540D2" w:rsidP="00B540D2">
      <w:pPr>
        <w:pStyle w:val="NormalHanging12a"/>
      </w:pPr>
      <w:r w:rsidRPr="008B0951">
        <w:t>–</w:t>
      </w:r>
      <w:r w:rsidRPr="008B0951">
        <w:tab/>
        <w:t>atsižvelgdamas į Aplinkos, visuomenės sveikatos ir maisto saugos komiteto nuomonę,</w:t>
      </w:r>
    </w:p>
    <w:p w:rsidR="00B540D2" w:rsidRPr="008B0951" w:rsidRDefault="00B540D2" w:rsidP="00B540D2">
      <w:pPr>
        <w:pStyle w:val="NormalHanging12a"/>
      </w:pPr>
      <w:r w:rsidRPr="008B0951">
        <w:t>–</w:t>
      </w:r>
      <w:r w:rsidRPr="008B0951">
        <w:tab/>
        <w:t>atsižvelgdamas į Biudžeto kontrolės komiteto pranešimą (A9-0133/2024),</w:t>
      </w:r>
    </w:p>
    <w:p w:rsidR="00B540D2" w:rsidRPr="008B0951" w:rsidRDefault="00B540D2" w:rsidP="00B540D2">
      <w:pPr>
        <w:pStyle w:val="NormalHanging12a"/>
      </w:pPr>
      <w:r w:rsidRPr="008B0951">
        <w:t>1.</w:t>
      </w:r>
      <w:r w:rsidRPr="008B0951">
        <w:tab/>
        <w:t>pritaria Europos vaistų agentūros 2022 finansinių metų sąskaitų uždarymui;</w:t>
      </w:r>
    </w:p>
    <w:p w:rsidR="00B540D2" w:rsidRPr="008B0951" w:rsidRDefault="00B540D2" w:rsidP="00B540D2">
      <w:pPr>
        <w:pStyle w:val="NormalHanging12a"/>
      </w:pPr>
      <w:r w:rsidRPr="008B0951">
        <w:t>2.</w:t>
      </w:r>
      <w:r w:rsidRPr="008B0951">
        <w:tab/>
        <w:t xml:space="preserve">paveda Pirmininkei perduoti šį sprendimą Europos vaistų agentūros vykdomajai direktorei, Tarybai, Komisijai ir Audito Rūmams ir pasirūpinti, kad jis būtų paskelbtas </w:t>
      </w:r>
      <w:r w:rsidRPr="008B0951">
        <w:rPr>
          <w:i/>
        </w:rPr>
        <w:lastRenderedPageBreak/>
        <w:t>Europos Sąjungos oficialiajame leidinyje</w:t>
      </w:r>
      <w:r w:rsidRPr="008B0951">
        <w:t xml:space="preserve"> (L serijoje).</w:t>
      </w:r>
    </w:p>
    <w:p w:rsidR="00B540D2" w:rsidRPr="008B0951" w:rsidRDefault="00B540D2" w:rsidP="00B540D2"/>
    <w:p w:rsidR="00B540D2" w:rsidRPr="008B0951" w:rsidRDefault="00B540D2" w:rsidP="00B540D2">
      <w:pPr>
        <w:pStyle w:val="PageHeading"/>
        <w:sectPr w:rsidR="00B540D2" w:rsidRPr="008B0951" w:rsidSect="004D74B7">
          <w:footnotePr>
            <w:numRestart w:val="eachPage"/>
          </w:footnotePr>
          <w:endnotePr>
            <w:numFmt w:val="decimal"/>
          </w:endnotePr>
          <w:pgSz w:w="11906" w:h="16838" w:code="9"/>
          <w:pgMar w:top="1134" w:right="1418" w:bottom="1418" w:left="1418" w:header="567" w:footer="567" w:gutter="0"/>
          <w:cols w:space="720"/>
          <w:noEndnote/>
          <w:docGrid w:linePitch="326"/>
        </w:sectPr>
      </w:pPr>
    </w:p>
    <w:p w:rsidR="00B540D2" w:rsidRPr="008B0951" w:rsidRDefault="00B540D2" w:rsidP="008B0951">
      <w:pPr>
        <w:pStyle w:val="ATHeading3"/>
      </w:pPr>
      <w:bookmarkStart w:id="9" w:name="_Toc162002573"/>
      <w:r w:rsidRPr="008B0951">
        <w:lastRenderedPageBreak/>
        <w:t xml:space="preserve">3. </w:t>
      </w:r>
      <w:r w:rsidR="00672146" w:rsidRPr="008B0951">
        <w:t xml:space="preserve">2024 m. balandžio 11 d. Europos Parlamento rezoliucija </w:t>
      </w:r>
      <w:bookmarkEnd w:id="9"/>
      <w:r w:rsidRPr="008B0951">
        <w:t>su pastabomis, sudarančiomis neatskiriamą sprendimo dėl Europos vaistų agentūros 2022 finansinių metų biudžeto įvykdymo patvirtinimo dalį</w:t>
      </w:r>
      <w:r w:rsidR="00672146" w:rsidRPr="008B0951">
        <w:t xml:space="preserve"> </w:t>
      </w:r>
      <w:r w:rsidRPr="008B0951">
        <w:t>(2023/2156(DEC))</w:t>
      </w:r>
    </w:p>
    <w:p w:rsidR="00B540D2" w:rsidRPr="008B0951" w:rsidRDefault="00B540D2" w:rsidP="00B540D2">
      <w:pPr>
        <w:pStyle w:val="EPComma"/>
      </w:pPr>
      <w:r w:rsidRPr="008B0951">
        <w:rPr>
          <w:i/>
        </w:rPr>
        <w:t>Europos Parlamentas</w:t>
      </w:r>
      <w:r w:rsidRPr="008B0951">
        <w:t>,</w:t>
      </w:r>
    </w:p>
    <w:p w:rsidR="00B540D2" w:rsidRPr="008B0951" w:rsidRDefault="00B540D2" w:rsidP="00B540D2">
      <w:pPr>
        <w:pStyle w:val="NormalHanging12a"/>
      </w:pPr>
      <w:r w:rsidRPr="008B0951">
        <w:t>–</w:t>
      </w:r>
      <w:r w:rsidRPr="008B0951">
        <w:tab/>
        <w:t>atsižvelgdamas į savo sprendimą dėl Europos vaistų agentūros 2022 finansinių metų biudžeto įvykdymo patvirtinimo,</w:t>
      </w:r>
    </w:p>
    <w:p w:rsidR="00B540D2" w:rsidRPr="008B0951" w:rsidRDefault="00B540D2" w:rsidP="00B540D2">
      <w:pPr>
        <w:pStyle w:val="NormalHanging12a"/>
      </w:pPr>
      <w:r w:rsidRPr="008B0951">
        <w:t>–</w:t>
      </w:r>
      <w:r w:rsidRPr="008B0951">
        <w:tab/>
        <w:t>atsižvelgdamas į Darbo tvarkos taisyklių 100 straipsnį ir V priedą,</w:t>
      </w:r>
    </w:p>
    <w:p w:rsidR="00B540D2" w:rsidRPr="008B0951" w:rsidRDefault="00B540D2" w:rsidP="00B540D2">
      <w:pPr>
        <w:pStyle w:val="NormalHanging12a"/>
      </w:pPr>
      <w:r w:rsidRPr="008B0951">
        <w:t>–</w:t>
      </w:r>
      <w:r w:rsidRPr="008B0951">
        <w:tab/>
        <w:t>atsižvelgdamas į Aplinkos, visuomenės sveikatos ir maisto saugos komiteto nuomonę,</w:t>
      </w:r>
    </w:p>
    <w:p w:rsidR="00B540D2" w:rsidRPr="008B0951" w:rsidRDefault="00B540D2" w:rsidP="00B540D2">
      <w:pPr>
        <w:pStyle w:val="NormalHanging12a"/>
      </w:pPr>
      <w:r w:rsidRPr="008B0951">
        <w:t>–</w:t>
      </w:r>
      <w:r w:rsidRPr="008B0951">
        <w:tab/>
        <w:t>atsižvelgdamas į Biudžeto kontrolės komiteto pranešimą (A9-0133/2024),</w:t>
      </w:r>
    </w:p>
    <w:p w:rsidR="00B540D2" w:rsidRPr="008B0951" w:rsidRDefault="00B540D2" w:rsidP="00B540D2">
      <w:pPr>
        <w:pStyle w:val="Normal12Hanging"/>
        <w:widowControl/>
        <w:rPr>
          <w:szCs w:val="24"/>
        </w:rPr>
      </w:pPr>
      <w:r w:rsidRPr="008B0951">
        <w:t>A.</w:t>
      </w:r>
      <w:r w:rsidRPr="008B0951">
        <w:tab/>
        <w:t>kadangi, remiantis Europos vaistų agentūros (toliau – Agentūra) pajamų ir išlaidų suvestine</w:t>
      </w:r>
      <w:r w:rsidRPr="008B0951">
        <w:rPr>
          <w:szCs w:val="24"/>
          <w:vertAlign w:val="superscript"/>
        </w:rPr>
        <w:footnoteReference w:id="11"/>
      </w:r>
      <w:r w:rsidRPr="008B0951">
        <w:t>, jos galutinis 2022 finansinių metų biudžetas buvo 421 815 000 EUR, t. y. 11,23 proc. didesnis, palyginti su 2021 m.; kadangi Agentūra yra finansuojama iš mokesčių, ir maždaug 88 proc. jos 2022 m. pajamų sudarė už vaistų įvertinimą ir iš kitos su verslu susijusios veiklos gaunami mokesčiai, o 12 proc. buvo iš Sąjungos biudžeto ir kitos įvairaus pobūdžio pajamos;</w:t>
      </w:r>
    </w:p>
    <w:p w:rsidR="00B540D2" w:rsidRPr="008B0951" w:rsidRDefault="00B540D2" w:rsidP="00B540D2">
      <w:pPr>
        <w:pStyle w:val="Normal12Hanging"/>
        <w:widowControl/>
        <w:rPr>
          <w:szCs w:val="24"/>
        </w:rPr>
      </w:pPr>
      <w:r w:rsidRPr="008B0951">
        <w:t>B.</w:t>
      </w:r>
      <w:r w:rsidRPr="008B0951">
        <w:tab/>
        <w:t>kadangi Audito Rūmai savo ataskaitoje dėl Agentūros 2022 finansinių metų metinių ataskaitų (toliau – Audito Rūmų ataskaita) pažymi, jog gavo pagrįstą patikinimą, kad Agentūros metinės ataskaitos patikimos, o jose nurodytos operacijos – teisėtos ir tvarkingos;</w:t>
      </w:r>
    </w:p>
    <w:p w:rsidR="00B540D2" w:rsidRPr="008B0951" w:rsidRDefault="00B540D2" w:rsidP="00B540D2">
      <w:pPr>
        <w:pStyle w:val="Normal12Hanging"/>
        <w:rPr>
          <w:szCs w:val="24"/>
        </w:rPr>
      </w:pPr>
      <w:r w:rsidRPr="008B0951">
        <w:t>C.</w:t>
      </w:r>
      <w:r w:rsidRPr="008B0951">
        <w:tab/>
        <w:t>kadangi, kalbant apie Agentūros viešųjų pirkimų sektorių, 2022 m. nebuvo pranešta apie jokias problemas, dėl kurių reikėtų imtis taisomųjų veiksmų, taip pat nebuvo imtasi ar neįgyvendintų taisomųjų veiksmų, susijusių su ankstesnių metų auditais ir vertinimais;</w:t>
      </w:r>
    </w:p>
    <w:p w:rsidR="00B540D2" w:rsidRPr="008B0951" w:rsidRDefault="00B540D2" w:rsidP="00B540D2">
      <w:pPr>
        <w:pStyle w:val="Normal12Hanging"/>
        <w:widowControl/>
        <w:rPr>
          <w:b/>
          <w:i/>
          <w:szCs w:val="24"/>
        </w:rPr>
      </w:pPr>
      <w:r w:rsidRPr="008B0951">
        <w:rPr>
          <w:b/>
          <w:i/>
        </w:rPr>
        <w:t>Biudžeto ir finansų valdymas</w:t>
      </w:r>
    </w:p>
    <w:p w:rsidR="00B540D2" w:rsidRPr="008B0951" w:rsidRDefault="00B540D2" w:rsidP="00B540D2">
      <w:pPr>
        <w:pStyle w:val="Normal12Hanging"/>
        <w:widowControl/>
      </w:pPr>
      <w:r w:rsidRPr="008B0951">
        <w:t>1.</w:t>
      </w:r>
      <w:r w:rsidRPr="008B0951">
        <w:tab/>
        <w:t>pažymi, kad 2022 finansiniais metais vykdant biudžeto stebėseną biudžeto įvykdymo lygis buvo 96,80 proc. einamųjų metų įsipareigojimų asignavimų, t. y. 0,42 proc. mažesnis, palyginti su 2021 m.; apgailestauja, kad aptariamais metais mokėjimų asignavimų panaudojimo lygis buvo 71,48 proc., t. y. 0,88 proc. mažesnis, palyginti su 2021 m.;</w:t>
      </w:r>
    </w:p>
    <w:p w:rsidR="00B540D2" w:rsidRPr="008B0951" w:rsidRDefault="00B540D2" w:rsidP="00B540D2">
      <w:pPr>
        <w:pStyle w:val="Normal12Hanging"/>
        <w:widowControl/>
      </w:pPr>
      <w:r w:rsidRPr="008B0951">
        <w:t>2.</w:t>
      </w:r>
      <w:r w:rsidRPr="008B0951">
        <w:tab/>
        <w:t>atkreipia dėmesį į tai, kad vieno audituoto 2 milijonų eurų vertės mokėjimo atveju Agentūra patvirtino susijusį biudžetinį įsipareigojimą tik po to, kai buvo priimtas teisinis įsipareigojimas; primena, kad tai prieštarauja Agentūros finansinio reglamento 73 straipsnio 2 daliai; ragina Agentūrą nedelsiant imtis veiksmų ir įgyvendinti priemones, kuriomis būtų užtikrinta, kad visi finansiniai sandoriai atitinka Agentūros finansinį reglamentą;</w:t>
      </w:r>
    </w:p>
    <w:p w:rsidR="00B540D2" w:rsidRPr="008B0951" w:rsidRDefault="00B540D2" w:rsidP="00B540D2">
      <w:pPr>
        <w:pStyle w:val="NormalHanging12a"/>
      </w:pPr>
      <w:r w:rsidRPr="008B0951">
        <w:t>3.</w:t>
      </w:r>
      <w:r w:rsidRPr="008B0951">
        <w:tab/>
        <w:t xml:space="preserve">primena, kad galimų įsipareigojimų iki 2039 m., susijusių su buvusių Agentūros biuro patalpų Londone nuoma, klausimas išlieka neišspręstas; susirūpinęs pažymi, kad </w:t>
      </w:r>
      <w:r w:rsidRPr="008B0951">
        <w:lastRenderedPageBreak/>
        <w:t>2022 m. gruodžio 31 d. bendra apskaičiuota nesumokėta nuomos, susijusių paslaugų mokesčių ir nuomotojo draudimo suma, kurią iki nuomos laikotarpio pabaigos turi sumokėti Agentūra, buvo 366 mln. EUR</w:t>
      </w:r>
      <w:r w:rsidRPr="008B0951">
        <w:rPr>
          <w:b/>
          <w:i/>
        </w:rPr>
        <w:t>, o</w:t>
      </w:r>
      <w:r w:rsidRPr="008B0951">
        <w:rPr>
          <w:b/>
          <w:i/>
          <w:iCs/>
        </w:rPr>
        <w:t xml:space="preserve"> </w:t>
      </w:r>
      <w:r w:rsidRPr="008B0951">
        <w:t>tai apytiksliai sudaro 23 mln. EUR kasmet; pažymi, kad 2019 m. liepos mėn. Agentūra pasiekė susitarimą su patalpų savininku ir nuo 2019 m. liepos mėn. pernuomojo buvusias patalpas subnuomininkui pagal sąlygas, atitinkančias pagrindinės nuomos sąlygas; pripažįsta, kad subnuomos laikotarpis baigiasi 2039 m. birželio mėn., kai baigiasi Agentūros nuomos sutartis, ir kadangi Agentūra išlieka pagrindinės nuomos sutarties šalimi, ji gali būti laikoma atsakinga už visą sumą, mokėtiną pagal pagrindine nuomos sutartimi prisiimtus sutartinius įsipareigojimus, jei subnuomininkas neįvykdytų savo įsipareigojimų; atkreipia dėmesį į kitą Agentūros finansinėse ataskaitose pabrėžtą elementą, t. y. netikrumą, susijusį su subnuomotojo pagrindinės patronuojančiosios bendrovės finansiniais rezultatais dėl jos kredito reitingo pablogėjimo ir neseniai įvykusio skolos restruktūrizavimo, dėl kurio ji sustabdė mokėjimus ; atkreipia dėmesį į tai, kad Agentūra ir jos valdančioji taryba nuogąstauja, kad dabar Agentūra, užuot dėjusi visas pastangas vykdyti savo misiją – saugoti ir stiprinti visuomenės sveikatą, taip pat turės rūpintis komercinio turto reikalais trečiojoje šalyje, o jos žmogiškieji ir finansiniai ištekliai bus nukreipti nuo jos visuomenės sveikatos srities įsipareigojimų Sąjungos piliečiams; žino, kad 2024 m. sausio 11 d. Parlamento Biudžeto komitetas surengė keitimąsi nuomonėmis su Agentūra dėl galimo Agentūros subnuomos sutarties, susijusios su buvusiomis jos patalpomis Londone, pakeitimo; primygtinai reikalauja, kad būtų priimtas politinis sprendimas siekiant užtikrinti ilgalaikį šio klausimo sprendimą; primygtinai reikalauja, kad, kol siekiama ilgalaikio sprendimo, reikėtų rasti ir taikyti trumpalaikę problemos sprendimo ir valdymo priemonę atsižvelgiant į tai, kad subnuomininkas ir toliau nemoka nuomos;</w:t>
      </w:r>
    </w:p>
    <w:p w:rsidR="00B540D2" w:rsidRPr="008B0951" w:rsidRDefault="00B540D2" w:rsidP="00B540D2">
      <w:pPr>
        <w:pStyle w:val="Normal12Hanging"/>
        <w:widowControl/>
        <w:rPr>
          <w:b/>
          <w:i/>
          <w:szCs w:val="24"/>
        </w:rPr>
      </w:pPr>
      <w:r w:rsidRPr="008B0951">
        <w:rPr>
          <w:b/>
          <w:i/>
        </w:rPr>
        <w:t>Veikla</w:t>
      </w:r>
    </w:p>
    <w:p w:rsidR="00B540D2" w:rsidRPr="008B0951" w:rsidRDefault="00B540D2" w:rsidP="00B540D2">
      <w:pPr>
        <w:pStyle w:val="Normal12Hanging"/>
        <w:widowControl/>
        <w:rPr>
          <w:szCs w:val="24"/>
        </w:rPr>
      </w:pPr>
      <w:r w:rsidRPr="008B0951">
        <w:t>4.</w:t>
      </w:r>
      <w:r w:rsidRPr="008B0951">
        <w:tab/>
        <w:t>pažymi, kad 2022 m. Agentūra pateikė ataskaitą apie 41 veiklos rezultatų rodiklį, ir nurodė numatomą 92,60 proc. įgyvendinimo lygį; pažymi, kad 2022 m. Agentūra pasinaudojo savo, kaip Tarptautinės vaistų reguliavimo institucijų koalicijos pirmininkės, padėtimi, kad paspartintų tarptautinių reguliavimo sistemų derinimo darbą; pažymi, kad ji taip pat pasiekė trijų svarbių teisės aktų (Reglamentas (ES) Nr. 536/2014</w:t>
      </w:r>
      <w:r w:rsidRPr="008B0951">
        <w:rPr>
          <w:rStyle w:val="FootnoteReference"/>
          <w:szCs w:val="24"/>
        </w:rPr>
        <w:footnoteReference w:id="12"/>
      </w:r>
      <w:r w:rsidRPr="008B0951">
        <w:t>, Reglamentas (ES) 2019/6</w:t>
      </w:r>
      <w:r w:rsidRPr="008B0951">
        <w:rPr>
          <w:rStyle w:val="FootnoteReference"/>
          <w:szCs w:val="24"/>
        </w:rPr>
        <w:footnoteReference w:id="13"/>
      </w:r>
      <w:r w:rsidRPr="008B0951">
        <w:t xml:space="preserve"> ir išplėsti įgaliojimai Reglamente (ES)</w:t>
      </w:r>
      <w:bookmarkStart w:id="10" w:name="_GoBack"/>
      <w:bookmarkEnd w:id="10"/>
      <w:r w:rsidRPr="008B0951">
        <w:t> 2022/123</w:t>
      </w:r>
      <w:r w:rsidRPr="008B0951">
        <w:rPr>
          <w:rStyle w:val="FootnoteReference"/>
          <w:szCs w:val="24"/>
        </w:rPr>
        <w:footnoteReference w:id="14"/>
      </w:r>
      <w:r w:rsidRPr="008B0951">
        <w:t>) įgyvendinimo ir padarė pažangą duomenų valdymo srityje;</w:t>
      </w:r>
    </w:p>
    <w:p w:rsidR="00B540D2" w:rsidRPr="008B0951" w:rsidRDefault="00B540D2" w:rsidP="00B540D2">
      <w:pPr>
        <w:pStyle w:val="Normal12Hanging"/>
        <w:widowControl/>
        <w:rPr>
          <w:szCs w:val="24"/>
        </w:rPr>
      </w:pPr>
      <w:r w:rsidRPr="008B0951">
        <w:t>5.</w:t>
      </w:r>
      <w:r w:rsidRPr="008B0951">
        <w:tab/>
        <w:t xml:space="preserve">palankiai vertina tai, kad Agentūros įgaliojimai buvo pratęsti 2022 m. kovo 1 d. įsigaliojus Reglamentui (ES) 2022/123 dėl didesnio jos vaidmens pasirengimo vaistų ir medicinos priemonių krizei ir jos valdymo srityje; pažymi, kad tuo reglamentu reikalaujama, kad Agentūra įsteigtų naujų įstaigų, pvz., Vaistų stygiaus iniciatyvinę grupę ir Ekstremaliųjų situacijų darbo grupę, be to, Agentūra perėmė medicinos priemonių srities ekspertų komisijų, kurios buvo perduotos Agentūrai iš Komisijos </w:t>
      </w:r>
      <w:r w:rsidRPr="008B0951">
        <w:lastRenderedPageBreak/>
        <w:t>Jungtinio tyrimų centro, valdymą; be to, pažymi, kad pagal Reglamentą (ES) 2022/123 Agentūra atsakinga už įvykių, dėl kurių gali kilti krizė, stebėseną, ataskaitų teikimą ir ES atsako į ypatingos svarbos vaistų, medicinos priemonių ir diagnostikos in vitro priemonių stygių krizės metu koordinavimą;</w:t>
      </w:r>
    </w:p>
    <w:p w:rsidR="00B540D2" w:rsidRPr="008B0951" w:rsidRDefault="00B540D2" w:rsidP="00B540D2">
      <w:pPr>
        <w:pStyle w:val="Normal12Hanging"/>
        <w:widowControl/>
        <w:rPr>
          <w:szCs w:val="24"/>
        </w:rPr>
      </w:pPr>
      <w:r w:rsidRPr="008B0951">
        <w:t>6.</w:t>
      </w:r>
      <w:r w:rsidRPr="008B0951">
        <w:tab/>
        <w:t xml:space="preserve">pabrėžia tai, kad be kitų pagrindinių 2022 m. laimėjimų buvo patvirtintos dvi naujos vakcinos ir du COVID-19 gydymo būdai, o Ekstremaliųjų situacijų darbo grupė, siekdama remti nacionalinių ES valdžios institucijų skiepijimo pastangas, rekomendavo laikinai naudoti JAV patvirtintą vakciną „Jynneos“ nuo beždžionių raupų ir buvo išplėstas „Imvanex“ naudojimas, siekiant nuo beždžionių raupų apsaugoti ir suaugusiuosius; atkreipia dėmesį į tai, kad siekdama įsteigti Duomenų analitikos ir duomenų gavimo realiomis sąlygomis tinklo (DARWIN EU®) koordinavimo centrą, esantį siūlomo reglamento dėl Europos sveikatos duomenų erdvės (ESDE) vedliu ir siejantį su ESDE teikiamomis paslaugomis, naudojamomis reglamentuojant vaistus, Agentūra taip pat bendradarbiavo su Roterdame esančiu Erasmus universiteto Medicinos centru; be to, pažymi, kad įgyvendindama programą „Scaled Agile Framework“ Agentūra savo IT sistemas turėjo pritaikyti prie „Agile“ veikimo modelio, sukurti su pagrindine Agentūros misija suderintus vertės srautus ir į juos įtraukti produkto </w:t>
      </w:r>
      <w:r w:rsidRPr="008B0951">
        <w:rPr>
          <w:u w:val="single"/>
        </w:rPr>
        <w:t>g</w:t>
      </w:r>
      <w:r w:rsidRPr="008B0951">
        <w:t>rupes; ragina Agentūrą pasimokyti iš šios patirties ir ateityje pasinaudoti iš jos perimta geriausia praktika;</w:t>
      </w:r>
    </w:p>
    <w:p w:rsidR="00B540D2" w:rsidRPr="008B0951" w:rsidRDefault="00B540D2" w:rsidP="00B540D2">
      <w:pPr>
        <w:pStyle w:val="NormalHanging12a"/>
      </w:pPr>
      <w:r w:rsidRPr="008B0951">
        <w:t>7.</w:t>
      </w:r>
      <w:r w:rsidRPr="008B0951">
        <w:tab/>
        <w:t>primena, kad Agentūra, vertindama ir prižiūrėdama žmonėms skirtus ar veterinarinius vaistus ir saugodama visuomenės sveikatą didinant informuotumą pagrindiniais klausimais, įskaitant atsparumą antimikrobinėms medžiagoms ir užkrečiamųjų ligų prevenciją skiepijant, atlieka esminį vaidmenį žmonių ir gyvūnų sveikatos apsaugos srityje;</w:t>
      </w:r>
    </w:p>
    <w:p w:rsidR="00B540D2" w:rsidRPr="008B0951" w:rsidRDefault="00B540D2" w:rsidP="00B540D2">
      <w:pPr>
        <w:pStyle w:val="NormalHanging12a"/>
      </w:pPr>
      <w:r w:rsidRPr="008B0951">
        <w:t>8.</w:t>
      </w:r>
      <w:r w:rsidRPr="008B0951">
        <w:tab/>
        <w:t>vis dėlto pažymi, kad nepakankami Agentūra ištekliai gali pakenkti Agentūros gebėjimui vykdyti savo misiją, ir ragina Komisiją ir Tarybą skirti tinkamą Sąjungos finansavimą siekiant užtikrinti, kad Agentūra turėtų pakankamai išteklių vykdyti visą savo veiklą, susijusią su įvairiais reguliavimo mechanizmais, įskaitant palankesnių sąlygų vaistų kūrimui ir prieigai prie jų sudarymą, paramą moksliniams tyrimams ir inovacijoms, taip pat jos pareigas stebėti ir nedelsiant mažinti galimą ar faktinį ypatingos svarbos vaistų stygių;</w:t>
      </w:r>
    </w:p>
    <w:p w:rsidR="00B540D2" w:rsidRPr="008B0951" w:rsidRDefault="00B540D2" w:rsidP="00B540D2">
      <w:pPr>
        <w:pStyle w:val="Normal12Hanging"/>
      </w:pPr>
      <w:r w:rsidRPr="008B0951">
        <w:t>9.</w:t>
      </w:r>
      <w:r w:rsidRPr="008B0951">
        <w:tab/>
        <w:t>pripažįsta, kad 2022 m. dar buvo vykdoma nemažai su COVID-19 susijusios veiklos ir buvo pereita nuo veiklos, vykdomos prieš suteikiant vaisto rinkodaros leidimą, ir pirminio rinkodaros leidimo išdavimo veiklos prie veiklos po rinkodaros leidimo suteikimo;</w:t>
      </w:r>
    </w:p>
    <w:p w:rsidR="00B540D2" w:rsidRPr="008B0951" w:rsidRDefault="00B540D2" w:rsidP="00B540D2">
      <w:pPr>
        <w:pStyle w:val="NormalHanging12a"/>
      </w:pPr>
      <w:r w:rsidRPr="008B0951">
        <w:t>10.</w:t>
      </w:r>
      <w:r w:rsidRPr="008B0951">
        <w:tab/>
        <w:t>palankiai vertina tai, kad 52 proc. pareiškėjų, gavusių teigiamą nuomonę dėl savo vaisto, Agentūra teikė mokslines konsultacijas arba su protokolu susijusią pagalbą produkto kūrimo etapu, o pareiškėjų dėl vaistų su naujomis veikliosiomis medžiagomis atveju šis skaičius siekė 78 proc.; laikosi nuomonės, kad ankstyvos konsultacijos gali iš esmės supaprastinti patvirtinimo procesą ir sudaryti sąlygas saugių bei efektyvių vaistų kūrimui;</w:t>
      </w:r>
    </w:p>
    <w:p w:rsidR="00B540D2" w:rsidRPr="008B0951" w:rsidRDefault="00B540D2" w:rsidP="00B540D2">
      <w:pPr>
        <w:pStyle w:val="Normal12Hanging"/>
        <w:widowControl/>
        <w:rPr>
          <w:b/>
          <w:i/>
          <w:szCs w:val="24"/>
        </w:rPr>
      </w:pPr>
      <w:r w:rsidRPr="008B0951">
        <w:rPr>
          <w:b/>
          <w:i/>
        </w:rPr>
        <w:t>Veiksmingumas ir nauda</w:t>
      </w:r>
    </w:p>
    <w:p w:rsidR="00B540D2" w:rsidRPr="008B0951" w:rsidRDefault="00B540D2" w:rsidP="00B540D2">
      <w:pPr>
        <w:pStyle w:val="Normal12Hanging"/>
        <w:widowControl/>
        <w:rPr>
          <w:szCs w:val="24"/>
        </w:rPr>
      </w:pPr>
      <w:r w:rsidRPr="008B0951">
        <w:t>11.</w:t>
      </w:r>
      <w:r w:rsidRPr="008B0951">
        <w:tab/>
        <w:t>žino, kad 2022 m. Agentūra, siekdama didesnio veiksmingumo, toliau įgyvendino savo strategiją, daugiausia dėmesio skirdama procesų tobulinimui ir skaitmeninimui;</w:t>
      </w:r>
    </w:p>
    <w:p w:rsidR="00B540D2" w:rsidRPr="008B0951" w:rsidRDefault="00B540D2" w:rsidP="00B540D2">
      <w:pPr>
        <w:pStyle w:val="Normal12Hanging"/>
        <w:widowControl/>
        <w:rPr>
          <w:szCs w:val="24"/>
        </w:rPr>
      </w:pPr>
      <w:r w:rsidRPr="008B0951">
        <w:lastRenderedPageBreak/>
        <w:t>12.</w:t>
      </w:r>
      <w:r w:rsidRPr="008B0951">
        <w:tab/>
        <w:t>pažymi, kad Agentūra, pasitelkusi savo Skaitmeninių inovacijų laboratoriją („DigiLab“), nagrinėjo galimybes automatizuoti administracinį darbą; atkreipia dėmesį į tai, kad „DigiLab“ kartu su Analitikos kompetencijos centru inicijavo 14 Skaitmeninimo spartinimo vadovų grupės prioritetizuotų ir patvirtintų automatizavimo projektų, įskaitant e. pašto skirstymo į kategorijas automatizavimą, klinikinių trūkio taškų sąrašo sudarymą ir bandomąją ES referencinių datų sąrašo duomenų bazę siekiant veiksmingesnės priežiūros ir skelbti Agentūros interneto svetainėje; atkreipia dėmesį į tai, kad „DigiLab“, siekdama išbandyti penkis galimus verslo iššūkių sprendimus, taip pat bendradarbiavo su Analitikos kompetencijos centru;</w:t>
      </w:r>
    </w:p>
    <w:p w:rsidR="00B540D2" w:rsidRPr="008B0951" w:rsidRDefault="00B540D2" w:rsidP="00B540D2">
      <w:pPr>
        <w:pStyle w:val="Normal12Hanging"/>
        <w:widowControl/>
        <w:rPr>
          <w:szCs w:val="24"/>
        </w:rPr>
      </w:pPr>
      <w:r w:rsidRPr="008B0951">
        <w:t>13.</w:t>
      </w:r>
      <w:r w:rsidRPr="008B0951">
        <w:tab/>
        <w:t>palankiai vertina tai, kad vykdydama skaitmeninimo pastangas Agentūra 2022 m. į savo IT platformą IRIS galutinai integravo geros klinikinės praktikos ir gerosios farmakologinio budrumo praktikos tikrinimą, ir taip padidino veiksmingumą, skaidrumą ir bendradarbiavimą pagal Agentūros skaitmeninės transformacijos programą, pagal kurią taikant centralizuotą procedūrą arba kreipimosi procedūrą Žmonėms skirtų vaistų komiteto arba Veterinarinių vaistų komiteto prašymu vykdoma žmonėms skirtų ir veterinarinių vaistų tikrinimo priežiūra; ragina šią įstaigą rasti daugiau vidaus procedūrų, kurias būtų galima supaprastinti jas automatizuojant;</w:t>
      </w:r>
    </w:p>
    <w:p w:rsidR="00B540D2" w:rsidRPr="008B0951" w:rsidRDefault="00B540D2" w:rsidP="00B540D2">
      <w:pPr>
        <w:pStyle w:val="Normal12Hanging"/>
        <w:widowControl/>
        <w:rPr>
          <w:szCs w:val="24"/>
        </w:rPr>
      </w:pPr>
      <w:r w:rsidRPr="008B0951">
        <w:t>14.</w:t>
      </w:r>
      <w:r w:rsidRPr="008B0951">
        <w:tab/>
        <w:t>pažymi, kad 2022 m. Agentūra, įgyvendindama proceso tobulinimo aspektus, siekdama užtikrinti didesnį skaidrumą, mažesnę administracinę naštą ir aiškesnę atskaitomybę, dirbo prie programos „Agile“ pertvarkos ir taikė naują valdymo modelį ir darbo informacijos valdymo ir (arba) IT srityje būdą;</w:t>
      </w:r>
    </w:p>
    <w:p w:rsidR="00B540D2" w:rsidRPr="008B0951" w:rsidRDefault="00B540D2" w:rsidP="00B540D2">
      <w:pPr>
        <w:pStyle w:val="Normal12Hanging"/>
        <w:widowControl/>
        <w:rPr>
          <w:szCs w:val="24"/>
        </w:rPr>
      </w:pPr>
      <w:r w:rsidRPr="008B0951">
        <w:t>15.</w:t>
      </w:r>
      <w:r w:rsidRPr="008B0951">
        <w:tab/>
        <w:t>atkreipia dėmesį į tai, kad 2022 m. Agentūra palaipsniui atnaujino veiklos vykdymą vietoje, savo pastate, ir kartu išlaikė lanksčias darbo sąlygas bei leido iki 60 proc. per mėnesį dirbti nuotoliniu būdu; laikinose taisyklėse dėl dalykinių kelionių pirmenybė teikiama virtualiam dalyvavimui konferencijose, posėdžiuose ir mokymuose, o fizinis dalyvavimas vertinamas kaip turintis pridėtinę strateginę vertę, be to, siekiant valdyti vietos pajėgumus ir prisidėti prie anglies pėdsako kontrolės, buvo įgyvendintas sprendimas mokslinių komitetų ir darbo grupių posėdžius pakaitomis rengti virtualioje ir fizinėje aplinkoje, todėl, nepaisant to, kad fizinė veikla buvo atnaujinta, išmetamas anglies dioksido kiekis, palyginti su prieš pandemiją buvusiais metais, sumažėjo;</w:t>
      </w:r>
    </w:p>
    <w:p w:rsidR="00B540D2" w:rsidRPr="008B0951" w:rsidRDefault="00B540D2" w:rsidP="00B540D2">
      <w:pPr>
        <w:pStyle w:val="NormalHanging12a"/>
      </w:pPr>
      <w:r w:rsidRPr="008B0951">
        <w:t>16.</w:t>
      </w:r>
      <w:r w:rsidRPr="008B0951">
        <w:tab/>
        <w:t>primena, kad svarbu didinti Agentūros skaitmeninimą ne tik vidaus operacijų ir valdymo tikslais, bet ir siekiant paspartinti procedūrų skaitmeninimą; pabrėžia, jog Agentūra turi ir toliau aktyviai veikti šioje srityje, kad būtų išvengta skaitmeninio atotrūkio tarp agentūrų; vis dėlto atkreipia dėmesį į tai, kad reikia imtis visų būtinų saugumo priemonių, kad būtų išvengta bet kokio pavojaus internete tvarkomos informacijos saugumo srityje; primygtinai atkreipia dėmesį į būtinybę sustiprinti kovą su kibernetiniais išpuoliais ar bandymais įsiskverbti, visų pirma iš Rusijos ar Kinijos;</w:t>
      </w:r>
    </w:p>
    <w:p w:rsidR="00B540D2" w:rsidRPr="008B0951" w:rsidRDefault="00B540D2" w:rsidP="00B540D2">
      <w:pPr>
        <w:pStyle w:val="NormalHanging12a"/>
      </w:pPr>
      <w:r w:rsidRPr="008B0951">
        <w:t>17.</w:t>
      </w:r>
      <w:r w:rsidRPr="008B0951">
        <w:tab/>
        <w:t>su pasitenkinimu pažymi, kad Agentūra bendradarbiauja su kitomis agentūromis, visų pirma su Europos ligų prevencijos ir kontrolės centru ir Europos maisto saugos tarnyba, be kita ko, Europos skiepijimo informacijos portalu, siekiant vykdyti vakcinų saugumo stebėseną ir pranešti apie jų šalutinį poveikį, ir antimikrobinių medžiagų vartojimo bei atsparumo joms klausimais;</w:t>
      </w:r>
    </w:p>
    <w:p w:rsidR="00B540D2" w:rsidRPr="008B0951" w:rsidRDefault="00B540D2" w:rsidP="00B540D2">
      <w:pPr>
        <w:pStyle w:val="NormalHanging12a"/>
      </w:pPr>
      <w:r w:rsidRPr="008B0951">
        <w:t>18.</w:t>
      </w:r>
      <w:r w:rsidRPr="008B0951">
        <w:tab/>
        <w:t>ragina Agentūrą toliau skatinti bendradarbiavimą su kitomis Sąjungos agentūromis ir tarptautinėmis organizacijomis bei plėtoti dialogą su suinteresuotaisiais subjektais ir piliečiais;</w:t>
      </w:r>
    </w:p>
    <w:p w:rsidR="00B540D2" w:rsidRPr="008B0951" w:rsidRDefault="00B540D2" w:rsidP="00B540D2">
      <w:pPr>
        <w:pStyle w:val="Normal12Hanging"/>
        <w:widowControl/>
        <w:rPr>
          <w:b/>
          <w:i/>
          <w:szCs w:val="24"/>
        </w:rPr>
      </w:pPr>
      <w:r w:rsidRPr="008B0951">
        <w:rPr>
          <w:b/>
          <w:i/>
        </w:rPr>
        <w:lastRenderedPageBreak/>
        <w:t>Personalo politika</w:t>
      </w:r>
    </w:p>
    <w:p w:rsidR="00B540D2" w:rsidRPr="008B0951" w:rsidRDefault="00B540D2" w:rsidP="00B540D2">
      <w:pPr>
        <w:pStyle w:val="Normal12Hanging"/>
        <w:widowControl/>
        <w:rPr>
          <w:szCs w:val="24"/>
        </w:rPr>
      </w:pPr>
      <w:r w:rsidRPr="008B0951">
        <w:t>19.</w:t>
      </w:r>
      <w:r w:rsidRPr="008B0951">
        <w:tab/>
        <w:t>pažymi, kad 2022 m. gruodžio 31 d. etatų planas buvo įvykdytas 99,39 proc., t. y. į 662 laikinųjų darbuotojų etatus, patvirtintus pagal Sąjungos biudžetą (palyginti su 2021 m. patvirtintais 657 etatais), buvo įdarbinti 658 laikinieji darbuotojai; pažymi, kad 2022 m. Agentūroje taip pat dirbo 192 sutartininkai, 25 deleguotieji nacionaliniai ekspertai ir 114 laikinai samdomų darbuotojų;</w:t>
      </w:r>
    </w:p>
    <w:p w:rsidR="00B540D2" w:rsidRPr="008B0951" w:rsidRDefault="00B540D2" w:rsidP="00B540D2">
      <w:pPr>
        <w:pStyle w:val="NormalHanging12a"/>
      </w:pPr>
      <w:r w:rsidRPr="008B0951">
        <w:t>20.</w:t>
      </w:r>
      <w:r w:rsidRPr="008B0951">
        <w:tab/>
        <w:t>apgailestauja dėl lyčių pusiausvyros trūkumo Agentūros valdančiojoje taryboje, kurioje 36 iš 67 narių (54 proc.) yra vyrai, o, kalbant apie visus darbuotojus, 568 iš 865 darbuotojų (66 proc.) yra moterys; be to, apgailestauja, kad vyresniųjų vadovų pareigose 17 iš 27 (63 proc.) yra vyrai; tvirtai laikosi nuomonės, kad Agentūros vyresniosios ir vidurinės grandies vadovybės narių ir administracijos darbuotojų lyčių pusiausvyra turi būti pagerinta greičiau;</w:t>
      </w:r>
    </w:p>
    <w:p w:rsidR="00B540D2" w:rsidRPr="008B0951" w:rsidRDefault="00B540D2" w:rsidP="00B540D2">
      <w:pPr>
        <w:pStyle w:val="NormalHanging12a"/>
      </w:pPr>
      <w:r w:rsidRPr="008B0951">
        <w:t>21.</w:t>
      </w:r>
      <w:r w:rsidRPr="008B0951">
        <w:tab/>
        <w:t>reiškia susirūpinimą dėl geografinės pusiausvyros Agentūros vyresniosios ir vidurinės grandies vadovybėje, kurioje yra tik vienas vadovaujantis darbuotojas iš Vidurio ir Rytų Europos; primygtinai tvirtina, kad reikia atlikti patobulinimus; ragina Agentūrą pateikti paaiškinimą šiuo klausimu biudžeto įvykdymą tvirtinančiai institucijai;</w:t>
      </w:r>
    </w:p>
    <w:p w:rsidR="00B540D2" w:rsidRPr="008B0951" w:rsidRDefault="00B540D2" w:rsidP="00B540D2">
      <w:pPr>
        <w:pStyle w:val="NormalHanging12a"/>
      </w:pPr>
      <w:r w:rsidRPr="008B0951">
        <w:t>22.</w:t>
      </w:r>
      <w:r w:rsidRPr="008B0951">
        <w:tab/>
        <w:t>primena, kad svarbu užtikrinti lyčių pusiausvyrą ir šiuo atžvilgiu pripažįsta, kad Agentūra įgyvendina įvairias iniciatyvas, kuriomis siekiama mažinti lyčių nelygybę vyresniųjų vadovų pareigose, įskaitant valdymo plėtros programą, vidaus judumo galimybes ir valdymo bendruomenių kūrimą siekiant skatinti ir remti moteris; pažymi, kad kuriamas biurų, tarnybų ir darbo grupių vadovų tinklas, kuriame palaipsniui daugėja vadovaujančias pareigas užimančių moterų; be to, pažymi, kad svarbiausiems vyresniesiems vadovams vyrams išėjus į pensiją susidarė moterų įdarbinimo į šias pareigas galimybių, kurias papildė patobulinta darbdavio įvaizdžio kūrimo strategija, tikslinės įdarbinimo kampanijos, įsteigta Įvairovės ir įtraukties darbo grupė ir 2022 m. kovo mėn. patvirtinta įvairovės ir įtraukties chartija;</w:t>
      </w:r>
    </w:p>
    <w:p w:rsidR="00B540D2" w:rsidRPr="008B0951" w:rsidRDefault="00B540D2" w:rsidP="00B540D2">
      <w:pPr>
        <w:pStyle w:val="NormalHanging12a"/>
      </w:pPr>
      <w:r w:rsidRPr="008B0951">
        <w:t>23.</w:t>
      </w:r>
      <w:r w:rsidRPr="008B0951">
        <w:tab/>
        <w:t>pažymi, kad 2022 m. nurodyti 72 463 valandų viršvalandžiai buvo 30 proc. mažesni, palyginti su 102 912 valandų, apie kurias pranešta 2021 m.; be to, pažymi, kad 2022 m. viršvalandžių vidurkis buvo 4,3 proc., palyginti su 6,3 proc., apie kurį pranešta 2021 m., šis rodiklis nedaug skiriais nuo 2016–2019 m. užfiksuoto 4,0 proc. vidurkio; pabrėžia geros profesinio ir asmeninio gyvenimo pusiausvyros, lanksčių darbo valandų, nuotolinio darbo ir teisės atsijungti svarbą gerinant darbuotojų gerovę;</w:t>
      </w:r>
    </w:p>
    <w:p w:rsidR="00B540D2" w:rsidRPr="008B0951" w:rsidRDefault="00B540D2" w:rsidP="00B540D2">
      <w:pPr>
        <w:widowControl/>
        <w:spacing w:after="240"/>
        <w:ind w:left="567" w:hanging="567"/>
        <w:rPr>
          <w:szCs w:val="24"/>
        </w:rPr>
      </w:pPr>
      <w:r w:rsidRPr="008B0951">
        <w:t>24.</w:t>
      </w:r>
      <w:r w:rsidRPr="008B0951">
        <w:tab/>
        <w:t>palankiai vertina tai, kad 2022 m. Agentūra atliko išsamų gerovės tyrimą, o gautos rekomendacijos buvo įtrauktos į Agentūros 2023–2025 m. žmogiškųjų išteklių strategiją;</w:t>
      </w:r>
    </w:p>
    <w:p w:rsidR="00B540D2" w:rsidRPr="008B0951" w:rsidRDefault="00B540D2" w:rsidP="00B540D2">
      <w:pPr>
        <w:pStyle w:val="NormalHanging12a"/>
      </w:pPr>
      <w:r w:rsidRPr="008B0951">
        <w:t>25.</w:t>
      </w:r>
      <w:r w:rsidRPr="008B0951">
        <w:tab/>
        <w:t>pažymi, kad Agentūra vykdo asmens orumo apsaugos ir psichologinio bei seksualinio priekabiavimo prevencijos politiką, ir priklauso konfidencialių patarėjų tarpžinybinei darbo grupei; nekantriai laukia jų ataskaitos ir rekomendacijų; pažymi, kad 2022 m. nebuvo pranešta apie jokius priekabiavimo atvejus, ir ragina Agentūrą toliau tęsti aktyvų darbą, kad priekabiavimo atvejų nepasitaikytų ir ateityje;</w:t>
      </w:r>
    </w:p>
    <w:p w:rsidR="00B540D2" w:rsidRPr="008B0951" w:rsidRDefault="00B540D2" w:rsidP="00B540D2">
      <w:pPr>
        <w:pStyle w:val="NormalHanging12a"/>
        <w:rPr>
          <w:b/>
          <w:i/>
        </w:rPr>
      </w:pPr>
      <w:r w:rsidRPr="008B0951">
        <w:rPr>
          <w:b/>
          <w:i/>
        </w:rPr>
        <w:t>Interesų konfliktų prevencija ir valdymas, taip pat skaidrumas</w:t>
      </w:r>
    </w:p>
    <w:p w:rsidR="00B540D2" w:rsidRPr="008B0951" w:rsidRDefault="00B540D2" w:rsidP="00B540D2">
      <w:pPr>
        <w:pStyle w:val="NormalHanging12a"/>
      </w:pPr>
      <w:r w:rsidRPr="008B0951">
        <w:t>26.</w:t>
      </w:r>
      <w:r w:rsidRPr="008B0951">
        <w:tab/>
        <w:t xml:space="preserve">atkreipia dėmesį į tai, kad, siekdama užtikrinti nešališką ir objektyvią veiklą, Agentūra </w:t>
      </w:r>
      <w:r w:rsidRPr="008B0951">
        <w:lastRenderedPageBreak/>
        <w:t>atsižvelgia į kylančią riziką, atsirandančią dėl naujos veiklos ir (arba) sąveikos su naujų kategorijų suinteresuotaisiais subjektais, ir reguliariai koreguoja savo politikos aprėptį ir įgyvendinimo procesus; pažymi, kad 2022 m. atsižvelgiant į naujas Agentūros pareigas medicinos priemonių, in vitro medicinos priemonių srityje, taip pat į pareigas pagal išplėstus jos įgaliojimus, buvo peržiūrėta valdančiosios tarybos narių konkurencinių interesų politika, ekspertų konkurencinių interesų politika ir darbuotojų ir kandidatų deklaruotų interesų tvarkymo prieš įdarbinant įgyvendinimo taisyklės;</w:t>
      </w:r>
    </w:p>
    <w:p w:rsidR="00B540D2" w:rsidRPr="008B0951" w:rsidRDefault="00B540D2" w:rsidP="00B540D2">
      <w:pPr>
        <w:pStyle w:val="NormalHanging12a"/>
      </w:pPr>
      <w:r w:rsidRPr="008B0951">
        <w:t>27.</w:t>
      </w:r>
      <w:r w:rsidRPr="008B0951">
        <w:tab/>
        <w:t>pažymi, kad Agentūra įdiegė piktnaudžiavimo pasitikėjimu nagrinėjimo procedūrą, nustatančią neteisingų ar neišsamių ekspertų ir komiteto narių e. interesų deklaracijų tvarkymo ir konfidencialios informacijos atskleidimo tvarką; pažymi, kad 2022 m. gruodžio mėn. piktnaudžiavimo pasitikėjimu nagrinėjimo procedūra buvo peržiūrėta; atkreipia dėmesį į tai, kad peržiūrėtoje piktnaudžiavimo pasitikėjimu nagrinėjimo procedūroje nurodoma, kad ji taip pat taikoma kitoms pagal išplėstus Agentūros įgaliojimus jos įsteigtoms įstaigoms (pvz., Ekstremaliųjų situacijų darbo grupei ir abiem iniciatyvinėms grupėms);</w:t>
      </w:r>
    </w:p>
    <w:p w:rsidR="00B540D2" w:rsidRPr="008B0951" w:rsidRDefault="00B540D2" w:rsidP="00B540D2">
      <w:pPr>
        <w:pStyle w:val="NormalHanging12a"/>
      </w:pPr>
      <w:r w:rsidRPr="008B0951">
        <w:t>28.</w:t>
      </w:r>
      <w:r w:rsidRPr="008B0951">
        <w:tab/>
        <w:t>pažymi, kad 2022 m. buvo pradėtos dvi ekspertų piktnaudžiavimo pasitikėjimu nagrinėjimo procedūros; pažymi, kad vienu atveju komiteto narys neatskleidė už paskaitas gauto honoraro, todėl deklaracijos buvo persvarstytos ir nustatytas trejų metų apribojimas, o antruoju atveju komiteto narys nenurodė artimo šeimos nario interesų, todėl jam devyniems mėnesiams buvo apribota veikla Agentūroje;</w:t>
      </w:r>
    </w:p>
    <w:p w:rsidR="00B540D2" w:rsidRPr="008B0951" w:rsidRDefault="00B540D2" w:rsidP="00B540D2">
      <w:pPr>
        <w:pStyle w:val="NormalHanging12a"/>
      </w:pPr>
      <w:r w:rsidRPr="008B0951">
        <w:t>29.</w:t>
      </w:r>
      <w:r w:rsidRPr="008B0951">
        <w:tab/>
        <w:t>pabrėžia, kad išeinantys Agentūros darbuotojai prašė leidimo dirbti profesinėje srityje pasibaigus tarnybos laikui, ir 2022 m. pateikus 22 prašymus buvo išduoti įvairūs leidimai, įskaitant neribotus ir ribotus leidimus; pripažįsta, kad nuo 2020 m. gruodžio mėn. Agentūra savo interneto svetainėje skelbia su iš organizacijos išeinančiais vyresniaisiais darbuotojais susijusius sprendimus, todėl interesų konfliktų valdymas tapo daug skaidresnis;</w:t>
      </w:r>
    </w:p>
    <w:p w:rsidR="00B540D2" w:rsidRPr="008B0951" w:rsidRDefault="00B540D2" w:rsidP="00B540D2">
      <w:pPr>
        <w:pStyle w:val="NormalHanging12a"/>
      </w:pPr>
      <w:r w:rsidRPr="008B0951">
        <w:t>30.</w:t>
      </w:r>
      <w:r w:rsidRPr="008B0951">
        <w:tab/>
        <w:t>džiaugdamasis pažymi, kad 2022 m. paskelbtoje Komisijos vidaus audito tarnybos ataskaitoje, kurioje daugiausia dėmesio skirta žmogiškųjų išteklių klausimams, patvirtinta, kad labai dideliu darbuotojų informuotumu apie susijusią riziką ir galimiems interesų konfliktams valdyti skirtų vidaus kontrolės priemonių branda pagrįsta taikoma sistema yra patikima;</w:t>
      </w:r>
    </w:p>
    <w:p w:rsidR="00B540D2" w:rsidRPr="008B0951" w:rsidRDefault="00B540D2" w:rsidP="00B540D2">
      <w:pPr>
        <w:pStyle w:val="NormalHanging12a"/>
      </w:pPr>
      <w:r w:rsidRPr="008B0951">
        <w:t>31.</w:t>
      </w:r>
      <w:r w:rsidRPr="008B0951">
        <w:tab/>
        <w:t>pažymi, kad kaip techninė ir mokslinė Sąjungos įstaiga, Agentūra oficialiai nebendradarbiauja su lobistais ir su jais nesusitinka, tačiau Agentūra bendradarbiauja ir susitinka su suinteresuotaisiais subjektais pagal savo oficialią ryšių su suinteresuotaisiais subjektais sistemą; be to, pažymi, kad susitikimai su išorės suinteresuotaisiais subjektais yra vieši ir išsami informacija skelbiama Agentūros interneto svetainės renginių puslapyje;</w:t>
      </w:r>
    </w:p>
    <w:p w:rsidR="00B540D2" w:rsidRPr="008B0951" w:rsidRDefault="00B540D2" w:rsidP="00B540D2">
      <w:pPr>
        <w:pStyle w:val="NormalHanging12a"/>
      </w:pPr>
      <w:r w:rsidRPr="008B0951">
        <w:t>32.</w:t>
      </w:r>
      <w:r w:rsidRPr="008B0951">
        <w:tab/>
        <w:t>pripažįsta Agentūros pasiektą matomumą; mano, kad Agentūrai dar yra kur tobulėti siekiant didesnio matomumo žiniasklaidoje, internete ir socialinėje žiniasklaidoje, kad piliečiai žinotų apie jos darbą ir aplinkai kylančius pavojus;</w:t>
      </w:r>
    </w:p>
    <w:p w:rsidR="00B540D2" w:rsidRPr="008B0951" w:rsidRDefault="00B540D2" w:rsidP="00B540D2">
      <w:pPr>
        <w:pStyle w:val="NormalHanging12a"/>
      </w:pPr>
      <w:r w:rsidRPr="008B0951">
        <w:t>33.</w:t>
      </w:r>
      <w:r w:rsidRPr="008B0951">
        <w:tab/>
        <w:t xml:space="preserve">pažymi, kad 2022 m. Agentūra gavo 676 prašymus leisti susipažinti su dokumentais, t. y. mažiau nei 2019 m. (783 prašymai) ar 2021 m. (710 prašymų) gautų prašymų kiekis, ir paskelbė 216 666 puslapius, t. y. daugiau nei 165 943 puslapiai 2021 m., tačiau gerokai mažiau nei 318 013 puslapių 2019 m.; pažymi, kad Agentūra taiko eilės </w:t>
      </w:r>
      <w:r w:rsidRPr="008B0951">
        <w:lastRenderedPageBreak/>
        <w:t>valdymo mechanizmą, skirtą to paties prašytojo daugelio prašymų leisti susipažinti su dokumentais tvarkymui organizuoti, o tai yra kliūtis laiku susipažinti su Agentūros turimais dokumentais, kuri atgraso prašytojus nuo naujų prašymų teikimo; ragina Agentūrą pateikti išsamią informaciją apie prašymų leisti susipažinti su dokumentais, kurie liko neaktyvuoti eilės valdymo sistemoje, skaičių ir vidutinį eilės valdymo sistemoje praleistą laiką prieš juos aktyvuojant; ragina pradėti auditą dėl Agentūros taisyklių, pagal kurias tvarkomi prašymai susipažinti su dokumentais, dėl eilės valdymo mechanizmo, prašymų raidos ir poveikio pareiškėjams;</w:t>
      </w:r>
    </w:p>
    <w:p w:rsidR="00B540D2" w:rsidRPr="008B0951" w:rsidRDefault="00B540D2" w:rsidP="00B540D2">
      <w:pPr>
        <w:pStyle w:val="NormalHanging12a"/>
      </w:pPr>
      <w:r w:rsidRPr="008B0951">
        <w:t>34.</w:t>
      </w:r>
      <w:r w:rsidRPr="008B0951">
        <w:tab/>
        <w:t>ragina Komisiją užtikrinti, kad Agentūra gautų pakankamai išteklių, kad galėtų įgyvendinti užduotis, kurios Agentūrai buvo pavestos priėmus Reglamentą (ES) Nr. 536/2014, ir išvengti darbuotojų trūkumo, kuris neigiamai paveiktų Agentūros skaidrumo politiką, be kita ko, kiek tai susiję su laiku skelbiamais klinikiniais duomenimis, posėdžių protokolais ir laiku pateiktais atsakymais į prašymus susipažinti su dokumentais;</w:t>
      </w:r>
    </w:p>
    <w:p w:rsidR="00B540D2" w:rsidRPr="008B0951" w:rsidRDefault="00B540D2" w:rsidP="00B540D2">
      <w:pPr>
        <w:pStyle w:val="Normal12Hanging"/>
        <w:widowControl/>
        <w:rPr>
          <w:szCs w:val="24"/>
          <w:u w:val="single"/>
        </w:rPr>
      </w:pPr>
      <w:r w:rsidRPr="008B0951">
        <w:rPr>
          <w:b/>
          <w:i/>
        </w:rPr>
        <w:t>Vidaus kontrolė</w:t>
      </w:r>
    </w:p>
    <w:p w:rsidR="00B540D2" w:rsidRPr="008B0951" w:rsidRDefault="00B540D2" w:rsidP="00B540D2">
      <w:pPr>
        <w:pStyle w:val="Normal12Hanging"/>
        <w:widowControl/>
        <w:rPr>
          <w:szCs w:val="24"/>
        </w:rPr>
      </w:pPr>
      <w:r w:rsidRPr="008B0951">
        <w:t>35.</w:t>
      </w:r>
      <w:r w:rsidRPr="008B0951">
        <w:tab/>
        <w:t>pažymi, kad buvo parengtas klausimynas siekiant įvertinti 17 vidaus kontrolės sistemos principų įgyvendinimą, veikimą ir tobulinimą; pažymi, kad klausimynas buvo pateiktas už konkrečius principus ar elementus atsakingiems vadovams ir darbuotojams, ir, siekiant didesnio aiškumo, buvo surengti pokalbiai; be to, pažymi, kad daroma bendra išvada, jog vidaus kontrolės sistema laikoma veiksminga ir efektyvia, jos komponentai ir principai iš esmės įgyvendinami ir veikia pakankamai gerai, o tam tikrus principus reikėtų papildyti nedideliais paaiškinimais ar papildoma informacija, taip pat siūlomi pakeitimai ir patobulinimai;</w:t>
      </w:r>
    </w:p>
    <w:p w:rsidR="00B540D2" w:rsidRPr="008B0951" w:rsidRDefault="00B540D2" w:rsidP="00B540D2">
      <w:pPr>
        <w:pStyle w:val="Normal12Hanging"/>
        <w:widowControl/>
        <w:rPr>
          <w:szCs w:val="24"/>
        </w:rPr>
      </w:pPr>
      <w:r w:rsidRPr="008B0951">
        <w:t>36.</w:t>
      </w:r>
      <w:r w:rsidRPr="008B0951">
        <w:tab/>
        <w:t>atkreipia dėmesį į tai, kad po persikėlimo 2019 m. Agentūra išsinuomojo pastatą Amsterdame, kuris buvo visiškai įrengtas ir apstatytas baldais pagal Nyderlandų vyriausybės 15 mln. EUR skatinamąją programą, įskaitant dovanotus baldus ir maitinimo įrangą; pažymi, kad Audito Rūmai nustatė, kad Agentūra kai kurių šio turto objektų, daugiausia baldų aiškiai neidentifikavo (pvz., nenaudojo etikečių su brūkšniniais kodais); taip pat atkreipia dėmesį į tai, kad nuo persikėlimo dienos Agentūrai atlikus keturis inventorinius skaičiavimus, buvo nuolat nustatoma Nyderlandų vyriausybės dovanoto turto sąrašo, Agentūros turto registro ir patalpose rasto turto neatitikimų (kurie laikui bėgant sumažėjo nuo 534 331 EUR iki 15 000 EUR); pabrėžia, kad tai, jog nėra išsamaus ir atnaujinto inventoriaus sąrašo, kuriame būtų nurodyta materialiojo turto vieta, prieštarauja Finansinio reglamento 87 straipsniui ir daro neigiamą poveikį Agentūros gebėjimui užtikrinti, kad jos turtas yra apsaugotas; palankiai vertina tai, kad siekdama nuolat tobulinti savo procesus, Agentūra paskelbs atnaujintas savo turto inventoriaus valdymo vidaus gaires, parengs rizika grindžiamą baldų ženklinimo metodą ir paskelbs tęstinį fizinių patikrinimų planą, kad nuolat būtų galima patvirtinti, jog inventorius yra tikslus;</w:t>
      </w:r>
    </w:p>
    <w:p w:rsidR="00B540D2" w:rsidRPr="008B0951" w:rsidRDefault="00B540D2" w:rsidP="00B540D2">
      <w:pPr>
        <w:pStyle w:val="Normal12Hanging"/>
        <w:widowControl/>
        <w:rPr>
          <w:szCs w:val="24"/>
        </w:rPr>
      </w:pPr>
      <w:r w:rsidRPr="008B0951">
        <w:t>37.</w:t>
      </w:r>
      <w:r w:rsidRPr="008B0951">
        <w:tab/>
        <w:t xml:space="preserve">atkreipia dėmesį į Audito Rūmų ataskaitoje pateiktą pastabą dėl Agentūros indėlio darbuotojų vaikų tam tikrų rūšių priežiūros išlaidoms, pvz., priešmokyklinės ir popamokinės priežiūros Nyderlanduose išlaidoms, padengti; kalbant apie maitinimą mokyklose, pažymi, kad Audito Rūmai nustatė, kad Agentūra negalėjo pateikti išsamių įrodymų apie atliktas patikras siekiant užtikrinti, kad nebūtų įtrauktos maitinimo mokyklose išlaidos, todėl kilo abejonių, ar tokios patikros buvo atliekamos sistemingai; remdamasis Agentūros atsakymu pažymi, kad maitinimo išlaidos į mokymosi išlaidas </w:t>
      </w:r>
      <w:r w:rsidRPr="008B0951">
        <w:lastRenderedPageBreak/>
        <w:t>neįtraukiamos, ir Agentūra pateiks įrodymus, kad maitinimo mokykloje išlaidos apskaičiuojant įnašą neįtraukiamos;</w:t>
      </w:r>
    </w:p>
    <w:p w:rsidR="00B540D2" w:rsidRPr="008B0951" w:rsidRDefault="00B540D2" w:rsidP="00B540D2">
      <w:pPr>
        <w:pStyle w:val="Normal12Hanging"/>
        <w:widowControl/>
        <w:rPr>
          <w:szCs w:val="24"/>
        </w:rPr>
      </w:pPr>
      <w:r w:rsidRPr="008B0951">
        <w:t>38.</w:t>
      </w:r>
      <w:r w:rsidRPr="008B0951">
        <w:tab/>
        <w:t>atkreipia dėmesį į Agentūros vidaus audito tarnybos vykdytos veiklos rezultatus – 2022 m. pateiktos 6 kritinės ir 19 labai svarbių rekomendacijų; ragina Agentūrą atsižvelgti į 14 pagrindinių rekomendacijų, dėl kurių iki 2022 m. gruodžio 31 d. turėjo būti parengtas tobulinimo planas, ir informuoti biudžeto įvykdymą tvirtinančią instituciją apie pažangą šioje srityje;</w:t>
      </w:r>
    </w:p>
    <w:p w:rsidR="00B540D2" w:rsidRPr="008B0951" w:rsidRDefault="00B540D2" w:rsidP="00B540D2">
      <w:pPr>
        <w:pStyle w:val="Normal12Hanging"/>
        <w:widowControl/>
        <w:rPr>
          <w:szCs w:val="24"/>
        </w:rPr>
      </w:pPr>
      <w:r w:rsidRPr="008B0951">
        <w:rPr>
          <w:b/>
          <w:i/>
        </w:rPr>
        <w:t>Kitos pastabos</w:t>
      </w:r>
    </w:p>
    <w:p w:rsidR="00B540D2" w:rsidRPr="008B0951" w:rsidRDefault="00B540D2" w:rsidP="00B540D2">
      <w:pPr>
        <w:pStyle w:val="NormalHanging12a"/>
        <w:widowControl/>
        <w:rPr>
          <w:szCs w:val="24"/>
        </w:rPr>
      </w:pPr>
      <w:r w:rsidRPr="008B0951">
        <w:t>39.</w:t>
      </w:r>
      <w:r w:rsidRPr="008B0951">
        <w:tab/>
        <w:t>palankiai vertina tai, kad Agentūra savo ilgalaikius klimato srities tikslus suderino su Reglamente (ES) 2021/1119</w:t>
      </w:r>
      <w:r w:rsidRPr="008B0951">
        <w:rPr>
          <w:rStyle w:val="FootnoteReference"/>
          <w:szCs w:val="24"/>
        </w:rPr>
        <w:footnoteReference w:id="15"/>
      </w:r>
      <w:r w:rsidRPr="008B0951">
        <w:t xml:space="preserve"> nustatytu tikslu iki 2030 m. grynąjį išmetamą šiltnamio efektą sukeliančių dujų kiekį sumažinti 55 proc. (palyginti su 1990 m. lygiu) ir iki 2050 m. užtikrinti poveikio klimatui neutralumą; pažymi, kad kalbant apie energijos ir vandens suvartojimą, Agentūra šiuos tikslus įgyvendino 2012–2021 m. 15 proc. sumažindama vienam biuro patalpų kvadratiniam metrui tenkantį jo kiekį; atkreipia dėmesį į tai, kad nustatant šią tikslinę reikšmę atsižvelgta į Agentūros augimą tuo laikotarpiu ir į tai, kad po to, kai ji buvo perkelta iš Londono į Amsterdamą, ji persikėlė į didesnį, bet ir efektyviau energiją naudojantį pastatą; pažymi, kad su energija ir vandens suvartojimu susijęs tikslas buvo viršytas: pasiekta, kad energijos suvartojimas sumažėtų 45 proc., o vandens suvartojimas – 63 proc. vienam kvadratiniam metrui;</w:t>
      </w:r>
    </w:p>
    <w:p w:rsidR="00B540D2" w:rsidRPr="008B0951" w:rsidRDefault="00B540D2" w:rsidP="00B540D2">
      <w:pPr>
        <w:pStyle w:val="NormalHanging12a"/>
        <w:widowControl/>
        <w:rPr>
          <w:szCs w:val="24"/>
        </w:rPr>
      </w:pPr>
      <w:r w:rsidRPr="008B0951">
        <w:t>40.</w:t>
      </w:r>
      <w:r w:rsidRPr="008B0951">
        <w:tab/>
        <w:t>atkreipia dėmesį į tai, kad Agentūra rengiasi gauti aplinkosaugos vadybos ir audito sistemos (EMAS) sertifikatą;</w:t>
      </w:r>
    </w:p>
    <w:p w:rsidR="00B540D2" w:rsidRPr="008B0951" w:rsidRDefault="00B540D2" w:rsidP="00B540D2">
      <w:pPr>
        <w:pStyle w:val="NormalHanging12a"/>
        <w:widowControl/>
        <w:rPr>
          <w:szCs w:val="24"/>
        </w:rPr>
      </w:pPr>
      <w:r w:rsidRPr="008B0951">
        <w:t>41.</w:t>
      </w:r>
      <w:r w:rsidRPr="008B0951">
        <w:tab/>
        <w:t>palankiai vertina tai, kad 2022 m., siekdama padidinti kibernetinį saugumą, Agentūra priėmė Informacijos saugumo strategiją ir susijusį įgyvendinimo planą, kuriais siekiama sustiprinti esamas apsaugos priemones ir saugumo procesus, kad būtų apsaugoti Agentūros informaciniai ištekliai, kartu remiant naujus veiklos ir technologinius uždavinius; pažymi, kad 2022 m. taip pat buvo įgyvendintos kitos svarbios priemonės, įskaitant mokymo ir informuotumo saugumo klausimais programos sukūrimą ir Saugumo operacijų centro, kuriuo siekiama nuolat stebėti ir gerinti Agentūros saugumo padėtį, kartu užkertant kelią kibernetinio saugumo incidentams, juos nustatant, analizuojant ir į juos reaguojant, įgyvendinimą; be to, pažymi, kad Agentūra glaudžiai bendradarbiavo su Sąjungos institucijų, įstaigų, organų ir agentūrų kibernetinio saugumo tarnyba ir Europos Sąjungos kibernetinio saugumo agentūra daugeliu informacijos saugumo ir kibernetinio saugumo aspektų, įskaitant diskusijas ir reguliariai teikiamą naujausią informaciją apie būsimą Sąjungos institucijoms, įstaigoms ir agentūroms skirtą kibernetinio saugumo reglamentą;</w:t>
      </w:r>
    </w:p>
    <w:p w:rsidR="00B540D2" w:rsidRPr="008B0951" w:rsidRDefault="00B540D2" w:rsidP="00B540D2">
      <w:pPr>
        <w:pStyle w:val="NormalHanging12a"/>
        <w:widowControl/>
        <w:rPr>
          <w:szCs w:val="24"/>
        </w:rPr>
      </w:pPr>
      <w:r w:rsidRPr="008B0951">
        <w:t>42.</w:t>
      </w:r>
      <w:r w:rsidRPr="008B0951">
        <w:tab/>
        <w:t>palankiai vertina tai, kad Agentūra paskelbė pirmines gaires užsakovams, kaip sėkmingai atlikti klinikinius tyrimus atsižvelgiant į Rusijos invazijos į Ukrainą sukeltus trikdžius;</w:t>
      </w:r>
    </w:p>
    <w:p w:rsidR="00B540D2" w:rsidRPr="008B0951" w:rsidRDefault="00B540D2" w:rsidP="00B540D2">
      <w:pPr>
        <w:pStyle w:val="NormalCenter12a"/>
      </w:pPr>
      <w:r w:rsidRPr="008B0951">
        <w:t>°</w:t>
      </w:r>
    </w:p>
    <w:p w:rsidR="00B540D2" w:rsidRPr="008B0951" w:rsidRDefault="00B540D2" w:rsidP="00B540D2">
      <w:pPr>
        <w:pStyle w:val="NormalCenter12a"/>
      </w:pPr>
      <w:r w:rsidRPr="008B0951">
        <w:lastRenderedPageBreak/>
        <w:t>°</w:t>
      </w:r>
      <w:r w:rsidRPr="008B0951">
        <w:tab/>
        <w:t>°</w:t>
      </w:r>
    </w:p>
    <w:p w:rsidR="00B540D2" w:rsidRPr="008B0951" w:rsidRDefault="00B540D2" w:rsidP="00B540D2">
      <w:pPr>
        <w:pStyle w:val="NormalHanging12a"/>
        <w:widowControl/>
      </w:pPr>
      <w:r w:rsidRPr="008B0951">
        <w:t>43.</w:t>
      </w:r>
      <w:r w:rsidRPr="008B0951">
        <w:tab/>
        <w:t xml:space="preserve">pažymi, kad kitos su sprendimu dėl biudžeto įvykdymo patvirtinimo susijusios pastabos, kurios yra horizontaliojo pobūdžio, pateikiamos </w:t>
      </w:r>
      <w:r w:rsidR="00CF38EE" w:rsidRPr="008B0951">
        <w:t xml:space="preserve">2024 m. </w:t>
      </w:r>
      <w:r w:rsidR="00410B74" w:rsidRPr="008B0951">
        <w:t>balandžio</w:t>
      </w:r>
      <w:r w:rsidR="00CF38EE" w:rsidRPr="008B0951">
        <w:t xml:space="preserve"> 11 d. </w:t>
      </w:r>
      <w:r w:rsidRPr="008B0951">
        <w:t>rezoliucijoje</w:t>
      </w:r>
      <w:r w:rsidRPr="008B0951">
        <w:rPr>
          <w:vertAlign w:val="superscript"/>
        </w:rPr>
        <w:footnoteReference w:id="16"/>
      </w:r>
      <w:r w:rsidRPr="008B0951">
        <w:t xml:space="preserve"> dėl agentūrų veiklos, finansų valdymo ir kontrolės.</w:t>
      </w:r>
    </w:p>
    <w:p w:rsidR="00E365E1" w:rsidRPr="008B0951" w:rsidRDefault="00E365E1" w:rsidP="00CF38EE">
      <w:bookmarkStart w:id="11" w:name="TextBodyEnd"/>
      <w:bookmarkEnd w:id="11"/>
    </w:p>
    <w:sectPr w:rsidR="00E365E1" w:rsidRPr="008B0951" w:rsidSect="004D74B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8EE" w:rsidRPr="004D74B7" w:rsidRDefault="00CF38EE">
      <w:r w:rsidRPr="004D74B7">
        <w:separator/>
      </w:r>
    </w:p>
  </w:endnote>
  <w:endnote w:type="continuationSeparator" w:id="0">
    <w:p w:rsidR="00CF38EE" w:rsidRPr="004D74B7" w:rsidRDefault="00CF38EE">
      <w:r w:rsidRPr="004D74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0D2" w:rsidRPr="004D74B7" w:rsidRDefault="00B540D2" w:rsidP="0062492A">
    <w:pPr>
      <w:pStyle w:val="EPFooter"/>
    </w:pPr>
    <w:r w:rsidRPr="004D74B7">
      <w:t>PE</w:t>
    </w:r>
    <w:r w:rsidRPr="004D74B7">
      <w:rPr>
        <w:rStyle w:val="HideTWBExt"/>
      </w:rPr>
      <w:t>&lt;NoPE&gt;</w:t>
    </w:r>
    <w:r w:rsidRPr="004D74B7">
      <w:t>753.524</w:t>
    </w:r>
    <w:r w:rsidRPr="004D74B7">
      <w:rPr>
        <w:rStyle w:val="HideTWBExt"/>
      </w:rPr>
      <w:t>&lt;/NoPE&gt;&lt;Version&gt;</w:t>
    </w:r>
    <w:r w:rsidRPr="004D74B7">
      <w:t>v02-00</w:t>
    </w:r>
    <w:r w:rsidRPr="004D74B7">
      <w:rPr>
        <w:rStyle w:val="HideTWBExt"/>
      </w:rPr>
      <w:t>&lt;/Version&gt;</w:t>
    </w:r>
    <w:r w:rsidRPr="004D74B7">
      <w:tab/>
    </w:r>
    <w:r w:rsidRPr="004D74B7">
      <w:fldChar w:fldCharType="begin"/>
    </w:r>
    <w:r w:rsidRPr="004D74B7">
      <w:instrText xml:space="preserve"> PAGE  \* MERGEFORMAT </w:instrText>
    </w:r>
    <w:r w:rsidRPr="004D74B7">
      <w:fldChar w:fldCharType="separate"/>
    </w:r>
    <w:r w:rsidR="004D74B7" w:rsidRPr="004D74B7">
      <w:rPr>
        <w:noProof/>
      </w:rPr>
      <w:t>4</w:t>
    </w:r>
    <w:r w:rsidRPr="004D74B7">
      <w:fldChar w:fldCharType="end"/>
    </w:r>
    <w:r w:rsidRPr="004D74B7">
      <w:t>/</w:t>
    </w:r>
    <w:r w:rsidR="00136CA5">
      <w:fldChar w:fldCharType="begin"/>
    </w:r>
    <w:r w:rsidR="00136CA5">
      <w:instrText xml:space="preserve"> NUMPAGES  \* MERGEFORMAT </w:instrText>
    </w:r>
    <w:r w:rsidR="00136CA5">
      <w:fldChar w:fldCharType="separate"/>
    </w:r>
    <w:r w:rsidR="004D74B7" w:rsidRPr="004D74B7">
      <w:rPr>
        <w:noProof/>
      </w:rPr>
      <w:t>6</w:t>
    </w:r>
    <w:r w:rsidR="00136CA5">
      <w:rPr>
        <w:noProof/>
      </w:rPr>
      <w:fldChar w:fldCharType="end"/>
    </w:r>
    <w:r w:rsidRPr="004D74B7">
      <w:tab/>
    </w:r>
    <w:r w:rsidRPr="004D74B7">
      <w:rPr>
        <w:rStyle w:val="HideTWBExt"/>
      </w:rPr>
      <w:t>&lt;PathFdR&gt;</w:t>
    </w:r>
    <w:r w:rsidRPr="004D74B7">
      <w:t>RR\1299241LT.docx</w:t>
    </w:r>
    <w:r w:rsidRPr="004D74B7">
      <w:rPr>
        <w:rStyle w:val="HideTWBExt"/>
      </w:rPr>
      <w:t>&lt;/PathFdR&gt;</w:t>
    </w:r>
  </w:p>
  <w:p w:rsidR="00B540D2" w:rsidRPr="004D74B7" w:rsidRDefault="00B540D2" w:rsidP="0062492A">
    <w:pPr>
      <w:pStyle w:val="EPFooter2"/>
    </w:pPr>
    <w:r w:rsidRPr="004D74B7">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0D2" w:rsidRPr="004D74B7" w:rsidRDefault="00B540D2" w:rsidP="0062492A">
    <w:pPr>
      <w:pStyle w:val="EPFooter"/>
    </w:pPr>
    <w:r w:rsidRPr="004D74B7">
      <w:rPr>
        <w:rStyle w:val="HideTWBExt"/>
      </w:rPr>
      <w:t>&lt;PathFdR&gt;</w:t>
    </w:r>
    <w:r w:rsidRPr="004D74B7">
      <w:t>RR\1299241LT.docx</w:t>
    </w:r>
    <w:r w:rsidRPr="004D74B7">
      <w:rPr>
        <w:rStyle w:val="HideTWBExt"/>
      </w:rPr>
      <w:t>&lt;/PathFdR&gt;</w:t>
    </w:r>
    <w:r w:rsidRPr="004D74B7">
      <w:tab/>
    </w:r>
    <w:r w:rsidRPr="004D74B7">
      <w:tab/>
      <w:t>PE</w:t>
    </w:r>
    <w:r w:rsidRPr="004D74B7">
      <w:rPr>
        <w:rStyle w:val="HideTWBExt"/>
      </w:rPr>
      <w:t>&lt;NoPE&gt;</w:t>
    </w:r>
    <w:r w:rsidRPr="004D74B7">
      <w:t>753.524</w:t>
    </w:r>
    <w:r w:rsidRPr="004D74B7">
      <w:rPr>
        <w:rStyle w:val="HideTWBExt"/>
      </w:rPr>
      <w:t>&lt;/NoPE&gt;&lt;Version&gt;</w:t>
    </w:r>
    <w:r w:rsidRPr="004D74B7">
      <w:t>v02-00</w:t>
    </w:r>
    <w:r w:rsidRPr="004D74B7">
      <w:rPr>
        <w:rStyle w:val="HideTWBExt"/>
      </w:rPr>
      <w:t>&lt;/Version&gt;</w:t>
    </w:r>
  </w:p>
  <w:p w:rsidR="00B540D2" w:rsidRPr="004D74B7" w:rsidRDefault="00B540D2" w:rsidP="0062492A">
    <w:pPr>
      <w:pStyle w:val="EPFooter2"/>
    </w:pPr>
    <w:r w:rsidRPr="004D74B7">
      <w:t>LT</w:t>
    </w:r>
    <w:r w:rsidRPr="004D74B7">
      <w:tab/>
    </w:r>
    <w:r w:rsidRPr="004D74B7">
      <w:rPr>
        <w:b w:val="0"/>
        <w:i/>
        <w:color w:val="C0C0C0"/>
        <w:sz w:val="22"/>
      </w:rPr>
      <w:t>Suvienijusi įvairovę</w:t>
    </w:r>
    <w:r w:rsidRPr="004D74B7">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74B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018A" w:rsidRDefault="00064002" w:rsidP="0063018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74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8EE" w:rsidRPr="004D74B7" w:rsidRDefault="00CF38EE">
      <w:r w:rsidRPr="004D74B7">
        <w:separator/>
      </w:r>
    </w:p>
  </w:footnote>
  <w:footnote w:type="continuationSeparator" w:id="0">
    <w:p w:rsidR="00CF38EE" w:rsidRPr="004D74B7" w:rsidRDefault="00CF38EE">
      <w:r w:rsidRPr="004D74B7">
        <w:continuationSeparator/>
      </w:r>
    </w:p>
  </w:footnote>
  <w:footnote w:id="1">
    <w:p w:rsidR="00B540D2" w:rsidRPr="004D74B7" w:rsidRDefault="00B540D2" w:rsidP="004D74B7">
      <w:pPr>
        <w:pStyle w:val="FootnoteText"/>
        <w:ind w:left="567" w:hanging="567"/>
        <w:rPr>
          <w:sz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4D74B7">
        <w:rPr>
          <w:sz w:val="24"/>
          <w:lang w:val="lt-LT"/>
        </w:rPr>
        <w:t>OL C, C/2023/594, 2023 10 27.</w:t>
      </w:r>
    </w:p>
  </w:footnote>
  <w:footnote w:id="2">
    <w:p w:rsidR="00B540D2" w:rsidRPr="004D74B7" w:rsidRDefault="00B540D2" w:rsidP="004D74B7">
      <w:pPr>
        <w:pStyle w:val="FootnoteText"/>
        <w:ind w:left="567" w:hanging="567"/>
        <w:rPr>
          <w:sz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4D74B7">
        <w:rPr>
          <w:sz w:val="24"/>
          <w:lang w:val="lt-LT"/>
        </w:rPr>
        <w:t>OL C, C/2023/112, 2023 10 12.</w:t>
      </w:r>
    </w:p>
  </w:footnote>
  <w:footnote w:id="3">
    <w:p w:rsidR="00B540D2" w:rsidRPr="004D74B7" w:rsidRDefault="00B540D2" w:rsidP="004D74B7">
      <w:pPr>
        <w:pStyle w:val="FootnoteText"/>
        <w:ind w:left="567" w:hanging="567"/>
        <w:rPr>
          <w:sz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4D74B7">
        <w:rPr>
          <w:sz w:val="24"/>
          <w:lang w:val="lt-LT"/>
        </w:rPr>
        <w:t>OL L 193, 2018 7 30, p. 1.</w:t>
      </w:r>
    </w:p>
  </w:footnote>
  <w:footnote w:id="4">
    <w:p w:rsidR="00B540D2" w:rsidRPr="004D74B7" w:rsidRDefault="00B540D2" w:rsidP="004D74B7">
      <w:pPr>
        <w:pStyle w:val="FootnoteText"/>
        <w:ind w:left="567" w:hanging="567"/>
        <w:rPr>
          <w:sz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4D74B7">
        <w:rPr>
          <w:sz w:val="24"/>
          <w:lang w:val="lt-LT"/>
        </w:rPr>
        <w:t>O</w:t>
      </w:r>
      <w:r w:rsidR="00136CA5">
        <w:rPr>
          <w:sz w:val="24"/>
          <w:lang w:val="lt-LT"/>
        </w:rPr>
        <w:t>L</w:t>
      </w:r>
      <w:r w:rsidRPr="004D74B7">
        <w:rPr>
          <w:sz w:val="24"/>
          <w:lang w:val="lt-LT"/>
        </w:rPr>
        <w:t> L 136, 2004 4 30, p. 1.</w:t>
      </w:r>
    </w:p>
  </w:footnote>
  <w:footnote w:id="5">
    <w:p w:rsidR="00B540D2" w:rsidRPr="004D74B7" w:rsidRDefault="00B540D2" w:rsidP="004D74B7">
      <w:pPr>
        <w:pStyle w:val="FootnoteText"/>
        <w:ind w:left="567" w:hanging="567"/>
        <w:rPr>
          <w:sz w:val="24"/>
          <w:szCs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4D74B7">
        <w:rPr>
          <w:sz w:val="24"/>
          <w:lang w:val="lt-LT"/>
        </w:rPr>
        <w:t>OL L 122, 2019 5 10, p. 1</w:t>
      </w:r>
    </w:p>
  </w:footnote>
  <w:footnote w:id="6">
    <w:p w:rsidR="00B540D2" w:rsidRPr="004D74B7" w:rsidRDefault="00B540D2" w:rsidP="004D74B7">
      <w:pPr>
        <w:pStyle w:val="FootnoteText"/>
        <w:ind w:left="567" w:hanging="567"/>
        <w:rPr>
          <w:sz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4D74B7">
        <w:rPr>
          <w:sz w:val="24"/>
          <w:lang w:val="lt-LT"/>
        </w:rPr>
        <w:t>OL C, C/2023/594, 2023 10 27.</w:t>
      </w:r>
    </w:p>
  </w:footnote>
  <w:footnote w:id="7">
    <w:p w:rsidR="00B540D2" w:rsidRPr="004D74B7" w:rsidRDefault="00B540D2" w:rsidP="004D74B7">
      <w:pPr>
        <w:pStyle w:val="FootnoteText"/>
        <w:ind w:left="567" w:hanging="567"/>
        <w:rPr>
          <w:sz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4D74B7">
        <w:rPr>
          <w:sz w:val="24"/>
          <w:lang w:val="lt-LT"/>
        </w:rPr>
        <w:t>OL C, C/2023/112, 2023 10 12.</w:t>
      </w:r>
    </w:p>
  </w:footnote>
  <w:footnote w:id="8">
    <w:p w:rsidR="00B540D2" w:rsidRPr="004D74B7" w:rsidRDefault="00B540D2" w:rsidP="004D74B7">
      <w:pPr>
        <w:pStyle w:val="FootnoteText"/>
        <w:ind w:left="567" w:hanging="567"/>
        <w:rPr>
          <w:sz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4D74B7">
        <w:rPr>
          <w:sz w:val="24"/>
          <w:lang w:val="lt-LT"/>
        </w:rPr>
        <w:t>OL L 193, 2018 7 30, p. 1.</w:t>
      </w:r>
    </w:p>
  </w:footnote>
  <w:footnote w:id="9">
    <w:p w:rsidR="00B540D2" w:rsidRPr="004D74B7" w:rsidRDefault="00B540D2" w:rsidP="004D74B7">
      <w:pPr>
        <w:pStyle w:val="FootnoteText"/>
        <w:ind w:left="567" w:hanging="567"/>
        <w:rPr>
          <w:sz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4D74B7">
        <w:rPr>
          <w:sz w:val="24"/>
          <w:lang w:val="lt-LT"/>
        </w:rPr>
        <w:t>O</w:t>
      </w:r>
      <w:r w:rsidR="00136CA5">
        <w:rPr>
          <w:sz w:val="24"/>
          <w:lang w:val="lt-LT"/>
        </w:rPr>
        <w:t>L</w:t>
      </w:r>
      <w:r w:rsidRPr="004D74B7">
        <w:rPr>
          <w:sz w:val="24"/>
          <w:lang w:val="lt-LT"/>
        </w:rPr>
        <w:t> L 136, 2004 4 30, p. 1.</w:t>
      </w:r>
    </w:p>
  </w:footnote>
  <w:footnote w:id="10">
    <w:p w:rsidR="00B540D2" w:rsidRPr="004D74B7" w:rsidRDefault="00B540D2" w:rsidP="004D74B7">
      <w:pPr>
        <w:pStyle w:val="FootnoteText"/>
        <w:ind w:left="567" w:hanging="567"/>
        <w:rPr>
          <w:sz w:val="24"/>
          <w:szCs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4D74B7">
        <w:rPr>
          <w:sz w:val="24"/>
          <w:lang w:val="lt-LT"/>
        </w:rPr>
        <w:t>OL L 122, 2019 5 10, p. 1</w:t>
      </w:r>
    </w:p>
  </w:footnote>
  <w:footnote w:id="11">
    <w:p w:rsidR="00B540D2" w:rsidRPr="004D74B7" w:rsidRDefault="00B540D2" w:rsidP="004D74B7">
      <w:pPr>
        <w:pStyle w:val="FootnoteText"/>
        <w:ind w:left="567" w:hanging="567"/>
        <w:rPr>
          <w:sz w:val="24"/>
          <w:lang w:val="lt-LT"/>
        </w:rPr>
      </w:pPr>
      <w:r w:rsidRPr="004D74B7">
        <w:rPr>
          <w:sz w:val="24"/>
          <w:vertAlign w:val="superscript"/>
          <w:lang w:val="lt-LT"/>
        </w:rPr>
        <w:footnoteRef/>
      </w:r>
      <w:r w:rsidR="004D74B7" w:rsidRPr="004D74B7">
        <w:rPr>
          <w:sz w:val="24"/>
          <w:lang w:val="lt-LT"/>
        </w:rPr>
        <w:t xml:space="preserve"> </w:t>
      </w:r>
      <w:r w:rsidR="004D74B7" w:rsidRPr="004D74B7">
        <w:rPr>
          <w:sz w:val="24"/>
          <w:lang w:val="lt-LT"/>
        </w:rPr>
        <w:tab/>
      </w:r>
      <w:r w:rsidRPr="004D74B7">
        <w:rPr>
          <w:sz w:val="24"/>
          <w:lang w:val="lt-LT"/>
        </w:rPr>
        <w:t>OL C 489, 2022 12 22, p. 7.</w:t>
      </w:r>
    </w:p>
  </w:footnote>
  <w:footnote w:id="12">
    <w:p w:rsidR="00B540D2" w:rsidRPr="004D74B7" w:rsidRDefault="00B540D2" w:rsidP="004D74B7">
      <w:pPr>
        <w:pStyle w:val="FootnoteText"/>
        <w:ind w:left="567" w:hanging="567"/>
        <w:rPr>
          <w:sz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4D74B7">
        <w:rPr>
          <w:sz w:val="24"/>
          <w:lang w:val="lt-LT"/>
        </w:rPr>
        <w:t>2014 m. balandžio 16 d. Europos Parlamento ir Tarybos reglamentas (ES) Nr. 536/2014 dėl žmonėms skirtų vaistų klinikinių tyrimų, kuriuo panaikinama Direktyva 2001/20/EB (OL L 158, 2014 5 27, p. 1).</w:t>
      </w:r>
    </w:p>
  </w:footnote>
  <w:footnote w:id="13">
    <w:p w:rsidR="00B540D2" w:rsidRPr="004D74B7" w:rsidRDefault="00B540D2" w:rsidP="004D74B7">
      <w:pPr>
        <w:pStyle w:val="FootnoteText"/>
        <w:ind w:left="567" w:hanging="567"/>
        <w:rPr>
          <w:sz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4D74B7">
        <w:rPr>
          <w:sz w:val="24"/>
          <w:lang w:val="lt-LT"/>
        </w:rPr>
        <w:t>2018 m. gruodžio 11 d. Europos Parlamento ir Tarybos reglamentas (ES) 2019/6 dėl veterinarinių vaistų, kuriuo panaikinama Direktyva 2001/82/EB (OL L 4, 2019 1 7, p. 43).</w:t>
      </w:r>
    </w:p>
  </w:footnote>
  <w:footnote w:id="14">
    <w:p w:rsidR="00B540D2" w:rsidRPr="004D74B7" w:rsidRDefault="00B540D2" w:rsidP="004D74B7">
      <w:pPr>
        <w:pStyle w:val="FootnoteText"/>
        <w:ind w:left="567" w:hanging="567"/>
        <w:rPr>
          <w:sz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4D74B7">
        <w:rPr>
          <w:sz w:val="24"/>
          <w:lang w:val="lt-LT"/>
        </w:rPr>
        <w:t>2022 m. sausio 25 d. Europos Parlamento ir Tarybos reglamentas (ES) 2022/123 dėl didesnio Europos vaistų agentūros vaidmens pasirengimo vaistų ir medicinos priemonių krizei ir jos valdymo srityje (OL L 20, 2022 1 31, p. 1).</w:t>
      </w:r>
    </w:p>
  </w:footnote>
  <w:footnote w:id="15">
    <w:p w:rsidR="00B540D2" w:rsidRPr="004D74B7" w:rsidRDefault="00B540D2" w:rsidP="004D74B7">
      <w:pPr>
        <w:pStyle w:val="FootnoteText"/>
        <w:ind w:left="567" w:hanging="567"/>
        <w:rPr>
          <w:sz w:val="24"/>
          <w:szCs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4D74B7">
        <w:rPr>
          <w:sz w:val="24"/>
          <w:lang w:val="lt-LT"/>
        </w:rPr>
        <w:t>2021 m. birželio 30 d. Europos Parlamento ir Tarybos reglamentas (ES) 2021/1119, kuriuo nustatoma poveikio klimatui neutralumo pasiekimo sistema ir iš dalies keičiami reglamentai (EB) Nr. 401/2009 ir (ES) 2018/1999 (Europos klimato teisės aktas) (OL L 243, 2021 7 9, p. 1).</w:t>
      </w:r>
    </w:p>
  </w:footnote>
  <w:footnote w:id="16">
    <w:p w:rsidR="00B540D2" w:rsidRPr="00B35C90" w:rsidRDefault="00B540D2" w:rsidP="004D74B7">
      <w:pPr>
        <w:pStyle w:val="FootnoteText"/>
        <w:ind w:left="567" w:hanging="567"/>
        <w:rPr>
          <w:sz w:val="24"/>
          <w:lang w:val="lt-LT"/>
        </w:rPr>
      </w:pPr>
      <w:r w:rsidRPr="004D74B7">
        <w:rPr>
          <w:rStyle w:val="FootnoteReference"/>
          <w:sz w:val="24"/>
          <w:lang w:val="lt-LT"/>
        </w:rPr>
        <w:footnoteRef/>
      </w:r>
      <w:r w:rsidR="004D74B7" w:rsidRPr="004D74B7">
        <w:rPr>
          <w:sz w:val="24"/>
          <w:lang w:val="lt-LT"/>
        </w:rPr>
        <w:t xml:space="preserve"> </w:t>
      </w:r>
      <w:r w:rsidR="004D74B7" w:rsidRPr="004D74B7">
        <w:rPr>
          <w:sz w:val="24"/>
          <w:lang w:val="lt-LT"/>
        </w:rPr>
        <w:tab/>
      </w:r>
      <w:r w:rsidRPr="00F443C6">
        <w:rPr>
          <w:sz w:val="24"/>
          <w:lang w:val="lt-LT"/>
        </w:rPr>
        <w:t xml:space="preserve">Priimti tekstai, </w:t>
      </w:r>
      <w:r w:rsidRPr="008B0951">
        <w:rPr>
          <w:sz w:val="24"/>
          <w:lang w:val="lt-LT"/>
        </w:rPr>
        <w:t>P9_TA(2024)0</w:t>
      </w:r>
      <w:r w:rsidR="00FD7627" w:rsidRPr="008B0951">
        <w:rPr>
          <w:sz w:val="24"/>
          <w:lang w:val="lt-LT"/>
        </w:rPr>
        <w:t>280</w:t>
      </w:r>
      <w:r w:rsidRPr="008B0951">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74B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74B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74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LT"/>
    <w:docVar w:name="dvnumam" w:val="0"/>
    <w:docVar w:name="dvpe" w:val="753.524"/>
    <w:docVar w:name="dvrapporteur" w:val="Pranešėjas: "/>
    <w:docVar w:name="dvtitre" w:val="1. 2024 m. balandzio 11 d. Europos Parlamento sprendimas dėl Europos vaistų agentūros 2022 finansinių metų biudžeto įvykdymo patvirtinimo(2023/2156(DEC))"/>
  </w:docVars>
  <w:rsids>
    <w:rsidRoot w:val="00CF38EE"/>
    <w:rsid w:val="00002272"/>
    <w:rsid w:val="0004554E"/>
    <w:rsid w:val="00064002"/>
    <w:rsid w:val="000677B9"/>
    <w:rsid w:val="000831BA"/>
    <w:rsid w:val="000A42CC"/>
    <w:rsid w:val="000E7DD9"/>
    <w:rsid w:val="0010095E"/>
    <w:rsid w:val="00125B37"/>
    <w:rsid w:val="00136CA5"/>
    <w:rsid w:val="00187494"/>
    <w:rsid w:val="001F32AE"/>
    <w:rsid w:val="002767FF"/>
    <w:rsid w:val="002B18FE"/>
    <w:rsid w:val="002B5493"/>
    <w:rsid w:val="0031055E"/>
    <w:rsid w:val="00343214"/>
    <w:rsid w:val="00361C00"/>
    <w:rsid w:val="00395FA1"/>
    <w:rsid w:val="003E15D4"/>
    <w:rsid w:val="00410B74"/>
    <w:rsid w:val="00411CCE"/>
    <w:rsid w:val="0041666E"/>
    <w:rsid w:val="00421060"/>
    <w:rsid w:val="00471C19"/>
    <w:rsid w:val="004867E3"/>
    <w:rsid w:val="00494A28"/>
    <w:rsid w:val="004C0004"/>
    <w:rsid w:val="004C5D52"/>
    <w:rsid w:val="004D74B7"/>
    <w:rsid w:val="0050519A"/>
    <w:rsid w:val="005072A1"/>
    <w:rsid w:val="00514517"/>
    <w:rsid w:val="00545827"/>
    <w:rsid w:val="00560270"/>
    <w:rsid w:val="005C2568"/>
    <w:rsid w:val="006037C0"/>
    <w:rsid w:val="0063018A"/>
    <w:rsid w:val="006631B6"/>
    <w:rsid w:val="00665DA1"/>
    <w:rsid w:val="00672146"/>
    <w:rsid w:val="00680577"/>
    <w:rsid w:val="006F74FA"/>
    <w:rsid w:val="00731ADD"/>
    <w:rsid w:val="00734777"/>
    <w:rsid w:val="00747932"/>
    <w:rsid w:val="00751A4A"/>
    <w:rsid w:val="0075629A"/>
    <w:rsid w:val="00756632"/>
    <w:rsid w:val="00762C74"/>
    <w:rsid w:val="00786EC0"/>
    <w:rsid w:val="007D1690"/>
    <w:rsid w:val="007E22AD"/>
    <w:rsid w:val="00817416"/>
    <w:rsid w:val="00842779"/>
    <w:rsid w:val="00865F67"/>
    <w:rsid w:val="00881A7B"/>
    <w:rsid w:val="008840E5"/>
    <w:rsid w:val="00887B3E"/>
    <w:rsid w:val="008B0951"/>
    <w:rsid w:val="008C2AC6"/>
    <w:rsid w:val="008F797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C90"/>
    <w:rsid w:val="00B540D2"/>
    <w:rsid w:val="00B558F0"/>
    <w:rsid w:val="00BD48FE"/>
    <w:rsid w:val="00BD7BD8"/>
    <w:rsid w:val="00BE6ADC"/>
    <w:rsid w:val="00C05BFE"/>
    <w:rsid w:val="00C23CD4"/>
    <w:rsid w:val="00C61C0C"/>
    <w:rsid w:val="00C941CB"/>
    <w:rsid w:val="00CC2357"/>
    <w:rsid w:val="00CF071A"/>
    <w:rsid w:val="00CF38EE"/>
    <w:rsid w:val="00D058B8"/>
    <w:rsid w:val="00D56C11"/>
    <w:rsid w:val="00D834A0"/>
    <w:rsid w:val="00D872DF"/>
    <w:rsid w:val="00D91E21"/>
    <w:rsid w:val="00DA7FCD"/>
    <w:rsid w:val="00E365E1"/>
    <w:rsid w:val="00E820A4"/>
    <w:rsid w:val="00E83C25"/>
    <w:rsid w:val="00EB006A"/>
    <w:rsid w:val="00EB4772"/>
    <w:rsid w:val="00ED169E"/>
    <w:rsid w:val="00ED4235"/>
    <w:rsid w:val="00F04346"/>
    <w:rsid w:val="00F075DC"/>
    <w:rsid w:val="00F149E9"/>
    <w:rsid w:val="00F443C6"/>
    <w:rsid w:val="00F5134D"/>
    <w:rsid w:val="00F74202"/>
    <w:rsid w:val="00F87713"/>
    <w:rsid w:val="00FB4360"/>
    <w:rsid w:val="00FD0C70"/>
    <w:rsid w:val="00FD76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E28ED"/>
  <w15:chartTrackingRefBased/>
  <w15:docId w15:val="{EB150441-88D8-4AE9-A0B0-3E0693E54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540D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540D2"/>
    <w:pPr>
      <w:spacing w:before="480" w:after="240"/>
    </w:pPr>
  </w:style>
  <w:style w:type="paragraph" w:customStyle="1" w:styleId="PageHeading">
    <w:name w:val="PageHeading"/>
    <w:basedOn w:val="Normal"/>
    <w:rsid w:val="00B540D2"/>
    <w:pPr>
      <w:keepNext/>
      <w:spacing w:after="480"/>
      <w:jc w:val="center"/>
    </w:pPr>
    <w:rPr>
      <w:rFonts w:ascii="Arial" w:hAnsi="Arial" w:cs="Arial"/>
      <w:b/>
    </w:rPr>
  </w:style>
  <w:style w:type="paragraph" w:customStyle="1" w:styleId="NormalBold">
    <w:name w:val="NormalBold"/>
    <w:basedOn w:val="Normal"/>
    <w:rsid w:val="00B540D2"/>
    <w:rPr>
      <w:b/>
    </w:rPr>
  </w:style>
  <w:style w:type="paragraph" w:customStyle="1" w:styleId="NormalHanging12a">
    <w:name w:val="NormalHanging12a"/>
    <w:basedOn w:val="Normal"/>
    <w:link w:val="NormalHanging12aChar"/>
    <w:rsid w:val="00B540D2"/>
    <w:pPr>
      <w:spacing w:after="240"/>
      <w:ind w:left="567" w:hanging="567"/>
    </w:pPr>
  </w:style>
  <w:style w:type="paragraph" w:customStyle="1" w:styleId="NormalCenter12a">
    <w:name w:val="NormalCenter12a"/>
    <w:basedOn w:val="Normal"/>
    <w:rsid w:val="00B540D2"/>
    <w:pPr>
      <w:spacing w:after="240"/>
      <w:jc w:val="center"/>
    </w:pPr>
  </w:style>
  <w:style w:type="paragraph" w:styleId="Header">
    <w:name w:val="header"/>
    <w:basedOn w:val="Normal"/>
    <w:link w:val="HeaderChar"/>
    <w:rsid w:val="00B540D2"/>
    <w:pPr>
      <w:tabs>
        <w:tab w:val="center" w:pos="4513"/>
        <w:tab w:val="right" w:pos="9026"/>
      </w:tabs>
    </w:pPr>
  </w:style>
  <w:style w:type="character" w:customStyle="1" w:styleId="HeaderChar">
    <w:name w:val="Header Char"/>
    <w:basedOn w:val="DefaultParagraphFont"/>
    <w:link w:val="Header"/>
    <w:rsid w:val="00B540D2"/>
    <w:rPr>
      <w:sz w:val="24"/>
      <w:lang w:val="lt-LT"/>
    </w:rPr>
  </w:style>
  <w:style w:type="paragraph" w:customStyle="1" w:styleId="EPFooter">
    <w:name w:val="EPFooter"/>
    <w:basedOn w:val="Normal"/>
    <w:rsid w:val="00B540D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540D2"/>
    <w:rPr>
      <w:sz w:val="24"/>
      <w:lang w:val="lt-LT"/>
    </w:rPr>
  </w:style>
  <w:style w:type="paragraph" w:customStyle="1" w:styleId="Normal12Hanging">
    <w:name w:val="Normal12Hanging"/>
    <w:basedOn w:val="Normal"/>
    <w:rsid w:val="00B540D2"/>
    <w:pPr>
      <w:spacing w:after="240"/>
      <w:ind w:left="567" w:hanging="567"/>
    </w:pPr>
  </w:style>
  <w:style w:type="paragraph" w:styleId="BalloonText">
    <w:name w:val="Balloon Text"/>
    <w:basedOn w:val="Normal"/>
    <w:link w:val="BalloonTextChar"/>
    <w:rsid w:val="008F7970"/>
    <w:rPr>
      <w:rFonts w:ascii="Segoe UI" w:hAnsi="Segoe UI" w:cs="Segoe UI"/>
      <w:sz w:val="18"/>
      <w:szCs w:val="18"/>
    </w:rPr>
  </w:style>
  <w:style w:type="character" w:customStyle="1" w:styleId="BalloonTextChar">
    <w:name w:val="Balloon Text Char"/>
    <w:basedOn w:val="DefaultParagraphFont"/>
    <w:link w:val="BalloonText"/>
    <w:rsid w:val="008F7970"/>
    <w:rPr>
      <w:rFonts w:ascii="Segoe UI" w:hAnsi="Segoe UI" w:cs="Segoe UI"/>
      <w:sz w:val="18"/>
      <w:szCs w:val="18"/>
      <w:lang w:val="lt-LT"/>
    </w:rPr>
  </w:style>
  <w:style w:type="paragraph" w:styleId="Footer">
    <w:name w:val="footer"/>
    <w:basedOn w:val="Normal"/>
    <w:link w:val="FooterChar"/>
    <w:rsid w:val="0063018A"/>
    <w:pPr>
      <w:tabs>
        <w:tab w:val="center" w:pos="4513"/>
        <w:tab w:val="right" w:pos="9026"/>
      </w:tabs>
    </w:pPr>
  </w:style>
  <w:style w:type="character" w:customStyle="1" w:styleId="FooterChar">
    <w:name w:val="Footer Char"/>
    <w:basedOn w:val="DefaultParagraphFont"/>
    <w:link w:val="Footer"/>
    <w:rsid w:val="0063018A"/>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84D12-EE51-4B06-A229-56EF55E64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4019</Words>
  <Characters>26984</Characters>
  <Application>Microsoft Office Word</Application>
  <DocSecurity>0</DocSecurity>
  <Lines>224</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2024-05-14T20:44:00Z</dcterms:created>
  <dcterms:modified xsi:type="dcterms:W3CDTF">2024-05-14T20:44:00Z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P9_TA(2024)0245_</vt:lpwstr>
  </property>
  <property fmtid="{D5CDD505-2E9C-101B-9397-08002B2CF9AE}" pid="4" name="&lt;Type&gt;">
    <vt:lpwstr>RR</vt:lpwstr>
  </property>
</Properties>
</file>