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5DB1" w:rsidTr="0010095E">
        <w:trPr>
          <w:trHeight w:hRule="exact" w:val="1418"/>
        </w:trPr>
        <w:tc>
          <w:tcPr>
            <w:tcW w:w="6804" w:type="dxa"/>
            <w:shd w:val="clear" w:color="auto" w:fill="auto"/>
            <w:vAlign w:val="center"/>
          </w:tcPr>
          <w:p w:rsidR="00751A4A" w:rsidRPr="00CA5DB1" w:rsidRDefault="00CF58D6" w:rsidP="0010095E">
            <w:pPr>
              <w:pStyle w:val="EPName"/>
            </w:pPr>
            <w:bookmarkStart w:id="0" w:name="_GoBack"/>
            <w:bookmarkEnd w:id="0"/>
            <w:r w:rsidRPr="00CA5DB1">
              <w:t>Parlamentul European</w:t>
            </w:r>
          </w:p>
          <w:p w:rsidR="00751A4A" w:rsidRPr="00CA5DB1" w:rsidRDefault="00817416" w:rsidP="00756632">
            <w:pPr>
              <w:pStyle w:val="EPTerm"/>
              <w:rPr>
                <w:rStyle w:val="HideTWBExt"/>
                <w:noProof w:val="0"/>
                <w:vanish w:val="0"/>
                <w:color w:val="auto"/>
              </w:rPr>
            </w:pPr>
            <w:r w:rsidRPr="00CA5DB1">
              <w:t>2019-2024</w:t>
            </w:r>
          </w:p>
        </w:tc>
        <w:tc>
          <w:tcPr>
            <w:tcW w:w="2268" w:type="dxa"/>
            <w:shd w:val="clear" w:color="auto" w:fill="auto"/>
          </w:tcPr>
          <w:p w:rsidR="00751A4A" w:rsidRPr="00CA5DB1" w:rsidRDefault="00187494" w:rsidP="0010095E">
            <w:pPr>
              <w:pStyle w:val="EPLogo"/>
            </w:pPr>
            <w:r w:rsidRPr="00CA5DB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A5DB1" w:rsidRDefault="00D058B8" w:rsidP="004C5D52">
      <w:pPr>
        <w:pStyle w:val="LineTop"/>
      </w:pPr>
    </w:p>
    <w:p w:rsidR="00680577" w:rsidRPr="00CA5DB1" w:rsidRDefault="00CF58D6" w:rsidP="00680577">
      <w:pPr>
        <w:pStyle w:val="EPBodyTA1"/>
      </w:pPr>
      <w:r w:rsidRPr="00CA5DB1">
        <w:t>TEXTE ADOPTATE</w:t>
      </w:r>
    </w:p>
    <w:p w:rsidR="00D058B8" w:rsidRPr="00CA5DB1" w:rsidRDefault="00D058B8" w:rsidP="00D058B8">
      <w:pPr>
        <w:pStyle w:val="LineBottom"/>
      </w:pPr>
    </w:p>
    <w:p w:rsidR="00CF58D6" w:rsidRPr="00CA5DB1" w:rsidRDefault="00CF58D6" w:rsidP="00CF58D6">
      <w:pPr>
        <w:pStyle w:val="ATHeading1"/>
      </w:pPr>
      <w:bookmarkStart w:id="1" w:name="TANumber"/>
      <w:r w:rsidRPr="00CA5DB1">
        <w:t>P9_TA(2024)</w:t>
      </w:r>
      <w:bookmarkEnd w:id="1"/>
      <w:r w:rsidR="00CA5DB1" w:rsidRPr="00CA5DB1">
        <w:t>0</w:t>
      </w:r>
      <w:r w:rsidR="00CA5DB1" w:rsidRPr="00CA5DB1">
        <w:t>245</w:t>
      </w:r>
    </w:p>
    <w:p w:rsidR="00CF58D6" w:rsidRPr="00CA5DB1" w:rsidRDefault="00CF58D6" w:rsidP="00CF58D6">
      <w:pPr>
        <w:pStyle w:val="ATHeading2"/>
      </w:pPr>
      <w:bookmarkStart w:id="2" w:name="title"/>
      <w:r w:rsidRPr="00CA5DB1">
        <w:t>Descărcarea de gestiune 2022: Agenția Europeană pentru Medicamente</w:t>
      </w:r>
      <w:bookmarkEnd w:id="2"/>
    </w:p>
    <w:p w:rsidR="00CF58D6" w:rsidRPr="00CA5DB1" w:rsidRDefault="00CF58D6" w:rsidP="00CF58D6">
      <w:pPr>
        <w:rPr>
          <w:i/>
          <w:vanish/>
        </w:rPr>
      </w:pPr>
      <w:r w:rsidRPr="00CA5DB1">
        <w:rPr>
          <w:i/>
        </w:rPr>
        <w:fldChar w:fldCharType="begin"/>
      </w:r>
      <w:r w:rsidRPr="00CA5DB1">
        <w:rPr>
          <w:i/>
        </w:rPr>
        <w:instrText xml:space="preserve"> TC"(</w:instrText>
      </w:r>
      <w:bookmarkStart w:id="3" w:name="DocNumber"/>
      <w:r w:rsidRPr="00CA5DB1">
        <w:rPr>
          <w:i/>
        </w:rPr>
        <w:instrText>A9-0133/2024</w:instrText>
      </w:r>
      <w:bookmarkEnd w:id="3"/>
      <w:r w:rsidRPr="00CA5DB1">
        <w:rPr>
          <w:i/>
        </w:rPr>
        <w:instrText xml:space="preserve"> - Raportor: Petri </w:instrText>
      </w:r>
      <w:proofErr w:type="spellStart"/>
      <w:r w:rsidRPr="00CA5DB1">
        <w:rPr>
          <w:i/>
        </w:rPr>
        <w:instrText>Sarvamaa</w:instrText>
      </w:r>
      <w:proofErr w:type="spellEnd"/>
      <w:r w:rsidRPr="00CA5DB1">
        <w:rPr>
          <w:i/>
        </w:rPr>
        <w:instrText xml:space="preserve">)"\l3 \n&gt; \* MERGEFORMAT </w:instrText>
      </w:r>
      <w:r w:rsidRPr="00CA5DB1">
        <w:rPr>
          <w:i/>
        </w:rPr>
        <w:fldChar w:fldCharType="end"/>
      </w:r>
    </w:p>
    <w:p w:rsidR="00CF58D6" w:rsidRPr="00CA5DB1" w:rsidRDefault="00CF58D6" w:rsidP="00CF58D6">
      <w:pPr>
        <w:rPr>
          <w:vanish/>
        </w:rPr>
      </w:pPr>
      <w:bookmarkStart w:id="4" w:name="Commission"/>
      <w:r w:rsidRPr="00CA5DB1">
        <w:rPr>
          <w:vanish/>
        </w:rPr>
        <w:t>Comisia pentru control bugetar</w:t>
      </w:r>
      <w:bookmarkEnd w:id="4"/>
    </w:p>
    <w:p w:rsidR="00CF58D6" w:rsidRPr="00CA5DB1" w:rsidRDefault="00CF58D6" w:rsidP="00CF58D6">
      <w:pPr>
        <w:rPr>
          <w:vanish/>
        </w:rPr>
      </w:pPr>
      <w:bookmarkStart w:id="5" w:name="PE"/>
      <w:r w:rsidRPr="00CA5DB1">
        <w:rPr>
          <w:vanish/>
        </w:rPr>
        <w:t>PE753.524</w:t>
      </w:r>
      <w:bookmarkEnd w:id="5"/>
    </w:p>
    <w:p w:rsidR="00CF58D6" w:rsidRPr="00CA5DB1" w:rsidRDefault="00CF58D6" w:rsidP="00704CA8">
      <w:pPr>
        <w:pStyle w:val="ATHeading3"/>
      </w:pPr>
      <w:bookmarkStart w:id="6" w:name="Sujet"/>
      <w:r w:rsidRPr="00CA5DB1">
        <w:t>1. Decizia Parlamentului European din 11 aprilie 2024 privind descărcarea de gestiune pentru execuția bugetului Agenției Europene pentru Medicamente aferent exercițiului financiar 2022</w:t>
      </w:r>
      <w:bookmarkEnd w:id="6"/>
      <w:r w:rsidRPr="00CA5DB1">
        <w:t xml:space="preserve"> </w:t>
      </w:r>
      <w:bookmarkStart w:id="7" w:name="References"/>
      <w:r w:rsidRPr="00CA5DB1">
        <w:t>(2023/2156(DEC))</w:t>
      </w:r>
      <w:bookmarkEnd w:id="7"/>
    </w:p>
    <w:p w:rsidR="002D43B7" w:rsidRPr="00CA5DB1" w:rsidRDefault="002D43B7" w:rsidP="002D43B7">
      <w:pPr>
        <w:pStyle w:val="EPComma"/>
      </w:pPr>
      <w:bookmarkStart w:id="8" w:name="TextBodyBegin"/>
      <w:bookmarkEnd w:id="8"/>
      <w:r w:rsidRPr="00CA5DB1">
        <w:rPr>
          <w:i/>
        </w:rPr>
        <w:t>Parlamentul European</w:t>
      </w:r>
      <w:r w:rsidRPr="00CA5DB1">
        <w:t>,</w:t>
      </w:r>
    </w:p>
    <w:p w:rsidR="002D43B7" w:rsidRPr="00CA5DB1" w:rsidRDefault="002D43B7" w:rsidP="002D43B7">
      <w:pPr>
        <w:pStyle w:val="NormalHanging12a"/>
      </w:pPr>
      <w:r w:rsidRPr="00CA5DB1">
        <w:t>–</w:t>
      </w:r>
      <w:r w:rsidRPr="00CA5DB1">
        <w:tab/>
        <w:t>având în vedere conturile anuale finale ale Agenției Europene pentru Medicamente pentru exercițiul financiar 2022,</w:t>
      </w:r>
    </w:p>
    <w:p w:rsidR="002D43B7" w:rsidRPr="00CA5DB1" w:rsidRDefault="002D43B7" w:rsidP="002D43B7">
      <w:pPr>
        <w:pStyle w:val="NormalHanging12a"/>
      </w:pPr>
      <w:r w:rsidRPr="00CA5DB1">
        <w:t>–</w:t>
      </w:r>
      <w:r w:rsidRPr="00CA5DB1">
        <w:tab/>
        <w:t>având în vedere Raportul anual al Curții de Conturi privind agențiile UE pentru exercițiul financiar 2022, însoțit de răspunsurile agențiilor</w:t>
      </w:r>
      <w:r w:rsidRPr="00CA5DB1">
        <w:rPr>
          <w:rStyle w:val="FootnoteReference"/>
        </w:rPr>
        <w:footnoteReference w:id="1"/>
      </w:r>
      <w:r w:rsidRPr="00CA5DB1">
        <w:t>,</w:t>
      </w:r>
    </w:p>
    <w:p w:rsidR="002D43B7" w:rsidRPr="00CA5DB1" w:rsidRDefault="002D43B7" w:rsidP="002D43B7">
      <w:pPr>
        <w:pStyle w:val="NormalHanging12a"/>
      </w:pPr>
      <w:r w:rsidRPr="00CA5DB1">
        <w:t>–</w:t>
      </w:r>
      <w:r w:rsidRPr="00CA5DB1">
        <w:tab/>
        <w:t>având în vedere declarația de asigurare</w:t>
      </w:r>
      <w:r w:rsidRPr="00CA5DB1">
        <w:rPr>
          <w:rStyle w:val="FootnoteReference"/>
        </w:rPr>
        <w:footnoteReference w:id="2"/>
      </w:r>
      <w:r w:rsidRPr="00CA5DB1">
        <w:t xml:space="preserve"> privind fiabilitatea conturilor și legalitatea și regularitatea operațiunilor subiacente întocmită de Curtea de Conturi pentru exercițiul 2022 în temeiul articolului 287 din Tratatul privind funcționarea Uniunii Europene,</w:t>
      </w:r>
    </w:p>
    <w:p w:rsidR="002D43B7" w:rsidRPr="00CA5DB1" w:rsidRDefault="002D43B7" w:rsidP="002D43B7">
      <w:pPr>
        <w:pStyle w:val="NormalHanging12a"/>
      </w:pPr>
      <w:r w:rsidRPr="00CA5DB1">
        <w:t>–</w:t>
      </w:r>
      <w:r w:rsidRPr="00CA5DB1">
        <w:tab/>
        <w:t xml:space="preserve">având în vedere Recomandarea Consiliului din 22 februarie 2024 privind descărcarea de gestiune a Agenției în ceea ce privește execuția bugetară pentru exercițiul financiar 2022 </w:t>
      </w:r>
      <w:r w:rsidR="008A015E" w:rsidRPr="00CA5DB1">
        <w:t>(06180/2024 – C9</w:t>
      </w:r>
      <w:r w:rsidR="008A015E" w:rsidRPr="00CA5DB1">
        <w:noBreakHyphen/>
        <w:t>0094/2024)</w:t>
      </w:r>
      <w:r w:rsidRPr="00CA5DB1">
        <w:t>,</w:t>
      </w:r>
    </w:p>
    <w:p w:rsidR="002D43B7" w:rsidRPr="00CA5DB1" w:rsidRDefault="002D43B7" w:rsidP="002D43B7">
      <w:pPr>
        <w:pStyle w:val="NormalHanging12a"/>
      </w:pPr>
      <w:r w:rsidRPr="00CA5DB1">
        <w:t>–</w:t>
      </w:r>
      <w:r w:rsidRPr="00CA5DB1">
        <w:tab/>
        <w:t>având în vedere articolul 319 din Tratatul privind funcționarea Uniunii Europene,</w:t>
      </w:r>
    </w:p>
    <w:p w:rsidR="002D43B7" w:rsidRPr="00CA5DB1" w:rsidRDefault="002D43B7" w:rsidP="002D43B7">
      <w:pPr>
        <w:pStyle w:val="NormalHanging12a"/>
      </w:pPr>
      <w:r w:rsidRPr="00CA5DB1">
        <w:t>–</w:t>
      </w:r>
      <w:r w:rsidRPr="00CA5DB1">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CA5DB1">
        <w:rPr>
          <w:rStyle w:val="FootnoteReference"/>
        </w:rPr>
        <w:footnoteReference w:id="3"/>
      </w:r>
      <w:r w:rsidRPr="00CA5DB1">
        <w:t>, în special articolul 70,</w:t>
      </w:r>
    </w:p>
    <w:p w:rsidR="002D43B7" w:rsidRPr="00CA5DB1" w:rsidRDefault="002D43B7" w:rsidP="002D43B7">
      <w:pPr>
        <w:pStyle w:val="NormalHanging12a"/>
      </w:pPr>
      <w:r w:rsidRPr="00CA5DB1">
        <w:t>–</w:t>
      </w:r>
      <w:r w:rsidRPr="00CA5DB1">
        <w:tab/>
        <w:t xml:space="preserve">având în vedere Regulamentul (CE) nr. 726/2004 al Parlamentului European și al Consiliului din 31 martie 2004 de stabilire a procedurilor la nivelul Uniunii privind autorizarea și supravegherea medicamentelor de uz uman și de înființare a unei Agenții </w:t>
      </w:r>
      <w:r w:rsidRPr="00CA5DB1">
        <w:lastRenderedPageBreak/>
        <w:t>Europene pentru Medicamente</w:t>
      </w:r>
      <w:r w:rsidRPr="00CA5DB1">
        <w:rPr>
          <w:rStyle w:val="FootnoteReference"/>
        </w:rPr>
        <w:footnoteReference w:id="4"/>
      </w:r>
      <w:r w:rsidRPr="00CA5DB1">
        <w:t>, în special articolul 68,</w:t>
      </w:r>
    </w:p>
    <w:p w:rsidR="002D43B7" w:rsidRPr="00CA5DB1" w:rsidRDefault="002D43B7" w:rsidP="002D43B7">
      <w:pPr>
        <w:pStyle w:val="NormalHanging12a"/>
      </w:pPr>
      <w:r w:rsidRPr="00CA5DB1">
        <w:t>–</w:t>
      </w:r>
      <w:r w:rsidRPr="00CA5DB1">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CA5DB1">
        <w:rPr>
          <w:rStyle w:val="FootnoteReference"/>
        </w:rPr>
        <w:footnoteReference w:id="5"/>
      </w:r>
      <w:r w:rsidRPr="00CA5DB1">
        <w:t>, în special articolul 105,</w:t>
      </w:r>
    </w:p>
    <w:p w:rsidR="002D43B7" w:rsidRPr="00CA5DB1" w:rsidRDefault="002D43B7" w:rsidP="002D43B7">
      <w:pPr>
        <w:pStyle w:val="NormalHanging12a"/>
      </w:pPr>
      <w:r w:rsidRPr="00CA5DB1">
        <w:t>–</w:t>
      </w:r>
      <w:r w:rsidRPr="00CA5DB1">
        <w:tab/>
        <w:t>având în vedere articolul 100 și anexa V la Regulamentul său de procedură,</w:t>
      </w:r>
    </w:p>
    <w:p w:rsidR="002D43B7" w:rsidRPr="00CA5DB1" w:rsidRDefault="002D43B7" w:rsidP="002D43B7">
      <w:pPr>
        <w:pStyle w:val="NormalHanging12a"/>
      </w:pPr>
      <w:r w:rsidRPr="00CA5DB1">
        <w:t>–</w:t>
      </w:r>
      <w:r w:rsidRPr="00CA5DB1">
        <w:tab/>
        <w:t>având în vedere avizul Comisiei pentru mediu, sănătate publică și siguranță alimentară,</w:t>
      </w:r>
    </w:p>
    <w:p w:rsidR="002D43B7" w:rsidRPr="00CA5DB1" w:rsidRDefault="002D43B7" w:rsidP="002D43B7">
      <w:pPr>
        <w:pStyle w:val="NormalHanging12a"/>
      </w:pPr>
      <w:r w:rsidRPr="00CA5DB1">
        <w:t>–</w:t>
      </w:r>
      <w:r w:rsidRPr="00CA5DB1">
        <w:tab/>
        <w:t>având în vedere raportul Comisiei pentru control bugetar (A9-0133/2024),</w:t>
      </w:r>
    </w:p>
    <w:p w:rsidR="002D43B7" w:rsidRPr="00CA5DB1" w:rsidRDefault="002D43B7" w:rsidP="002D43B7">
      <w:pPr>
        <w:pStyle w:val="NormalHanging12a"/>
      </w:pPr>
      <w:r w:rsidRPr="00CA5DB1">
        <w:t>1.</w:t>
      </w:r>
      <w:r w:rsidRPr="00CA5DB1">
        <w:tab/>
        <w:t>acordă directoarei executive a Agenției Europene pentru Medicamente descărcarea de gestiune pentru execuția bugetului Agenției aferent exercițiului financiar 2022;</w:t>
      </w:r>
    </w:p>
    <w:p w:rsidR="002D43B7" w:rsidRPr="00CA5DB1" w:rsidRDefault="002D43B7" w:rsidP="002D43B7">
      <w:pPr>
        <w:pStyle w:val="NormalHanging12a"/>
      </w:pPr>
      <w:r w:rsidRPr="00CA5DB1">
        <w:t>2.</w:t>
      </w:r>
      <w:r w:rsidRPr="00CA5DB1">
        <w:tab/>
        <w:t>își prezintă observațiile în cadrul rezoluției de mai jos;</w:t>
      </w:r>
    </w:p>
    <w:p w:rsidR="002D43B7" w:rsidRPr="00CA5DB1" w:rsidRDefault="002D43B7" w:rsidP="002D43B7">
      <w:pPr>
        <w:pStyle w:val="NormalHanging12a"/>
      </w:pPr>
      <w:r w:rsidRPr="00CA5DB1">
        <w:t>3.</w:t>
      </w:r>
      <w:r w:rsidRPr="00CA5DB1">
        <w:tab/>
        <w:t xml:space="preserve">încredințează Președintei sarcina de a transmite prezenta decizie împreună cu rezoluția Parlamentului, ca parte integrantă a acesteia, </w:t>
      </w:r>
      <w:r w:rsidR="00704CA8" w:rsidRPr="00CA5DB1">
        <w:t xml:space="preserve">directoarei </w:t>
      </w:r>
      <w:r w:rsidRPr="00CA5DB1">
        <w:t>executiv</w:t>
      </w:r>
      <w:r w:rsidR="00704CA8" w:rsidRPr="00CA5DB1">
        <w:t>e</w:t>
      </w:r>
      <w:r w:rsidRPr="00CA5DB1">
        <w:t xml:space="preserve"> a Agenției Europene pentru Medicamente, Consiliului, Comisiei și Curții de Conturi și de a asigura publicarea acestora în </w:t>
      </w:r>
      <w:r w:rsidRPr="00CA5DB1">
        <w:rPr>
          <w:i/>
        </w:rPr>
        <w:t>Jurnalul Oficial al Uniunii Europene</w:t>
      </w:r>
      <w:r w:rsidRPr="00CA5DB1">
        <w:t xml:space="preserve"> (seria L).</w:t>
      </w:r>
    </w:p>
    <w:p w:rsidR="002D43B7" w:rsidRPr="00CA5DB1" w:rsidRDefault="002D43B7" w:rsidP="002D43B7"/>
    <w:p w:rsidR="002D43B7" w:rsidRPr="00CA5DB1" w:rsidRDefault="002D43B7" w:rsidP="002D43B7">
      <w:pPr>
        <w:widowControl/>
        <w:rPr>
          <w:rFonts w:ascii="Arial" w:hAnsi="Arial" w:cs="Arial"/>
          <w:b/>
        </w:rPr>
        <w:sectPr w:rsidR="002D43B7" w:rsidRPr="00CA5DB1" w:rsidSect="007A5C1F">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2D43B7" w:rsidRPr="00CA5DB1" w:rsidRDefault="00852558" w:rsidP="00704CA8">
      <w:pPr>
        <w:pStyle w:val="ATHeading3"/>
      </w:pPr>
      <w:r w:rsidRPr="00CA5DB1">
        <w:lastRenderedPageBreak/>
        <w:t xml:space="preserve">2. Decizia Parlamentului European din 11 aprilie 2024 </w:t>
      </w:r>
      <w:r w:rsidR="002D43B7" w:rsidRPr="00CA5DB1">
        <w:t>privind închiderea conturilor Agenției Europene pentru Medicamente pentru exercițiul financiar 2022</w:t>
      </w:r>
      <w:r w:rsidR="00704CA8" w:rsidRPr="00CA5DB1">
        <w:t xml:space="preserve"> </w:t>
      </w:r>
      <w:r w:rsidR="002D43B7" w:rsidRPr="00CA5DB1">
        <w:t>(2023/2156(DEC))</w:t>
      </w:r>
    </w:p>
    <w:p w:rsidR="002D43B7" w:rsidRPr="00CA5DB1" w:rsidRDefault="002D43B7" w:rsidP="002D43B7">
      <w:pPr>
        <w:pStyle w:val="EPComma"/>
      </w:pPr>
      <w:r w:rsidRPr="00CA5DB1">
        <w:rPr>
          <w:i/>
        </w:rPr>
        <w:t>Parlamentul European</w:t>
      </w:r>
      <w:r w:rsidRPr="00CA5DB1">
        <w:t>,</w:t>
      </w:r>
    </w:p>
    <w:p w:rsidR="002D43B7" w:rsidRPr="00CA5DB1" w:rsidRDefault="002D43B7" w:rsidP="002D43B7">
      <w:pPr>
        <w:pStyle w:val="NormalHanging12a"/>
      </w:pPr>
      <w:r w:rsidRPr="00CA5DB1">
        <w:t>–</w:t>
      </w:r>
      <w:r w:rsidRPr="00CA5DB1">
        <w:tab/>
        <w:t>având în vedere conturile anuale finale ale Agenției Europene pentru Medicamente pentru exercițiul financiar 2022,</w:t>
      </w:r>
    </w:p>
    <w:p w:rsidR="002D43B7" w:rsidRPr="00CA5DB1" w:rsidRDefault="002D43B7" w:rsidP="002D43B7">
      <w:pPr>
        <w:pStyle w:val="NormalHanging12a"/>
      </w:pPr>
      <w:r w:rsidRPr="00CA5DB1">
        <w:t>–</w:t>
      </w:r>
      <w:r w:rsidRPr="00CA5DB1">
        <w:tab/>
        <w:t>având în vedere Raportul anual al Curții de Conturi privind agențiile UE pentru exercițiul financiar 2022, însoțit de răspunsurile agențiilor</w:t>
      </w:r>
      <w:r w:rsidRPr="00CA5DB1">
        <w:rPr>
          <w:rStyle w:val="FootnoteReference"/>
        </w:rPr>
        <w:footnoteReference w:id="6"/>
      </w:r>
      <w:r w:rsidRPr="00CA5DB1">
        <w:t>,</w:t>
      </w:r>
    </w:p>
    <w:p w:rsidR="002D43B7" w:rsidRPr="00CA5DB1" w:rsidRDefault="002D43B7" w:rsidP="002D43B7">
      <w:pPr>
        <w:pStyle w:val="NormalHanging12a"/>
      </w:pPr>
      <w:r w:rsidRPr="00CA5DB1">
        <w:t>–</w:t>
      </w:r>
      <w:r w:rsidRPr="00CA5DB1">
        <w:tab/>
        <w:t>având în vedere declarația de asigurare</w:t>
      </w:r>
      <w:r w:rsidRPr="00CA5DB1">
        <w:rPr>
          <w:rStyle w:val="FootnoteReference"/>
        </w:rPr>
        <w:footnoteReference w:id="7"/>
      </w:r>
      <w:r w:rsidRPr="00CA5DB1">
        <w:t xml:space="preserve"> privind fiabilitatea conturilor și legalitatea și regularitatea operațiunilor subiacente întocmită de Curtea de Conturi pentru exercițiul 2022 în temeiul articolului 287 din Tratatul privind funcționarea Uniunii Europene,</w:t>
      </w:r>
    </w:p>
    <w:p w:rsidR="002D43B7" w:rsidRPr="00CA5DB1" w:rsidRDefault="002D43B7" w:rsidP="002D43B7">
      <w:pPr>
        <w:pStyle w:val="NormalHanging12a"/>
      </w:pPr>
      <w:r w:rsidRPr="00CA5DB1">
        <w:t>–</w:t>
      </w:r>
      <w:r w:rsidRPr="00CA5DB1">
        <w:tab/>
        <w:t xml:space="preserve">având în vedere Recomandarea Consiliului din 22 februarie 2024 privind descărcarea de gestiune a Agenției în ceea ce privește execuția bugetară pentru exercițiul financiar 2022 </w:t>
      </w:r>
      <w:r w:rsidR="008A015E" w:rsidRPr="00CA5DB1">
        <w:t>(06180/2024 – C9</w:t>
      </w:r>
      <w:r w:rsidR="008A015E" w:rsidRPr="00CA5DB1">
        <w:noBreakHyphen/>
        <w:t>0094/2024)</w:t>
      </w:r>
      <w:r w:rsidRPr="00CA5DB1">
        <w:t>,</w:t>
      </w:r>
    </w:p>
    <w:p w:rsidR="002D43B7" w:rsidRPr="00CA5DB1" w:rsidRDefault="002D43B7" w:rsidP="002D43B7">
      <w:pPr>
        <w:pStyle w:val="NormalHanging12a"/>
      </w:pPr>
      <w:r w:rsidRPr="00CA5DB1">
        <w:t>–</w:t>
      </w:r>
      <w:r w:rsidRPr="00CA5DB1">
        <w:tab/>
        <w:t>având în vedere articolul 319 din Tratatul privind funcționarea Uniunii Europene,</w:t>
      </w:r>
    </w:p>
    <w:p w:rsidR="002D43B7" w:rsidRPr="00CA5DB1" w:rsidRDefault="002D43B7" w:rsidP="002D43B7">
      <w:pPr>
        <w:pStyle w:val="NormalHanging12a"/>
      </w:pPr>
      <w:r w:rsidRPr="00CA5DB1">
        <w:t>–</w:t>
      </w:r>
      <w:r w:rsidRPr="00CA5DB1">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CA5DB1">
        <w:rPr>
          <w:rStyle w:val="FootnoteReference"/>
        </w:rPr>
        <w:footnoteReference w:id="8"/>
      </w:r>
      <w:r w:rsidRPr="00CA5DB1">
        <w:t>, în special articolul 70,</w:t>
      </w:r>
    </w:p>
    <w:p w:rsidR="002D43B7" w:rsidRPr="00CA5DB1" w:rsidRDefault="002D43B7" w:rsidP="002D43B7">
      <w:pPr>
        <w:pStyle w:val="NormalHanging12a"/>
      </w:pPr>
      <w:r w:rsidRPr="00CA5DB1">
        <w:t>–</w:t>
      </w:r>
      <w:r w:rsidRPr="00CA5DB1">
        <w:tab/>
        <w:t>având în vedere Regulamentul (CE) nr. 726/2004 al Parlamentului European și al Consiliului din 31 martie 2004 de stabilire a procedurilor la nivelul Uniunii privind autorizarea și supravegherea medicamentelor de uz uman și de înființare a unei Agenții Europene pentru Medicamente</w:t>
      </w:r>
      <w:r w:rsidRPr="00CA5DB1">
        <w:rPr>
          <w:rStyle w:val="FootnoteReference"/>
        </w:rPr>
        <w:footnoteReference w:id="9"/>
      </w:r>
      <w:r w:rsidRPr="00CA5DB1">
        <w:t>, în special articolul 68,</w:t>
      </w:r>
    </w:p>
    <w:p w:rsidR="002D43B7" w:rsidRPr="00CA5DB1" w:rsidRDefault="002D43B7" w:rsidP="002D43B7">
      <w:pPr>
        <w:pStyle w:val="NormalHanging12a"/>
      </w:pPr>
      <w:r w:rsidRPr="00CA5DB1">
        <w:t>–</w:t>
      </w:r>
      <w:r w:rsidRPr="00CA5DB1">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CA5DB1">
        <w:rPr>
          <w:rStyle w:val="FootnoteReference"/>
        </w:rPr>
        <w:footnoteReference w:id="10"/>
      </w:r>
      <w:r w:rsidRPr="00CA5DB1">
        <w:t>, în special articolul 105,</w:t>
      </w:r>
    </w:p>
    <w:p w:rsidR="002D43B7" w:rsidRPr="00CA5DB1" w:rsidRDefault="002D43B7" w:rsidP="002D43B7">
      <w:pPr>
        <w:pStyle w:val="NormalHanging12a"/>
      </w:pPr>
      <w:r w:rsidRPr="00CA5DB1">
        <w:t>–</w:t>
      </w:r>
      <w:r w:rsidRPr="00CA5DB1">
        <w:tab/>
        <w:t>având în vedere articolul 100 și anexa V la Regulamentul său de procedură,</w:t>
      </w:r>
    </w:p>
    <w:p w:rsidR="002D43B7" w:rsidRPr="00CA5DB1" w:rsidRDefault="002D43B7" w:rsidP="002D43B7">
      <w:pPr>
        <w:pStyle w:val="NormalHanging12a"/>
      </w:pPr>
      <w:r w:rsidRPr="00CA5DB1">
        <w:t>–</w:t>
      </w:r>
      <w:r w:rsidRPr="00CA5DB1">
        <w:tab/>
        <w:t>având în vedere avizul Comisiei pentru mediu, sănătate publică și siguranță alimentară,</w:t>
      </w:r>
    </w:p>
    <w:p w:rsidR="002D43B7" w:rsidRPr="00CA5DB1" w:rsidRDefault="002D43B7" w:rsidP="002D43B7">
      <w:pPr>
        <w:pStyle w:val="NormalHanging12a"/>
      </w:pPr>
      <w:r w:rsidRPr="00CA5DB1">
        <w:t>–</w:t>
      </w:r>
      <w:r w:rsidRPr="00CA5DB1">
        <w:tab/>
        <w:t>având în vedere raportul Comisiei pentru control bugetar (A9-0133/2024),</w:t>
      </w:r>
    </w:p>
    <w:p w:rsidR="002D43B7" w:rsidRPr="00CA5DB1" w:rsidRDefault="002D43B7" w:rsidP="002D43B7">
      <w:pPr>
        <w:pStyle w:val="NormalHanging12a"/>
      </w:pPr>
      <w:r w:rsidRPr="00CA5DB1">
        <w:lastRenderedPageBreak/>
        <w:t>1.</w:t>
      </w:r>
      <w:r w:rsidRPr="00CA5DB1">
        <w:tab/>
        <w:t>aprobă închiderea conturilor Agenției Europene pentru Medicamente pentru exercițiul financiar 2022;</w:t>
      </w:r>
    </w:p>
    <w:p w:rsidR="002D43B7" w:rsidRPr="00CA5DB1" w:rsidRDefault="002D43B7" w:rsidP="002D43B7">
      <w:pPr>
        <w:pStyle w:val="NormalHanging12a"/>
      </w:pPr>
      <w:r w:rsidRPr="00CA5DB1">
        <w:t>2.</w:t>
      </w:r>
      <w:r w:rsidRPr="00CA5DB1">
        <w:tab/>
        <w:t xml:space="preserve">încredințează Președintei sarcina de a transmite prezenta decizie </w:t>
      </w:r>
      <w:r w:rsidR="00704CA8" w:rsidRPr="00CA5DB1">
        <w:t xml:space="preserve">directoarei executive a </w:t>
      </w:r>
      <w:r w:rsidRPr="00CA5DB1">
        <w:t xml:space="preserve">Agenției Europene pentru Medicamente, Consiliului, Comisiei și Curții de Conturi și de a asigura publicarea acesteia în </w:t>
      </w:r>
      <w:r w:rsidRPr="00CA5DB1">
        <w:rPr>
          <w:i/>
        </w:rPr>
        <w:t>Jurnalul Oficial al Uniunii Europene</w:t>
      </w:r>
      <w:r w:rsidRPr="00CA5DB1">
        <w:t xml:space="preserve"> (seria L).</w:t>
      </w:r>
    </w:p>
    <w:p w:rsidR="002D43B7" w:rsidRPr="00CA5DB1" w:rsidRDefault="002D43B7" w:rsidP="002D43B7"/>
    <w:p w:rsidR="002D43B7" w:rsidRPr="00CA5DB1" w:rsidRDefault="002D43B7" w:rsidP="002D43B7">
      <w:pPr>
        <w:widowControl/>
        <w:rPr>
          <w:rFonts w:ascii="Arial" w:hAnsi="Arial" w:cs="Arial"/>
          <w:b/>
        </w:rPr>
        <w:sectPr w:rsidR="002D43B7" w:rsidRPr="00CA5DB1" w:rsidSect="007A5C1F">
          <w:footnotePr>
            <w:numRestart w:val="eachPage"/>
          </w:footnotePr>
          <w:endnotePr>
            <w:numFmt w:val="decimal"/>
          </w:endnotePr>
          <w:pgSz w:w="11906" w:h="16838"/>
          <w:pgMar w:top="1134" w:right="1418" w:bottom="1418" w:left="1418" w:header="567" w:footer="567" w:gutter="0"/>
          <w:cols w:space="720"/>
          <w:docGrid w:linePitch="326"/>
        </w:sectPr>
      </w:pPr>
    </w:p>
    <w:p w:rsidR="002D43B7" w:rsidRPr="00CA5DB1" w:rsidRDefault="00852558" w:rsidP="00704CA8">
      <w:pPr>
        <w:pStyle w:val="ATHeading3"/>
      </w:pPr>
      <w:r w:rsidRPr="00CA5DB1">
        <w:lastRenderedPageBreak/>
        <w:t xml:space="preserve">3. Rezoluția Parlamentului European din 11 aprilie 2024 </w:t>
      </w:r>
      <w:r w:rsidR="002D43B7" w:rsidRPr="00CA5DB1">
        <w:t>conținând observațiile care fac parte integrantă din decizia privind descărcarea de gestiune pentru execuția bugetului Agenției Europene pentru Medicamente aferent exercițiului financiar 2022</w:t>
      </w:r>
      <w:r w:rsidR="00704CA8" w:rsidRPr="00CA5DB1">
        <w:t xml:space="preserve"> </w:t>
      </w:r>
      <w:r w:rsidR="002D43B7" w:rsidRPr="00CA5DB1">
        <w:t>(2023/2156(DEC))</w:t>
      </w:r>
    </w:p>
    <w:p w:rsidR="002D43B7" w:rsidRPr="00CA5DB1" w:rsidRDefault="002D43B7" w:rsidP="002D43B7">
      <w:pPr>
        <w:pStyle w:val="EPComma"/>
      </w:pPr>
      <w:r w:rsidRPr="00CA5DB1">
        <w:rPr>
          <w:i/>
        </w:rPr>
        <w:t>Parlamentul European</w:t>
      </w:r>
      <w:r w:rsidRPr="00CA5DB1">
        <w:t>,</w:t>
      </w:r>
    </w:p>
    <w:p w:rsidR="002D43B7" w:rsidRPr="00CA5DB1" w:rsidRDefault="002D43B7" w:rsidP="002D43B7">
      <w:pPr>
        <w:pStyle w:val="NormalHanging12a"/>
      </w:pPr>
      <w:r w:rsidRPr="00CA5DB1">
        <w:t>–</w:t>
      </w:r>
      <w:r w:rsidRPr="00CA5DB1">
        <w:tab/>
        <w:t>având în vedere decizia sa privind descărcarea de gestiune pentru execuția bugetului Agenției Europene pentru Medicamente aferent exercițiului financiar 2022,</w:t>
      </w:r>
    </w:p>
    <w:p w:rsidR="002D43B7" w:rsidRPr="00CA5DB1" w:rsidRDefault="002D43B7" w:rsidP="002D43B7">
      <w:pPr>
        <w:pStyle w:val="NormalHanging12a"/>
      </w:pPr>
      <w:r w:rsidRPr="00CA5DB1">
        <w:t>–</w:t>
      </w:r>
      <w:r w:rsidRPr="00CA5DB1">
        <w:tab/>
        <w:t>având în vedere articolul 100 și anexa V la Regulamentul său de procedură,</w:t>
      </w:r>
    </w:p>
    <w:p w:rsidR="002D43B7" w:rsidRPr="00CA5DB1" w:rsidRDefault="002D43B7" w:rsidP="002D43B7">
      <w:pPr>
        <w:pStyle w:val="NormalHanging12a"/>
      </w:pPr>
      <w:r w:rsidRPr="00CA5DB1">
        <w:t>–</w:t>
      </w:r>
      <w:r w:rsidRPr="00CA5DB1">
        <w:tab/>
        <w:t>având în vedere avizul Comisiei pentru mediu, sănătate publică și siguranță alimentară,</w:t>
      </w:r>
    </w:p>
    <w:p w:rsidR="002D43B7" w:rsidRPr="00CA5DB1" w:rsidRDefault="002D43B7" w:rsidP="002D43B7">
      <w:pPr>
        <w:pStyle w:val="NormalHanging12a"/>
      </w:pPr>
      <w:r w:rsidRPr="00CA5DB1">
        <w:t>–</w:t>
      </w:r>
      <w:r w:rsidRPr="00CA5DB1">
        <w:tab/>
        <w:t>având în vedere raportul Comisiei pentru control bugetar (A9-0133/2024),</w:t>
      </w:r>
    </w:p>
    <w:p w:rsidR="002D43B7" w:rsidRPr="00CA5DB1" w:rsidRDefault="002D43B7" w:rsidP="002D43B7">
      <w:pPr>
        <w:pStyle w:val="Normal12Hanging"/>
        <w:widowControl/>
        <w:rPr>
          <w:szCs w:val="24"/>
        </w:rPr>
      </w:pPr>
      <w:r w:rsidRPr="00CA5DB1">
        <w:t>A.</w:t>
      </w:r>
      <w:r w:rsidRPr="00CA5DB1">
        <w:tab/>
        <w:t>întrucât, potrivit situației veniturilor și cheltuielilor sale</w:t>
      </w:r>
      <w:r w:rsidRPr="00CA5DB1">
        <w:rPr>
          <w:szCs w:val="24"/>
          <w:vertAlign w:val="superscript"/>
        </w:rPr>
        <w:footnoteReference w:id="11"/>
      </w:r>
      <w:r w:rsidRPr="00CA5DB1">
        <w:t>, bugetul definitiv al Agenției Europene pentru Medicamente („Agenția”) aferent exercițiului financiar 2022 a fost de 421 815 000 EUR, ceea ce reprezintă o creștere cu 11,23 % față de bugetul pe 2021; întrucât Agenția este finanțată din taxe, aproximativ 88 % din veniturile sale din 2022 provenind din taxele percepute pentru evaluarea medicamentelor și din alte activități comerciale, iar 12 % din bugetul Uniunii și din venituri diverse;</w:t>
      </w:r>
    </w:p>
    <w:p w:rsidR="002D43B7" w:rsidRPr="00CA5DB1" w:rsidRDefault="002D43B7" w:rsidP="002D43B7">
      <w:pPr>
        <w:pStyle w:val="Normal12Hanging"/>
        <w:widowControl/>
        <w:rPr>
          <w:szCs w:val="24"/>
        </w:rPr>
      </w:pPr>
      <w:r w:rsidRPr="00CA5DB1">
        <w:t>B.</w:t>
      </w:r>
      <w:r w:rsidRPr="00CA5DB1">
        <w:tab/>
        <w:t>întrucât în raportul său privind conturile anuale ale Agenției pentru exercițiul financiar 2022 („raportul Curții”), Curtea de Conturi („Curtea”) declară că a obținut asigurări rezonabile cu privire la fiabilitatea conturilor anuale ale Agenției și cu privire la legalitatea și regularitatea operațiunilor subiacente;</w:t>
      </w:r>
    </w:p>
    <w:p w:rsidR="002D43B7" w:rsidRPr="00CA5DB1" w:rsidRDefault="002D43B7" w:rsidP="002D43B7">
      <w:pPr>
        <w:pStyle w:val="Normal12Hanging"/>
        <w:rPr>
          <w:szCs w:val="24"/>
        </w:rPr>
      </w:pPr>
      <w:r w:rsidRPr="00CA5DB1">
        <w:t>C.</w:t>
      </w:r>
      <w:r w:rsidRPr="00CA5DB1">
        <w:tab/>
        <w:t>întrucât, în ceea ce privește sectorul achizițiilor publice ale Agenției, nu au fost raportate probleme care să necesite acțiuni corective pentru 2022 și nici nu există acțiuni corective în curs sau restante în urma auditurilor și evaluărilor din exercițiile anterioare,</w:t>
      </w:r>
    </w:p>
    <w:p w:rsidR="002D43B7" w:rsidRPr="00CA5DB1" w:rsidRDefault="002D43B7" w:rsidP="002D43B7">
      <w:pPr>
        <w:pStyle w:val="Normal12Hanging"/>
        <w:widowControl/>
        <w:rPr>
          <w:b/>
          <w:i/>
          <w:szCs w:val="24"/>
        </w:rPr>
      </w:pPr>
      <w:r w:rsidRPr="00CA5DB1">
        <w:rPr>
          <w:b/>
          <w:i/>
        </w:rPr>
        <w:t>Gestiunea bugetară și financiară</w:t>
      </w:r>
    </w:p>
    <w:p w:rsidR="002D43B7" w:rsidRPr="00CA5DB1" w:rsidRDefault="002D43B7" w:rsidP="002D43B7">
      <w:pPr>
        <w:pStyle w:val="Normal12Hanging"/>
        <w:widowControl/>
      </w:pPr>
      <w:r w:rsidRPr="00CA5DB1">
        <w:t>1.</w:t>
      </w:r>
      <w:r w:rsidRPr="00CA5DB1">
        <w:tab/>
        <w:t>constată că eforturile de monitorizare a bugetului în cursul exercițiului financiar 2022 au avut ca rezultat o rată de execuție bugetară a creditelor de angajament din anul curent de 96,80 %, ceea ce reprezintă o scădere de 0,42 % față de 2021; regretă că rata de execuție a creditelor de plată pentru anul în curs a fost de 71,48 %, ceea ce reprezintă o scădere de 0,88 % în comparație cu 2021;</w:t>
      </w:r>
    </w:p>
    <w:p w:rsidR="002D43B7" w:rsidRPr="00CA5DB1" w:rsidRDefault="002D43B7" w:rsidP="002D43B7">
      <w:pPr>
        <w:pStyle w:val="Normal12Hanging"/>
        <w:widowControl/>
      </w:pPr>
      <w:r w:rsidRPr="00CA5DB1">
        <w:t>2.</w:t>
      </w:r>
      <w:r w:rsidRPr="00CA5DB1">
        <w:tab/>
        <w:t>observă că, în cazul unei plăți auditate în valoare de 2 milioane EUR, Agenția a autorizat angajamentul bugetar aferent numai după ce a fost acceptat angajamentul juridic; reamintește că acest lucru contravine articolului 73 alineatul (2) din regulamentul financiar al Agenției; invită Agenția să ia măsuri imediate și să pună în aplicare măsuri pentru a se asigura că toate tranzacțiile financiare respectă Regulamentul financiar al Agenției;</w:t>
      </w:r>
    </w:p>
    <w:p w:rsidR="002D43B7" w:rsidRPr="00CA5DB1" w:rsidRDefault="002D43B7" w:rsidP="002D43B7">
      <w:pPr>
        <w:pStyle w:val="NormalHanging12a"/>
      </w:pPr>
      <w:r w:rsidRPr="00CA5DB1">
        <w:t>3.</w:t>
      </w:r>
      <w:r w:rsidRPr="00CA5DB1">
        <w:tab/>
        <w:t xml:space="preserve">reamintește că nu s-a soluționat aspectul datoriilor potențiale care decurg, până în 2039, </w:t>
      </w:r>
      <w:r w:rsidRPr="00CA5DB1">
        <w:lastRenderedPageBreak/>
        <w:t>din contractul de închiriere a fostului sediu al Agenției din Londra; constată cu preocupare că, la 31 decembrie 2022, valoarea totală estimată a chiriilor restante, a plăților pentru serviciile aferente și a asigurării proprietarului care trebuie plătite de Agenție până la sfârșitul perioadei de închiriere era de 366 de milioane EUR, adică aproximativ 23 de milioane EUR pe an; ia act de faptul că, în iulie 2019, Agenția a ajuns la un acord cu proprietarul și a subînchiriat fostele sale spații unui sublocatar, începând din iulie 2019, în condiții conforme cu cele prevăzute în contractul de închiriere inițial; recunoaște că contractul de subînchiriere acoperă întreaga perioadă până la expirarea, în iunie 2039, a contractului de închiriere al Agenției și că, întrucât rămâne parte la contractul de închiriere inițial, Agenția ar putea fi considerată răspunzătoare pentru întreaga sumă rămasă de plătit în temeiul obligațiilor contractuale asumate prin contractul de închiriere inițial dacă sublocatarul nu își îndeplinește obligațiile care îi revin; atrage atenția asupra altui element evidențiat în conturile Agenției, și anume incertitudinile legate de performanța financiară a societății-mamă de cel mai înalt rang a sublocatarului ca urmare a deteriorării ratingului de credit al acesteia și a recentei restructurări a datoriilor, ceea ce a dus la încetarea plăților sale; ia act de faptul că Agenția și Consiliul său de administrație sunt preocupate de faptul că Agenția, în loc să-și concentreze toate eforturile asupra misiunii de protejare și promovare a sănătății publice, trebuie să gestioneze acum și o proprietate imobiliară comercială aflată într-o țară terță, folosindu-și resursele umane și financiare în afara sferei sale de responsabilități în materie de sănătate publică față de cetățenii Uniunii; este conștient de faptul că, la 11 ianuarie 2024, Comisia pentru bugete a Parlamentului a organizat un schimb de opinii cu Agenția despre posibilitatea ca Agenția să modifice contractul de subînchiriere a fostului său sediu din Londra; insistă că este necesar să se ia o decizie politică pentru a asigura o soluție pe termen lung în acest sens; insistă asupra faptului că, deși trebuie căutată o soluție pe termen lung, ar trebui găsită și aplicată o măsură pe termen scurt pentru a aborda problema și a împiedica agravarea sa, având în vedere că sublocatarul continuă să nu își plătească chiria;</w:t>
      </w:r>
    </w:p>
    <w:p w:rsidR="002D43B7" w:rsidRPr="00CA5DB1" w:rsidRDefault="002D43B7" w:rsidP="002D43B7">
      <w:pPr>
        <w:pStyle w:val="Normal12Hanging"/>
        <w:widowControl/>
        <w:rPr>
          <w:b/>
          <w:i/>
          <w:szCs w:val="24"/>
        </w:rPr>
      </w:pPr>
      <w:r w:rsidRPr="00CA5DB1">
        <w:rPr>
          <w:b/>
          <w:i/>
        </w:rPr>
        <w:t>Performanță</w:t>
      </w:r>
    </w:p>
    <w:p w:rsidR="002D43B7" w:rsidRPr="00CA5DB1" w:rsidRDefault="002D43B7" w:rsidP="002D43B7">
      <w:pPr>
        <w:pStyle w:val="Normal12Hanging"/>
        <w:widowControl/>
        <w:rPr>
          <w:szCs w:val="24"/>
        </w:rPr>
      </w:pPr>
      <w:r w:rsidRPr="00CA5DB1">
        <w:t>4.</w:t>
      </w:r>
      <w:r w:rsidRPr="00CA5DB1">
        <w:tab/>
        <w:t>ia act de faptul că, în 2022, Agenția a raportat date despre 41 de indicatori de performanță, estimând o rată de execuție de 92,60 %; constată că, în 2022, Agenția și-a valorificat poziția de președinte al Coaliției internaționale a autorităților de reglementare în domeniul medicamentelor pentru a face progrese în activitatea de armonizare a sistemelor internaționale de reglementare; observă că a realizat, de asemenea, punerea în aplicare a trei acte legislative majore [Regulamentul (UE) nr. 536/2014</w:t>
      </w:r>
      <w:r w:rsidRPr="00CA5DB1">
        <w:rPr>
          <w:rStyle w:val="FootnoteReference"/>
          <w:szCs w:val="24"/>
        </w:rPr>
        <w:footnoteReference w:id="12"/>
      </w:r>
      <w:r w:rsidRPr="00CA5DB1">
        <w:t>, Regulamentul (UE) 2019/6</w:t>
      </w:r>
      <w:r w:rsidRPr="00CA5DB1">
        <w:rPr>
          <w:rStyle w:val="FootnoteReference"/>
          <w:szCs w:val="24"/>
        </w:rPr>
        <w:footnoteReference w:id="13"/>
      </w:r>
      <w:r w:rsidRPr="00CA5DB1">
        <w:t xml:space="preserve"> și mandatul extins din Regulamentul (UE) 2022/123</w:t>
      </w:r>
      <w:r w:rsidRPr="00CA5DB1">
        <w:rPr>
          <w:rStyle w:val="FootnoteReference"/>
          <w:szCs w:val="24"/>
        </w:rPr>
        <w:footnoteReference w:id="14"/>
      </w:r>
      <w:r w:rsidRPr="00CA5DB1">
        <w:t>] și a înregistrat progrese în ceea ce privește guvernanța datelor;</w:t>
      </w:r>
    </w:p>
    <w:p w:rsidR="002D43B7" w:rsidRPr="00CA5DB1" w:rsidRDefault="002D43B7" w:rsidP="002D43B7">
      <w:pPr>
        <w:pStyle w:val="Normal12Hanging"/>
        <w:widowControl/>
        <w:rPr>
          <w:szCs w:val="24"/>
        </w:rPr>
      </w:pPr>
      <w:r w:rsidRPr="00CA5DB1">
        <w:lastRenderedPageBreak/>
        <w:t>5.</w:t>
      </w:r>
      <w:r w:rsidRPr="00CA5DB1">
        <w:tab/>
        <w:t>salută faptul că, la 1 martie 2022, mandatul Agenției a fost prelungit odată cu intrarea în vigoare a Regulamentului (UE) 2022/123, care i-a consolidat rolul în pregătirea pentru situațiile de criză și gestionarea medicamentelor și a dispozitivelor medicale; ia act de faptul că regulamentul a impus Agenției să înființeze noi organisme, cum ar fi Grupul de coordonare privind deficitele de medicamente (MSSG) și Grupul operativ pentru situații de urgență (ETF) și, în plus, Agenția a preluat gestionarea grupurilor de experți pentru dispozitive medicale, care au fost transferate Agenției de la Centrul Comun de Cercetare al Comisiei; constată, de asemenea, că Agenția, în temeiul Regulamentului (UE) 2022/123, este responsabilă de monitorizarea evenimentelor care pot provoca o criză, raportarea și coordonarea răspunsurilor Uniunii la penuria de medicamente, dispozitive medicale și diagnostice in vitro critice în timpul unei crize;</w:t>
      </w:r>
    </w:p>
    <w:p w:rsidR="002D43B7" w:rsidRPr="00CA5DB1" w:rsidRDefault="002D43B7" w:rsidP="002D43B7">
      <w:pPr>
        <w:pStyle w:val="Normal12Hanging"/>
        <w:widowControl/>
        <w:rPr>
          <w:szCs w:val="24"/>
        </w:rPr>
      </w:pPr>
      <w:r w:rsidRPr="00CA5DB1">
        <w:t>6.</w:t>
      </w:r>
      <w:r w:rsidRPr="00CA5DB1">
        <w:tab/>
        <w:t xml:space="preserve">subliniază că alte realizări esențiale în 2022 includ aprobarea a două vaccinuri noi și a două tratamente împotriva COVID-19, ETF a recomandat utilizarea temporară a vaccinului împotriva variolei maimuței, aprobat de SUA, </w:t>
      </w:r>
      <w:proofErr w:type="spellStart"/>
      <w:r w:rsidRPr="00CA5DB1">
        <w:t>Jynneos</w:t>
      </w:r>
      <w:proofErr w:type="spellEnd"/>
      <w:r w:rsidRPr="00CA5DB1">
        <w:t xml:space="preserve">, pentru a sprijini eforturile de vaccinare ale autorităților naționale ale UE, împreună cu o extindere a utilizării </w:t>
      </w:r>
      <w:proofErr w:type="spellStart"/>
      <w:r w:rsidRPr="00CA5DB1">
        <w:t>Imvanex</w:t>
      </w:r>
      <w:proofErr w:type="spellEnd"/>
      <w:r w:rsidRPr="00CA5DB1">
        <w:t xml:space="preserve"> pentru a proteja, de asemenea, adulții de variola maimuței; ia act de faptul că, în plus, Agenția a colaborat cu Centrul medical universitar Erasmus din Rotterdam pentru a înființa Centrul de coordonare pentru analiza datelor și Rețeaua de interogare în condiții reale (DARWIN EU ®), ca deschizător de drumuri pentru Regulamentul propus privind spațiul european al datelor privind sănătatea (EHDS) și ca legătură cu serviciile EHDS în domeniul reglementării medicamentelor; constată, de asemenea, că pentru a implementa cadrul „</w:t>
      </w:r>
      <w:proofErr w:type="spellStart"/>
      <w:r w:rsidRPr="00CA5DB1">
        <w:t>Scaled</w:t>
      </w:r>
      <w:proofErr w:type="spellEnd"/>
      <w:r w:rsidRPr="00CA5DB1">
        <w:t xml:space="preserve"> Agile” a fost necesară tranziția portofoliului informatic al Agenției la modul de lucru „Agile”, crearea de fluxuri de valoare adaptate misiunii sale principale și operaționalizarea echipelor responsabile de produse în cadrul acestora; invită Agenția să învețe din aceste experiențe și să utilizeze în viitor cele mai bune practici rezultate din acestea;</w:t>
      </w:r>
    </w:p>
    <w:p w:rsidR="002D43B7" w:rsidRPr="00CA5DB1" w:rsidRDefault="002D43B7" w:rsidP="002D43B7">
      <w:pPr>
        <w:pStyle w:val="NormalHanging12a"/>
      </w:pPr>
      <w:r w:rsidRPr="00CA5DB1">
        <w:t>7.</w:t>
      </w:r>
      <w:r w:rsidRPr="00CA5DB1">
        <w:tab/>
        <w:t xml:space="preserve">reiterează rolul-cheie al Agenției în protejarea sănătății umane și animale prin evaluarea și supravegherea medicamentelor de uz uman sau veterinar și în protejarea sănătății publice prin sensibilizarea publicului cu privire la aspecte-cheie, inclusiv rezistența la </w:t>
      </w:r>
      <w:proofErr w:type="spellStart"/>
      <w:r w:rsidRPr="00CA5DB1">
        <w:t>antimicrobiene</w:t>
      </w:r>
      <w:proofErr w:type="spellEnd"/>
      <w:r w:rsidRPr="00CA5DB1">
        <w:t xml:space="preserve"> și prevenirea bolilor transmisibile prin vaccinare;</w:t>
      </w:r>
    </w:p>
    <w:p w:rsidR="002D43B7" w:rsidRPr="00CA5DB1" w:rsidRDefault="002D43B7" w:rsidP="002D43B7">
      <w:pPr>
        <w:pStyle w:val="NormalHanging12a"/>
      </w:pPr>
      <w:r w:rsidRPr="00CA5DB1">
        <w:t>8.</w:t>
      </w:r>
      <w:r w:rsidRPr="00CA5DB1">
        <w:tab/>
        <w:t>constată, cu toate acestea, că resursele inadecvate pentru Agenție pot submina capacitatea Agenției de a-și îndeplini misiunea și invită Comisia și Consiliul să aloce fonduri adecvate din partea Uniunii pentru a se asigura că Agenția dispune de resurse suficiente care să îi permită să-și desfășoare toate activitățile cu privire la gama largă de mecanisme de reglementare, inclusiv cu privire la facilitarea dezvoltării medicamentelor și a accesului la acestea, sprijinirea cercetării și inovării și la responsabilitățile sale de monitorizare și atenuare a deficitelor potențiale sau reale de medicamente esențiale fără întârziere;</w:t>
      </w:r>
    </w:p>
    <w:p w:rsidR="002D43B7" w:rsidRPr="00CA5DB1" w:rsidRDefault="002D43B7" w:rsidP="002D43B7">
      <w:pPr>
        <w:pStyle w:val="Normal12Hanging"/>
      </w:pPr>
      <w:r w:rsidRPr="00CA5DB1">
        <w:t>9.</w:t>
      </w:r>
      <w:r w:rsidRPr="00CA5DB1">
        <w:tab/>
        <w:t xml:space="preserve">ia act de faptul că exercițiul 2022 a fost în continuare caracterizat de un nivel semnificativ de activități legate de COVID-19, cu o tranziție de la activități inițiale de introducere pe piață și prealabile introducerii pe piață la activități </w:t>
      </w:r>
      <w:proofErr w:type="spellStart"/>
      <w:r w:rsidRPr="00CA5DB1">
        <w:t>postautorizare</w:t>
      </w:r>
      <w:proofErr w:type="spellEnd"/>
      <w:r w:rsidRPr="00CA5DB1">
        <w:t>;</w:t>
      </w:r>
    </w:p>
    <w:p w:rsidR="002D43B7" w:rsidRPr="00CA5DB1" w:rsidRDefault="002D43B7" w:rsidP="002D43B7">
      <w:pPr>
        <w:pStyle w:val="NormalHanging12a"/>
      </w:pPr>
      <w:r w:rsidRPr="00CA5DB1">
        <w:t>10.</w:t>
      </w:r>
      <w:r w:rsidRPr="00CA5DB1">
        <w:tab/>
        <w:t xml:space="preserve">salută faptul că 52 % dintre solicitanții cărora li s-a acordat un aviz pozitiv pentru medicamentul lor au primit consiliere științifică sau asistență la elaborarea protocoalelor din partea Agenției în faza de dezvoltare a produsului lor, această cifră crescând la 78 % în cazul solicitanților ale căror medicamente conțin substanțe active noi; consideră că consilierea timpurie are potențialul de a raționaliza în mod semnificativ procesul de </w:t>
      </w:r>
      <w:r w:rsidRPr="00CA5DB1">
        <w:lastRenderedPageBreak/>
        <w:t>aprobare și de a conduce la dezvoltarea unor medicamente sigure și eficace;</w:t>
      </w:r>
    </w:p>
    <w:p w:rsidR="002D43B7" w:rsidRPr="00CA5DB1" w:rsidRDefault="002D43B7" w:rsidP="002D43B7">
      <w:pPr>
        <w:pStyle w:val="Normal12Hanging"/>
        <w:widowControl/>
        <w:rPr>
          <w:b/>
          <w:i/>
          <w:szCs w:val="24"/>
        </w:rPr>
      </w:pPr>
      <w:r w:rsidRPr="00CA5DB1">
        <w:rPr>
          <w:b/>
          <w:i/>
        </w:rPr>
        <w:t>Eficiența și realizările</w:t>
      </w:r>
    </w:p>
    <w:p w:rsidR="002D43B7" w:rsidRPr="00CA5DB1" w:rsidRDefault="002D43B7" w:rsidP="002D43B7">
      <w:pPr>
        <w:pStyle w:val="Normal12Hanging"/>
        <w:widowControl/>
        <w:rPr>
          <w:szCs w:val="24"/>
        </w:rPr>
      </w:pPr>
      <w:r w:rsidRPr="00CA5DB1">
        <w:t>11.</w:t>
      </w:r>
      <w:r w:rsidRPr="00CA5DB1">
        <w:tab/>
        <w:t>este conștient de faptul că, în 2022, Agenția a continuat punerea în aplicare a strategiei sale de creștere a eficienței, axându-se pe îmbunătățirea proceselor și pe digitalizare;</w:t>
      </w:r>
    </w:p>
    <w:p w:rsidR="002D43B7" w:rsidRPr="00CA5DB1" w:rsidRDefault="002D43B7" w:rsidP="002D43B7">
      <w:pPr>
        <w:pStyle w:val="Normal12Hanging"/>
        <w:widowControl/>
        <w:rPr>
          <w:szCs w:val="24"/>
        </w:rPr>
      </w:pPr>
      <w:r w:rsidRPr="00CA5DB1">
        <w:t>12.</w:t>
      </w:r>
      <w:r w:rsidRPr="00CA5DB1">
        <w:tab/>
        <w:t>ia act de faptul că, prin activitatea Laboratorului său pentru inovare digitală (</w:t>
      </w:r>
      <w:proofErr w:type="spellStart"/>
      <w:r w:rsidRPr="00CA5DB1">
        <w:t>DigiLab</w:t>
      </w:r>
      <w:proofErr w:type="spellEnd"/>
      <w:r w:rsidRPr="00CA5DB1">
        <w:t xml:space="preserve">), Agenția a analizat posibilitățile de a realiza automatizări ale activității administrative; observă că </w:t>
      </w:r>
      <w:proofErr w:type="spellStart"/>
      <w:r w:rsidRPr="00CA5DB1">
        <w:t>DigiLab</w:t>
      </w:r>
      <w:proofErr w:type="spellEnd"/>
      <w:r w:rsidRPr="00CA5DB1">
        <w:t xml:space="preserve"> a inițiat 14 proiecte de automatizare, </w:t>
      </w:r>
      <w:proofErr w:type="spellStart"/>
      <w:r w:rsidRPr="00CA5DB1">
        <w:t>prioritizate</w:t>
      </w:r>
      <w:proofErr w:type="spellEnd"/>
      <w:r w:rsidRPr="00CA5DB1">
        <w:t xml:space="preserve"> și aprobate de Echipa de conducere pentru accelerarea digitală, alături de Centrul de analiză de excelență (ACE), inclusiv automatizări pentru clasificarea e-mail-urilor, generarea listelor de valori critice și o bază de date pilot a listei datelor de referință a UE pentru creșterea eficienței în ceea ce privește întreținerea și publicarea pe site-ul Agenției; observă că </w:t>
      </w:r>
      <w:proofErr w:type="spellStart"/>
      <w:r w:rsidRPr="00CA5DB1">
        <w:t>DigiLab</w:t>
      </w:r>
      <w:proofErr w:type="spellEnd"/>
      <w:r w:rsidRPr="00CA5DB1">
        <w:t xml:space="preserve"> a colaborat și cu ACE pentru a testa cinci soluții potențiale la provocările de activitate;</w:t>
      </w:r>
    </w:p>
    <w:p w:rsidR="002D43B7" w:rsidRPr="00CA5DB1" w:rsidRDefault="002D43B7" w:rsidP="002D43B7">
      <w:pPr>
        <w:pStyle w:val="Normal12Hanging"/>
        <w:widowControl/>
        <w:rPr>
          <w:szCs w:val="24"/>
        </w:rPr>
      </w:pPr>
      <w:r w:rsidRPr="00CA5DB1">
        <w:t>13.</w:t>
      </w:r>
      <w:r w:rsidRPr="00CA5DB1">
        <w:tab/>
        <w:t>salută faptul că, în cadrul eforturilor sale de digitalizare în 2022, Agenția a finalizat integrarea inspecțiilor privind bunele practici clinice și bunele practici de farmacovigilență în platforma sa informatică IRIS, sporind eficiența, transparența și activitatea de colaborare în conformitate cu programul de transformare digitală al Agenției, care supraveghează inspecțiile pentru medicamentele de uz uman și veterinar în procedura centralizată sau în procesul de sesizare la cererea Comitetului pentru medicamente de uz uman sau a Comitetului pentru produse medicinale veterinare; invită instituția să găsească mai multe proceduri interne care ar putea fi raționalizate prin digitalizare;</w:t>
      </w:r>
    </w:p>
    <w:p w:rsidR="002D43B7" w:rsidRPr="00CA5DB1" w:rsidRDefault="002D43B7" w:rsidP="002D43B7">
      <w:pPr>
        <w:pStyle w:val="Normal12Hanging"/>
        <w:widowControl/>
        <w:rPr>
          <w:szCs w:val="24"/>
        </w:rPr>
      </w:pPr>
      <w:r w:rsidRPr="00CA5DB1">
        <w:t>14.</w:t>
      </w:r>
      <w:r w:rsidRPr="00CA5DB1">
        <w:tab/>
        <w:t>ia act de faptul că, în 2022, în cadrul dimensiunii de îmbunătățire a procedurilor, Agenția a lucrat la transformarea Agile, cu scopul de a asigura o mai mare transparență, o sarcină administrativă redusă și o responsabilitate mai clară, printr-un nou model de guvernanță și un nou mod de lucru în domeniul gestionării informațiilor și informaticii;</w:t>
      </w:r>
    </w:p>
    <w:p w:rsidR="002D43B7" w:rsidRPr="00CA5DB1" w:rsidRDefault="002D43B7" w:rsidP="002D43B7">
      <w:pPr>
        <w:pStyle w:val="Normal12Hanging"/>
        <w:widowControl/>
        <w:rPr>
          <w:szCs w:val="24"/>
        </w:rPr>
      </w:pPr>
      <w:r w:rsidRPr="00CA5DB1">
        <w:t>15.</w:t>
      </w:r>
      <w:r w:rsidRPr="00CA5DB1">
        <w:tab/>
        <w:t>subliniază că, în 2022, Agenția a reluat treptat activitățile la fața locului, în clădirea sa, susținând, în același timp, formule flexibile de lucru, permițând până la 60 % din muncă de la distanță lunar; regulile temporare pentru călătoriile în interes de serviciu au acordat prioritate participării virtuale la conferințe, reuniuni și cursuri de formare, participarea fizică fiind avută în vedere pentru valoarea adăugată strategică; a fost pusă în aplicare decizia de a alterna mediul virtual și cel fizic pentru reuniunile comitetelor științifice și grupurilor de lucru pentru a gestiona capacitatea la fața locului și a contribui la controlul amprentei de carbon, având ca rezultat emisii mai scăzute de dioxid de carbon în comparație cu anii anteriori pandemiei, în pofida reluării activităților cu prezență fizică;</w:t>
      </w:r>
    </w:p>
    <w:p w:rsidR="002D43B7" w:rsidRPr="00CA5DB1" w:rsidRDefault="002D43B7" w:rsidP="002D43B7">
      <w:pPr>
        <w:pStyle w:val="NormalHanging12a"/>
      </w:pPr>
      <w:r w:rsidRPr="00CA5DB1">
        <w:t>16.</w:t>
      </w:r>
      <w:r w:rsidRPr="00CA5DB1">
        <w:tab/>
        <w:t xml:space="preserve">reamintește că este important să se îmbunătățească gradul de digitalizare a Agenției în ceea ce privește funcționarea și gestionarea internă, dar și pentru a accelera digitalizarea procedurilor; accentuează că Agenția trebuie să își continue eforturile </w:t>
      </w:r>
      <w:proofErr w:type="spellStart"/>
      <w:r w:rsidRPr="00CA5DB1">
        <w:t>proactive</w:t>
      </w:r>
      <w:proofErr w:type="spellEnd"/>
      <w:r w:rsidRPr="00CA5DB1">
        <w:t xml:space="preserve"> în această privință, pentru a evita apariția unui decalaj digital între agenții; atrage totuși atenția că trebuie luate toate măsurile de securitate necesare pentru a evita orice risc la adresa securității online a informațiilor prelucrate; insistă asupra necesității de a intensifica acțiunile împotriva atacurilor cibernetice sau a tentativelor de infiltrare, în special a celor care provin din Rusia sau China;</w:t>
      </w:r>
    </w:p>
    <w:p w:rsidR="002D43B7" w:rsidRPr="00CA5DB1" w:rsidRDefault="002D43B7" w:rsidP="002D43B7">
      <w:pPr>
        <w:pStyle w:val="NormalHanging12a"/>
      </w:pPr>
      <w:r w:rsidRPr="00CA5DB1">
        <w:lastRenderedPageBreak/>
        <w:t>17.</w:t>
      </w:r>
      <w:r w:rsidRPr="00CA5DB1">
        <w:tab/>
        <w:t xml:space="preserve">constată cu satisfacție că Agenția cooperează cu alte agenții, în special cu Centrul European de Prevenire și Control al Bolilor și cu Autoritatea Europeană pentru Siguranța Alimentară, inclusiv pe portalul european de informații despre vaccinare, pentru a monitoriza siguranța vaccinurilor și a raporta efectele secundare, precum și în ceea ce privește consumul de </w:t>
      </w:r>
      <w:proofErr w:type="spellStart"/>
      <w:r w:rsidRPr="00CA5DB1">
        <w:t>antimicrobiene</w:t>
      </w:r>
      <w:proofErr w:type="spellEnd"/>
      <w:r w:rsidRPr="00CA5DB1">
        <w:t xml:space="preserve"> și rezistența la acestea;</w:t>
      </w:r>
    </w:p>
    <w:p w:rsidR="002D43B7" w:rsidRPr="00CA5DB1" w:rsidRDefault="002D43B7" w:rsidP="002D43B7">
      <w:pPr>
        <w:pStyle w:val="NormalHanging12a"/>
      </w:pPr>
      <w:r w:rsidRPr="00CA5DB1">
        <w:t>18.</w:t>
      </w:r>
      <w:r w:rsidRPr="00CA5DB1">
        <w:tab/>
        <w:t>invită Agenția să continue să promoveze cooperarea cu alte agenții ale Uniunii și organizații internaționale, precum și să încurajeze dialogul cu părțile interesate și cu cetățenii;</w:t>
      </w:r>
    </w:p>
    <w:p w:rsidR="002D43B7" w:rsidRPr="00CA5DB1" w:rsidRDefault="002D43B7" w:rsidP="002D43B7">
      <w:pPr>
        <w:pStyle w:val="Normal12Hanging"/>
        <w:widowControl/>
        <w:rPr>
          <w:b/>
          <w:i/>
          <w:szCs w:val="24"/>
        </w:rPr>
      </w:pPr>
      <w:r w:rsidRPr="00CA5DB1">
        <w:rPr>
          <w:b/>
          <w:i/>
        </w:rPr>
        <w:t>Politica de personal</w:t>
      </w:r>
    </w:p>
    <w:p w:rsidR="002D43B7" w:rsidRPr="00CA5DB1" w:rsidRDefault="002D43B7" w:rsidP="002D43B7">
      <w:pPr>
        <w:pStyle w:val="Normal12Hanging"/>
        <w:widowControl/>
        <w:rPr>
          <w:szCs w:val="24"/>
        </w:rPr>
      </w:pPr>
      <w:r w:rsidRPr="00CA5DB1">
        <w:t>19.</w:t>
      </w:r>
      <w:r w:rsidRPr="00CA5DB1">
        <w:tab/>
        <w:t>constată că, la 31 decembrie 2022, schema de personal era completată în proporție de 99,39 %, fiind ocupate 658 de posturi de agenți temporari, din cele 662 de posturi de agenți temporari autorizate în bugetul Uniunii (față de 657 de posturi autorizate în 2021); constată că, în 2022, pentru Agenție au lucrat și 192 de agenți contractuali, 25 de experți naționali detașați și 114 angajați interimari;</w:t>
      </w:r>
    </w:p>
    <w:p w:rsidR="002D43B7" w:rsidRPr="00CA5DB1" w:rsidRDefault="002D43B7" w:rsidP="002D43B7">
      <w:pPr>
        <w:pStyle w:val="NormalHanging12a"/>
      </w:pPr>
      <w:r w:rsidRPr="00CA5DB1">
        <w:t>20.</w:t>
      </w:r>
      <w:r w:rsidRPr="00CA5DB1">
        <w:tab/>
        <w:t>regretă lipsa echilibrului de gen în Consiliul de administrație al Agenției, 36 din 67 de membri (54 %) fiind bărbați, în timp ce la nivelul întregului personal, 568 din 865 de angajați (66 %) sunt femei; regretă, de asemenea, că, în posturile de conducere de nivel superior, 17 din 27 (63 %) sunt bărbați; este ferm convins că echilibrul de gen în cadrul personalului de conducere de nivel superior și mediu al Agenției și în cel administrativ trebuie îmbunătățit într-un ritm mai rapid;</w:t>
      </w:r>
    </w:p>
    <w:p w:rsidR="002D43B7" w:rsidRPr="00CA5DB1" w:rsidRDefault="002D43B7" w:rsidP="002D43B7">
      <w:pPr>
        <w:pStyle w:val="NormalHanging12a"/>
      </w:pPr>
      <w:r w:rsidRPr="00CA5DB1">
        <w:t>21.</w:t>
      </w:r>
      <w:r w:rsidRPr="00CA5DB1">
        <w:tab/>
        <w:t>își exprimă îngrijorarea cu privire la echilibrul geografic în cadrul conducerii de nivel superior și mediu al Agenției, unde un singur membru al personalului de conducere provine din Europa Centrală și de Est; insistă că trebuie să se facă îmbunătățiri; invită Agenția să informeze autoritatea care acordă descărcarea de gestiune cu privire la acest lucru;</w:t>
      </w:r>
    </w:p>
    <w:p w:rsidR="002D43B7" w:rsidRPr="00CA5DB1" w:rsidRDefault="002D43B7" w:rsidP="002D43B7">
      <w:pPr>
        <w:pStyle w:val="NormalHanging12a"/>
      </w:pPr>
      <w:r w:rsidRPr="00CA5DB1">
        <w:t>22.</w:t>
      </w:r>
      <w:r w:rsidRPr="00CA5DB1">
        <w:tab/>
        <w:t>reamintește că este important să se asigure echilibrul de gen și recunoaște în acest sens că Agenția pune în aplicare diverse inițiative pentru a micșora diferența între numărul de bărbați și de femei în posturile de conducere de nivel superior, inclusiv un program de dezvoltare managerială, oportunități de mobilitate internă și crearea unor comunități de management pentru a încuraja și a sprijini personalul de sex feminin; ia act de faptul că creează o rezervă de șefi de birou/serviciu, cu o creștere progresivă a numărului de femei în funcții de conducere; constată, de asemenea, că pensionarea bărbaților care ocupă posturi-cheie de conducere oferă oportunități de recrutare pentru femei, completată de o strategie consolidată de creare a unei identități corporative, de marketing specific pentru recrutare, de înființarea Grupului de lucru pentru diversitate și incluziune și de aprobarea Cartei privind diversitatea și incluziunea în martie 2022;</w:t>
      </w:r>
    </w:p>
    <w:p w:rsidR="002D43B7" w:rsidRPr="00CA5DB1" w:rsidRDefault="002D43B7" w:rsidP="002D43B7">
      <w:pPr>
        <w:pStyle w:val="NormalHanging12a"/>
      </w:pPr>
      <w:r w:rsidRPr="00CA5DB1">
        <w:t>23.</w:t>
      </w:r>
      <w:r w:rsidRPr="00CA5DB1">
        <w:tab/>
        <w:t>constată că, în 2022, numărul de ore suplimentare declarate de 72 463 a fost cu 30 % mai mic decât cel raportat în 2021, 102 912 ore; constată, de asemenea, că media orelor suplimentare în 2022 a fost de 4,3 %, față de 6,3 % raportată în 2021, ceea ce este aproape de media de 4,0 % înregistrată în perioada 2016-2019; subliniază importanța unui bun echilibru între viața profesională și cea privată, a unui program de lucru flexibil, a muncii de la distanță și a dreptului de a se deconecta, în legătură cu îmbunătățirea stării de bine a personalului;</w:t>
      </w:r>
    </w:p>
    <w:p w:rsidR="002D43B7" w:rsidRPr="00CA5DB1" w:rsidRDefault="002D43B7" w:rsidP="002D43B7">
      <w:pPr>
        <w:widowControl/>
        <w:spacing w:after="240"/>
        <w:ind w:left="567" w:hanging="567"/>
        <w:rPr>
          <w:szCs w:val="24"/>
        </w:rPr>
      </w:pPr>
      <w:r w:rsidRPr="00CA5DB1">
        <w:lastRenderedPageBreak/>
        <w:t>24.</w:t>
      </w:r>
      <w:r w:rsidRPr="00CA5DB1">
        <w:tab/>
        <w:t>salută faptul că, în 2022, Agenția a efectuat un sondaj cuprinzător privind starea de bine, iar recomandările rezultate au fost integrate în strategia de resurse umane a Agenției pentru perioada 2023-2025;</w:t>
      </w:r>
    </w:p>
    <w:p w:rsidR="002D43B7" w:rsidRPr="00CA5DB1" w:rsidRDefault="002D43B7" w:rsidP="002D43B7">
      <w:pPr>
        <w:pStyle w:val="NormalHanging12a"/>
      </w:pPr>
      <w:r w:rsidRPr="00CA5DB1">
        <w:t>25.</w:t>
      </w:r>
      <w:r w:rsidRPr="00CA5DB1">
        <w:tab/>
        <w:t>constată că Agenția are o politică de protecție a demnității persoanei și de împiedicare a hărțuirii psihologice și sexuale și că Agenția face parte din grupul operativ de consilieri confidențiali existent la nivelul agențiilor; așteaptă cu interes să primească raportul și recomandările acestora; ia act de faptul că nu au fost comunicate cazuri de hărțuire în 2022 și încurajează Agenția să continue și să dezvolte activitatea de împiedicare a cazurilor și în viitor;</w:t>
      </w:r>
    </w:p>
    <w:p w:rsidR="002D43B7" w:rsidRPr="00CA5DB1" w:rsidRDefault="002D43B7" w:rsidP="002D43B7">
      <w:pPr>
        <w:pStyle w:val="NormalHanging12a"/>
        <w:rPr>
          <w:b/>
          <w:i/>
        </w:rPr>
      </w:pPr>
      <w:r w:rsidRPr="00CA5DB1">
        <w:rPr>
          <w:b/>
          <w:i/>
        </w:rPr>
        <w:t>Prevenirea și gestionarea conflictelor de interese și transparența</w:t>
      </w:r>
    </w:p>
    <w:p w:rsidR="002D43B7" w:rsidRPr="00CA5DB1" w:rsidRDefault="002D43B7" w:rsidP="002D43B7">
      <w:pPr>
        <w:pStyle w:val="NormalHanging12a"/>
      </w:pPr>
      <w:r w:rsidRPr="00CA5DB1">
        <w:t>26.</w:t>
      </w:r>
      <w:r w:rsidRPr="00CA5DB1">
        <w:tab/>
        <w:t>observă că, pentru a menține imparțialitatea și obiectivitatea operațiunilor Agenției, aceasta adaptează periodic sfera politicilor și procedurile de punere în aplicare în raport cu riscurile emergente care decurg din noile activități și/sau din interacțiunile cu noi categorii de părți interesate; ia act de faptul că, în 2022, ca urmare a noilor responsabilități ale Agenției în domeniul dispozitivelor medicale și al dispozitivelor medicale in vitro, precum și a responsabilităților sale din cadrul mandatului său extins, au fost revizuite politica privind conflictele de interese ale membrilor Consiliului de administrație, politica privind conflictele de interese ale experților și regulamentul de punere în aplicare privind tratarea intereselor declarate ale personalului și ale candidaților înainte de recrutare;</w:t>
      </w:r>
    </w:p>
    <w:p w:rsidR="002D43B7" w:rsidRPr="00CA5DB1" w:rsidRDefault="002D43B7" w:rsidP="002D43B7">
      <w:pPr>
        <w:pStyle w:val="NormalHanging12a"/>
      </w:pPr>
      <w:r w:rsidRPr="00CA5DB1">
        <w:t>27.</w:t>
      </w:r>
      <w:r w:rsidRPr="00CA5DB1">
        <w:tab/>
        <w:t>ia notă de faptul că Agenția are o procedură privind abuzul de încredere, care stabilește modul în care tratează declarațiile electronice ale intereselor completate incorect sau incomplet de experți și membrii comitetelor, precum și divulgarea de informații confidențiale; observă că procedura privind abuzul de încredere a fost revizuită în decembrie 2022; evidențiază că procedura revizuită privind abuzul de încredere prevede că aceasta se aplică și celorlalte organisme care au fost înființate în cadrul Agenției în temeiul mandatului extins (de exemplu, ETF și ambele grupuri de coordonare privind deficitele);</w:t>
      </w:r>
    </w:p>
    <w:p w:rsidR="002D43B7" w:rsidRPr="00CA5DB1" w:rsidRDefault="002D43B7" w:rsidP="002D43B7">
      <w:pPr>
        <w:pStyle w:val="NormalHanging12a"/>
      </w:pPr>
      <w:r w:rsidRPr="00CA5DB1">
        <w:t>28.</w:t>
      </w:r>
      <w:r w:rsidRPr="00CA5DB1">
        <w:tab/>
        <w:t>observă că, în 2022, au fost inițiate două proceduri de abuz de încredere în cazul unor experți; ia act de faptul că un caz a implicat un membru de comitet care nu a declarat un onorariu pentru o prelegere, ceea ce a condus la revizuirea declaraților și la o restricție de trei ani, iar al doilea caz a vizat un membru de comitet care a omis un interes al unei rude apropiate, ceea ce a condus la o restricție de 9 luni de participare la activitățile Agenției;</w:t>
      </w:r>
    </w:p>
    <w:p w:rsidR="002D43B7" w:rsidRPr="00CA5DB1" w:rsidRDefault="002D43B7" w:rsidP="002D43B7">
      <w:pPr>
        <w:pStyle w:val="NormalHanging12a"/>
      </w:pPr>
      <w:r w:rsidRPr="00CA5DB1">
        <w:t>29.</w:t>
      </w:r>
      <w:r w:rsidRPr="00CA5DB1">
        <w:tab/>
        <w:t>reliefează că, în 2022, s-au înregistrat 22 de cereri ale unor funcționari care au plecat din Agenție, solicitând permisiunea pentru ocupații după plecare, soldate cu diverse autorizații, inclusiv cazuri cu restricții și fără restricții; ia act de faptul că, din decembrie 2020, Agenția publică pe site-ul său deciziile privind membrii personalului din conducerea de nivel superior care pleacă din organizație, contribuind în mod semnificativ la transparența în gestionarea conflictelor de interese;</w:t>
      </w:r>
    </w:p>
    <w:p w:rsidR="002D43B7" w:rsidRPr="00CA5DB1" w:rsidRDefault="002D43B7" w:rsidP="002D43B7">
      <w:pPr>
        <w:pStyle w:val="NormalHanging12a"/>
      </w:pPr>
      <w:r w:rsidRPr="00CA5DB1">
        <w:t>30.</w:t>
      </w:r>
      <w:r w:rsidRPr="00CA5DB1">
        <w:tab/>
        <w:t xml:space="preserve">ia act cu satisfacție de faptul că raportul Serviciului de Audit Intern al Comisiei, care a fost publicat în 2022 și s-a axat pe chestiuni legate de resursele umane, a confirmat soliditatea sistemului existent, bazat pe un grad foarte ridicat de conștientizare de către personal a riscurilor implicate și pe maturitatea controalelor interne pentru a gestiona </w:t>
      </w:r>
      <w:r w:rsidRPr="00CA5DB1">
        <w:lastRenderedPageBreak/>
        <w:t>potențialele conflicte de interese;</w:t>
      </w:r>
    </w:p>
    <w:p w:rsidR="002D43B7" w:rsidRPr="00CA5DB1" w:rsidRDefault="002D43B7" w:rsidP="002D43B7">
      <w:pPr>
        <w:pStyle w:val="NormalHanging12a"/>
      </w:pPr>
      <w:r w:rsidRPr="00CA5DB1">
        <w:t>31.</w:t>
      </w:r>
      <w:r w:rsidRPr="00CA5DB1">
        <w:tab/>
        <w:t>observă că, în calitate de organism tehnic și științific al Uniunii, Agenția nu dialoghează și nu se întâlnește în mod oficial cu lobbiștii, însă Agenția dialoghează și se întâlnește cu părțile interesate în conformitate cu cadrele sale oficiale privind părțile interesate; constată, de asemenea, că reuniunile cu părțile interesate externe sunt publice, iar detaliile acestora sunt publicate pe pagina dedicată evenimentelor de pe site-ul Agenției;</w:t>
      </w:r>
    </w:p>
    <w:p w:rsidR="002D43B7" w:rsidRPr="00CA5DB1" w:rsidRDefault="002D43B7" w:rsidP="002D43B7">
      <w:pPr>
        <w:pStyle w:val="NormalHanging12a"/>
      </w:pPr>
      <w:r w:rsidRPr="00CA5DB1">
        <w:t>32.</w:t>
      </w:r>
      <w:r w:rsidRPr="00CA5DB1">
        <w:tab/>
        <w:t>recunoaște gradul de vizibilitate la care a ajuns Agenția; este de părere că se poate ameliora vizibilitatea în mass-media, pe internet și pe rețelele sociale, pentru a informa cetățenii despre activitatea sa și despre pericolele pentru mediu;</w:t>
      </w:r>
    </w:p>
    <w:p w:rsidR="002D43B7" w:rsidRPr="00CA5DB1" w:rsidRDefault="002D43B7" w:rsidP="002D43B7">
      <w:pPr>
        <w:pStyle w:val="NormalHanging12a"/>
      </w:pPr>
      <w:r w:rsidRPr="00CA5DB1">
        <w:t>33.</w:t>
      </w:r>
      <w:r w:rsidRPr="00CA5DB1">
        <w:tab/>
        <w:t>ia act de faptul că, în 2022, Agenția a primit 676 de cereri de acces la documente, mai puține decât în 2019 (783 de cereri) sau 2021 (710 cereri) și a publicat 216 666 de pagini, mai multe comparativ cu cele 165 943 de pagini în 2021, dar considerabil mai puține decât cele 318 013 pagini în 2019; constată că Agenția aplică un mecanism de punere în așteptare pentru a gestiona prelucrarea cererilor de acces multiplu la documente din partea aceluiași solicitant, ceea ce reprezintă un obstacol în calea accesului prompt la documentele deținute de Agenție, descurajând solicitanții să introducă noi cereri; invită Agenția să furnizeze informații detaliate despre numărul de cereri de acces la documentele care rămân inactivate în coada de așteptare și despre timpul mediu petrecut în coada de așteptare înainte de a fi activate; cere să se lanseze o anchetă privind normele Agenției de prelucrare a cererilor de acces la documente, mecanismul de așteptare la coadă, evoluția cererilor în timp și efectele asupra solicitanților;</w:t>
      </w:r>
    </w:p>
    <w:p w:rsidR="002D43B7" w:rsidRPr="00CA5DB1" w:rsidRDefault="002D43B7" w:rsidP="002D43B7">
      <w:pPr>
        <w:pStyle w:val="NormalHanging12a"/>
      </w:pPr>
      <w:r w:rsidRPr="00CA5DB1">
        <w:t>34.</w:t>
      </w:r>
      <w:r w:rsidRPr="00CA5DB1">
        <w:tab/>
        <w:t>invită Comisia să se asigure că Agenția primește resurse adecvate pentru a îndeplini sarcinile care au fost atribuite Agenției prin adoptarea Regulamentului (UE) nr. 536/2014 și pentru a evita deficitul de personal care va afecta negativ politica de transparență a Agenției, inclusiv în ceea ce privește publicarea în timp util a datelor clinice, a proceselor-verbale ale reuniunilor și răspunsurile în timp util la cererile de acces la documente;</w:t>
      </w:r>
    </w:p>
    <w:p w:rsidR="002D43B7" w:rsidRPr="00CA5DB1" w:rsidRDefault="002D43B7" w:rsidP="002D43B7">
      <w:pPr>
        <w:pStyle w:val="Normal12Hanging"/>
        <w:widowControl/>
        <w:rPr>
          <w:szCs w:val="24"/>
          <w:u w:val="single"/>
        </w:rPr>
      </w:pPr>
      <w:r w:rsidRPr="00CA5DB1">
        <w:rPr>
          <w:b/>
          <w:i/>
        </w:rPr>
        <w:t>Controalele interne</w:t>
      </w:r>
    </w:p>
    <w:p w:rsidR="002D43B7" w:rsidRPr="00CA5DB1" w:rsidRDefault="002D43B7" w:rsidP="002D43B7">
      <w:pPr>
        <w:pStyle w:val="Normal12Hanging"/>
        <w:widowControl/>
        <w:rPr>
          <w:szCs w:val="24"/>
        </w:rPr>
      </w:pPr>
      <w:r w:rsidRPr="00CA5DB1">
        <w:t>35.</w:t>
      </w:r>
      <w:r w:rsidRPr="00CA5DB1">
        <w:tab/>
        <w:t>observă că a fost elaborat un chestionar pentru a evalua punerea în aplicare, funcționarea și îmbunătățirea celor 17 principii ale cadrului de control intern; ia act de faptul că managerii și personalul responsabil pentru principii sau elemente specifice au primit chestionarul și au fost realizate interviuri pentru clarificări suplimentare; constată, de asemenea, că concluzia generală este că sistemul de control intern este considerat eficace și eficient, componentele și principiile sale sunt, în general, aplicate și funcționează destul de bine, în timp ce unele principii ar putea beneficia de clarificări minore sau de informații suplimentare, sugerându-se adaptări și îmbunătățiri;</w:t>
      </w:r>
    </w:p>
    <w:p w:rsidR="002D43B7" w:rsidRPr="00CA5DB1" w:rsidRDefault="002D43B7" w:rsidP="002D43B7">
      <w:pPr>
        <w:pStyle w:val="Normal12Hanging"/>
        <w:widowControl/>
        <w:rPr>
          <w:szCs w:val="24"/>
        </w:rPr>
      </w:pPr>
      <w:r w:rsidRPr="00CA5DB1">
        <w:t>36.</w:t>
      </w:r>
      <w:r w:rsidRPr="00CA5DB1">
        <w:tab/>
        <w:t xml:space="preserve">atrage atenția asupra faptului că, în urma mutării sale în 2019, agenția a închiriat o clădire din Amsterdam, care a fost dotată și mobilată complet grație sistemului de stimulente acordate de guvernul olandez, în valoare de 15 milioane EUR, care a inclus și donarea de mobilier și de echipamente de </w:t>
      </w:r>
      <w:proofErr w:type="spellStart"/>
      <w:r w:rsidRPr="00CA5DB1">
        <w:t>catering</w:t>
      </w:r>
      <w:proofErr w:type="spellEnd"/>
      <w:r w:rsidRPr="00CA5DB1">
        <w:t xml:space="preserve">; observă că Curtea a constatat că Agenția nu repertoriase în mod clar (de exemplu, prin etichete cu coduri de bare) unele dintre activele respective, în principal mobilierul; subliniază că Curtea a observat, de asemenea, că patru inventare pe care le efectuase Agenția de când s-a mutat au pus în </w:t>
      </w:r>
      <w:r w:rsidRPr="00CA5DB1">
        <w:lastRenderedPageBreak/>
        <w:t>evidență în mod repetat discrepanțe (care, cu timpul, au scăzut de la 534 331 EUR la 15 000 EUR) între lista activelor donate de guvernul olandez, registrul activelor Agenției și activele care se regăseau la sediu; reliefează că lipsa unui inventar complet și actualizat care să specifice amplasamentul activelor corporale contravine articolului 87 din Regulamentul financiar și afectează capacitatea Agenției de a asigura că activele sale sunt protejate; salută faptul că, în vederea îmbunătățirii continue a proceselor sale, Agenția va publica un ghid intern actualizat pentru gestionarea inventarului activelor sale, va adopta o abordare bazată pe riscuri în ceea ce privește etichetarea mobilierului și va publica un plan de controale fizice în serie pentru a confirma în mod continuu precizia inventarului;</w:t>
      </w:r>
    </w:p>
    <w:p w:rsidR="002D43B7" w:rsidRPr="00CA5DB1" w:rsidRDefault="002D43B7" w:rsidP="002D43B7">
      <w:pPr>
        <w:pStyle w:val="Normal12Hanging"/>
        <w:widowControl/>
        <w:rPr>
          <w:szCs w:val="24"/>
        </w:rPr>
      </w:pPr>
      <w:r w:rsidRPr="00CA5DB1">
        <w:t>37.</w:t>
      </w:r>
      <w:r w:rsidRPr="00CA5DB1">
        <w:tab/>
        <w:t>ia act de observația din raportul Curții despre contribuția Agenției la anumite tipuri de costuri pentru îngrijirea copiilor personalului, cum ar fi îngrijirea înainte de școală și după școală în Țările de Jos; observă că, în ceea ce privește mesele de la școală, Curtea a constatat că Agenția nu a fost în măsură să furnizeze dovezi complete despre controalele efectuate pentru a se asigura excluderea costurilor aferente acestor mese, ridicându-se astfel dubii că aceste controale au fost realizate în mod sistematic; constată, pe baza răspunsului Agenției, că costurile meselor sunt excluse din taxele de școlarizare, iar Agenția va prezenta dovezi că cheltuielile cu mesele în școli sunt excluse din calculul contribuției;</w:t>
      </w:r>
    </w:p>
    <w:p w:rsidR="002D43B7" w:rsidRPr="00CA5DB1" w:rsidRDefault="002D43B7" w:rsidP="002D43B7">
      <w:pPr>
        <w:pStyle w:val="Normal12Hanging"/>
        <w:widowControl/>
        <w:rPr>
          <w:szCs w:val="24"/>
        </w:rPr>
      </w:pPr>
      <w:r w:rsidRPr="00CA5DB1">
        <w:t>38.</w:t>
      </w:r>
      <w:r w:rsidRPr="00CA5DB1">
        <w:tab/>
        <w:t>ia act de rezultatul activităților desfășurate de structura de audit intern a Agenției, care a formulat, în 2022, 6 recomandări critice și 19 recomandări foarte importante; invită Agenția să dea curs celor 14 recomandări principale pentru care trebuia implementat un plan de acțiuni de îmbunătățire începând cu 31 decembrie 2022 și solicită Agenției să informeze autoritatea care acordă descărcarea de gestiune despre evoluția situației în acest sens;</w:t>
      </w:r>
    </w:p>
    <w:p w:rsidR="002D43B7" w:rsidRPr="00CA5DB1" w:rsidRDefault="002D43B7" w:rsidP="002D43B7">
      <w:pPr>
        <w:pStyle w:val="Normal12Hanging"/>
        <w:widowControl/>
        <w:rPr>
          <w:szCs w:val="24"/>
        </w:rPr>
      </w:pPr>
      <w:r w:rsidRPr="00CA5DB1">
        <w:rPr>
          <w:b/>
          <w:i/>
        </w:rPr>
        <w:t>Alte observații</w:t>
      </w:r>
    </w:p>
    <w:p w:rsidR="002D43B7" w:rsidRPr="00CA5DB1" w:rsidRDefault="002D43B7" w:rsidP="002D43B7">
      <w:pPr>
        <w:pStyle w:val="NormalHanging12a"/>
        <w:widowControl/>
        <w:rPr>
          <w:szCs w:val="24"/>
        </w:rPr>
      </w:pPr>
      <w:r w:rsidRPr="00CA5DB1">
        <w:t>39.</w:t>
      </w:r>
      <w:r w:rsidRPr="00CA5DB1">
        <w:tab/>
        <w:t>salută faptul că Agenția și-a aliniat obiectivele climatice pe termen lung la obiectivul prevăzut în Regulamentul (UE) 2021/1119</w:t>
      </w:r>
      <w:r w:rsidRPr="00CA5DB1">
        <w:rPr>
          <w:rStyle w:val="FootnoteReference"/>
          <w:szCs w:val="24"/>
        </w:rPr>
        <w:footnoteReference w:id="15"/>
      </w:r>
      <w:r w:rsidRPr="00CA5DB1">
        <w:t xml:space="preserve"> de reducere netă cu 55 % a emisiilor de gaze cu efect de seră până în 2030 (comparativ cu nivelurile din 1990) și de realizare a neutralității climatice până în 2050; subliniază că, în ceea ce privește consumul de energie și apă, Agenția a transpus aceste obiective într-o reducere cu 15 % pe metru pătrat de spațiu de birouri, care trebuia obținută între 2012 și 2021; observă că acest obiectiv lua în considerare dezvoltarea Agenției în perioada respectivă, precum și faptul că aceasta s-a mutat într-o clădire mai mare, dar mai eficientă din punct de vedere energetic, ca urmare a schimbării sediului său de la Londra la Amsterdam; constată că obiectivul a fost depășit atât pentru energie, cât și pentru apă: Agenția a obținut o reducere cu 45 % a consumului de energie și cu 63 % a consumului de apă pe metru pătrat;</w:t>
      </w:r>
    </w:p>
    <w:p w:rsidR="002D43B7" w:rsidRPr="00CA5DB1" w:rsidRDefault="002D43B7" w:rsidP="002D43B7">
      <w:pPr>
        <w:pStyle w:val="NormalHanging12a"/>
        <w:widowControl/>
        <w:rPr>
          <w:szCs w:val="24"/>
        </w:rPr>
      </w:pPr>
      <w:r w:rsidRPr="00CA5DB1">
        <w:t>40.</w:t>
      </w:r>
      <w:r w:rsidRPr="00CA5DB1">
        <w:tab/>
        <w:t>ia act de faptul că Agenția se pregătește pentru certificarea sistemului de management de mediu și audit;</w:t>
      </w:r>
    </w:p>
    <w:p w:rsidR="002D43B7" w:rsidRPr="00CA5DB1" w:rsidRDefault="002D43B7" w:rsidP="002D43B7">
      <w:pPr>
        <w:pStyle w:val="NormalHanging12a"/>
        <w:widowControl/>
        <w:rPr>
          <w:szCs w:val="24"/>
        </w:rPr>
      </w:pPr>
      <w:r w:rsidRPr="00CA5DB1">
        <w:lastRenderedPageBreak/>
        <w:t>41.</w:t>
      </w:r>
      <w:r w:rsidRPr="00CA5DB1">
        <w:tab/>
        <w:t>salută faptul că, în 2022, pentru a spori securitatea cibernetică, Agenția a adoptat strategia de securitate a informațiilor și planul de punere în aplicare aferent, cu scopul de a consolida garanțiile și procedurile de securitate existente pentru a proteja activele informaționale ale Agenției și de a face față în același timp noilor dificultăți legate de activitatea și de tehnologiile sale; ia act de faptul că în 2022 au fost puse în aplicare și alte măsuri importante, inclusiv instituirea programului de formare și sensibilizare în materie de securitate și înființarea centrului de operațiuni de securitate, care vizează monitorizarea continuă și îmbunătățirea securității Agenției, prevenind, detectând, analizând și rezolvând incidentele de securitate cibernetică; constată, de asemenea, că Agenția a lucrat în strânsă colaborare cu Serviciul de securitate cibernetică pentru instituțiile, organele, oficiile și agențiile Uniunii și cu Agenția Uniunii Europene pentru Securitate Cibernetică, acoperind multe aspecte ale securității informațiilor și ale securității cibernetice, inclusiv discuții și actualizări periodice despre viitorul regulament privind securitatea cibernetică a instituțiilor, agențiilor și organelor Uniunii;</w:t>
      </w:r>
    </w:p>
    <w:p w:rsidR="002D43B7" w:rsidRPr="00CA5DB1" w:rsidRDefault="002D43B7" w:rsidP="002D43B7">
      <w:pPr>
        <w:pStyle w:val="NormalHanging12a"/>
        <w:widowControl/>
        <w:rPr>
          <w:szCs w:val="24"/>
        </w:rPr>
      </w:pPr>
      <w:r w:rsidRPr="00CA5DB1">
        <w:t>42.</w:t>
      </w:r>
      <w:r w:rsidRPr="00CA5DB1">
        <w:tab/>
        <w:t>felicită Agenția pentru că a publicat sfaturile inițiale pentru sponsori despre modul de gestionare a desfășurării studiilor clinice în contextul perturbărilor cauzate de invadarea Ucrainei de către Rusia;</w:t>
      </w:r>
    </w:p>
    <w:p w:rsidR="002D43B7" w:rsidRPr="00CA5DB1" w:rsidRDefault="002D43B7" w:rsidP="002D43B7">
      <w:pPr>
        <w:pStyle w:val="NormalCenter12a"/>
      </w:pPr>
      <w:r w:rsidRPr="00CA5DB1">
        <w:t>°</w:t>
      </w:r>
    </w:p>
    <w:p w:rsidR="002D43B7" w:rsidRPr="00CA5DB1" w:rsidRDefault="002D43B7" w:rsidP="002D43B7">
      <w:pPr>
        <w:pStyle w:val="NormalCenter12a"/>
      </w:pPr>
      <w:r w:rsidRPr="00CA5DB1">
        <w:t>°</w:t>
      </w:r>
      <w:r w:rsidRPr="00CA5DB1">
        <w:tab/>
        <w:t>°</w:t>
      </w:r>
    </w:p>
    <w:p w:rsidR="002D43B7" w:rsidRPr="00CA5DB1" w:rsidRDefault="002D43B7" w:rsidP="002D43B7">
      <w:pPr>
        <w:pStyle w:val="NormalHanging12a"/>
        <w:widowControl/>
      </w:pPr>
      <w:r w:rsidRPr="00CA5DB1">
        <w:t>43.</w:t>
      </w:r>
      <w:r w:rsidRPr="00CA5DB1">
        <w:tab/>
        <w:t xml:space="preserve">face trimitere, pentru alte observații cu caracter orizontal care însoțesc decizia sa privind descărcarea de gestiune, la rezoluția sa din </w:t>
      </w:r>
      <w:r w:rsidR="008A015E" w:rsidRPr="00CA5DB1">
        <w:t>11 aprilie 2024</w:t>
      </w:r>
      <w:r w:rsidRPr="00CA5DB1">
        <w:rPr>
          <w:vertAlign w:val="superscript"/>
        </w:rPr>
        <w:footnoteReference w:id="16"/>
      </w:r>
      <w:r w:rsidRPr="00CA5DB1">
        <w:t xml:space="preserve"> referitoare la performanțele, gestiunea financiară și controlul agențiilor.</w:t>
      </w:r>
    </w:p>
    <w:p w:rsidR="008A015E" w:rsidRPr="00CA5DB1" w:rsidRDefault="008A015E" w:rsidP="002D43B7">
      <w:pPr>
        <w:pStyle w:val="NormalHanging12a"/>
        <w:widowControl/>
      </w:pPr>
    </w:p>
    <w:sectPr w:rsidR="008A015E" w:rsidRPr="00CA5DB1" w:rsidSect="007A5C1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8D6" w:rsidRPr="007A5C1F" w:rsidRDefault="00CF58D6">
      <w:r w:rsidRPr="007A5C1F">
        <w:separator/>
      </w:r>
    </w:p>
  </w:endnote>
  <w:endnote w:type="continuationSeparator" w:id="0">
    <w:p w:rsidR="00CF58D6" w:rsidRPr="007A5C1F" w:rsidRDefault="00CF58D6">
      <w:r w:rsidRPr="007A5C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3B7" w:rsidRPr="007A5C1F" w:rsidRDefault="002D43B7" w:rsidP="00467D2D">
    <w:pPr>
      <w:pStyle w:val="EPFooter"/>
    </w:pPr>
    <w:r w:rsidRPr="007A5C1F">
      <w:t>PE</w:t>
    </w:r>
    <w:r w:rsidRPr="007A5C1F">
      <w:rPr>
        <w:rStyle w:val="HideTWBExt"/>
      </w:rPr>
      <w:t>&lt;</w:t>
    </w:r>
    <w:proofErr w:type="spellStart"/>
    <w:r w:rsidRPr="007A5C1F">
      <w:rPr>
        <w:rStyle w:val="HideTWBExt"/>
      </w:rPr>
      <w:t>NoPE</w:t>
    </w:r>
    <w:proofErr w:type="spellEnd"/>
    <w:r w:rsidRPr="007A5C1F">
      <w:rPr>
        <w:rStyle w:val="HideTWBExt"/>
      </w:rPr>
      <w:t>&gt;</w:t>
    </w:r>
    <w:r w:rsidRPr="007A5C1F">
      <w:t>753.524</w:t>
    </w:r>
    <w:r w:rsidRPr="007A5C1F">
      <w:rPr>
        <w:rStyle w:val="HideTWBExt"/>
      </w:rPr>
      <w:t>&lt;/</w:t>
    </w:r>
    <w:proofErr w:type="spellStart"/>
    <w:r w:rsidRPr="007A5C1F">
      <w:rPr>
        <w:rStyle w:val="HideTWBExt"/>
      </w:rPr>
      <w:t>NoPE</w:t>
    </w:r>
    <w:proofErr w:type="spellEnd"/>
    <w:r w:rsidRPr="007A5C1F">
      <w:rPr>
        <w:rStyle w:val="HideTWBExt"/>
      </w:rPr>
      <w:t>&gt;&lt;Version&gt;</w:t>
    </w:r>
    <w:r w:rsidRPr="007A5C1F">
      <w:t>v02-00</w:t>
    </w:r>
    <w:r w:rsidRPr="007A5C1F">
      <w:rPr>
        <w:rStyle w:val="HideTWBExt"/>
      </w:rPr>
      <w:t>&lt;/</w:t>
    </w:r>
    <w:proofErr w:type="spellStart"/>
    <w:r w:rsidRPr="007A5C1F">
      <w:rPr>
        <w:rStyle w:val="HideTWBExt"/>
      </w:rPr>
      <w:t>Version</w:t>
    </w:r>
    <w:proofErr w:type="spellEnd"/>
    <w:r w:rsidRPr="007A5C1F">
      <w:rPr>
        <w:rStyle w:val="HideTWBExt"/>
      </w:rPr>
      <w:t>&gt;</w:t>
    </w:r>
    <w:r w:rsidRPr="007A5C1F">
      <w:tab/>
    </w:r>
    <w:r w:rsidRPr="007A5C1F">
      <w:fldChar w:fldCharType="begin"/>
    </w:r>
    <w:r w:rsidRPr="007A5C1F">
      <w:instrText xml:space="preserve"> PAGE  \* MERGEFORMAT </w:instrText>
    </w:r>
    <w:r w:rsidRPr="007A5C1F">
      <w:fldChar w:fldCharType="separate"/>
    </w:r>
    <w:r w:rsidR="007A5C1F" w:rsidRPr="007A5C1F">
      <w:rPr>
        <w:noProof/>
      </w:rPr>
      <w:t>2</w:t>
    </w:r>
    <w:r w:rsidRPr="007A5C1F">
      <w:fldChar w:fldCharType="end"/>
    </w:r>
    <w:r w:rsidRPr="007A5C1F">
      <w:t>/</w:t>
    </w:r>
    <w:r w:rsidR="00CA5DB1">
      <w:fldChar w:fldCharType="begin"/>
    </w:r>
    <w:r w:rsidR="00CA5DB1">
      <w:instrText xml:space="preserve"> NUMPAGES  \* MERGEFORMAT </w:instrText>
    </w:r>
    <w:r w:rsidR="00CA5DB1">
      <w:fldChar w:fldCharType="separate"/>
    </w:r>
    <w:r w:rsidR="007A5C1F" w:rsidRPr="007A5C1F">
      <w:rPr>
        <w:noProof/>
      </w:rPr>
      <w:t>5</w:t>
    </w:r>
    <w:r w:rsidR="00CA5DB1">
      <w:rPr>
        <w:noProof/>
      </w:rPr>
      <w:fldChar w:fldCharType="end"/>
    </w:r>
    <w:r w:rsidRPr="007A5C1F">
      <w:tab/>
    </w:r>
    <w:r w:rsidRPr="007A5C1F">
      <w:rPr>
        <w:rStyle w:val="HideTWBExt"/>
      </w:rPr>
      <w:t>&lt;PathFdR&gt;</w:t>
    </w:r>
    <w:r w:rsidRPr="007A5C1F">
      <w:t>RR\1299241RO.docx</w:t>
    </w:r>
    <w:r w:rsidRPr="007A5C1F">
      <w:rPr>
        <w:rStyle w:val="HideTWBExt"/>
      </w:rPr>
      <w:t>&lt;/</w:t>
    </w:r>
    <w:proofErr w:type="spellStart"/>
    <w:r w:rsidRPr="007A5C1F">
      <w:rPr>
        <w:rStyle w:val="HideTWBExt"/>
      </w:rPr>
      <w:t>PathFdR</w:t>
    </w:r>
    <w:proofErr w:type="spellEnd"/>
    <w:r w:rsidRPr="007A5C1F">
      <w:rPr>
        <w:rStyle w:val="HideTWBExt"/>
      </w:rPr>
      <w:t>&gt;</w:t>
    </w:r>
  </w:p>
  <w:p w:rsidR="002D43B7" w:rsidRPr="007A5C1F" w:rsidRDefault="002D43B7" w:rsidP="00467D2D">
    <w:pPr>
      <w:pStyle w:val="EPFooter2"/>
    </w:pPr>
    <w:r w:rsidRPr="007A5C1F">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3B7" w:rsidRPr="007A5C1F" w:rsidRDefault="002D43B7" w:rsidP="00467D2D">
    <w:pPr>
      <w:pStyle w:val="EPFooter"/>
    </w:pPr>
    <w:r w:rsidRPr="007A5C1F">
      <w:rPr>
        <w:rStyle w:val="HideTWBExt"/>
      </w:rPr>
      <w:t>&lt;PathFdR&gt;</w:t>
    </w:r>
    <w:r w:rsidRPr="007A5C1F">
      <w:t>RR\1299241RO.docx</w:t>
    </w:r>
    <w:r w:rsidRPr="007A5C1F">
      <w:rPr>
        <w:rStyle w:val="HideTWBExt"/>
      </w:rPr>
      <w:t>&lt;/</w:t>
    </w:r>
    <w:proofErr w:type="spellStart"/>
    <w:r w:rsidRPr="007A5C1F">
      <w:rPr>
        <w:rStyle w:val="HideTWBExt"/>
      </w:rPr>
      <w:t>PathFdR</w:t>
    </w:r>
    <w:proofErr w:type="spellEnd"/>
    <w:r w:rsidRPr="007A5C1F">
      <w:rPr>
        <w:rStyle w:val="HideTWBExt"/>
      </w:rPr>
      <w:t>&gt;</w:t>
    </w:r>
    <w:r w:rsidRPr="007A5C1F">
      <w:tab/>
    </w:r>
    <w:r w:rsidRPr="007A5C1F">
      <w:tab/>
      <w:t>PE</w:t>
    </w:r>
    <w:r w:rsidRPr="007A5C1F">
      <w:rPr>
        <w:rStyle w:val="HideTWBExt"/>
      </w:rPr>
      <w:t>&lt;</w:t>
    </w:r>
    <w:proofErr w:type="spellStart"/>
    <w:r w:rsidRPr="007A5C1F">
      <w:rPr>
        <w:rStyle w:val="HideTWBExt"/>
      </w:rPr>
      <w:t>NoPE</w:t>
    </w:r>
    <w:proofErr w:type="spellEnd"/>
    <w:r w:rsidRPr="007A5C1F">
      <w:rPr>
        <w:rStyle w:val="HideTWBExt"/>
      </w:rPr>
      <w:t>&gt;</w:t>
    </w:r>
    <w:r w:rsidRPr="007A5C1F">
      <w:t>753.524</w:t>
    </w:r>
    <w:r w:rsidRPr="007A5C1F">
      <w:rPr>
        <w:rStyle w:val="HideTWBExt"/>
      </w:rPr>
      <w:t>&lt;/</w:t>
    </w:r>
    <w:proofErr w:type="spellStart"/>
    <w:r w:rsidRPr="007A5C1F">
      <w:rPr>
        <w:rStyle w:val="HideTWBExt"/>
      </w:rPr>
      <w:t>NoPE</w:t>
    </w:r>
    <w:proofErr w:type="spellEnd"/>
    <w:r w:rsidRPr="007A5C1F">
      <w:rPr>
        <w:rStyle w:val="HideTWBExt"/>
      </w:rPr>
      <w:t>&gt;&lt;Version&gt;</w:t>
    </w:r>
    <w:r w:rsidRPr="007A5C1F">
      <w:t>v02-00</w:t>
    </w:r>
    <w:r w:rsidRPr="007A5C1F">
      <w:rPr>
        <w:rStyle w:val="HideTWBExt"/>
      </w:rPr>
      <w:t>&lt;/</w:t>
    </w:r>
    <w:proofErr w:type="spellStart"/>
    <w:r w:rsidRPr="007A5C1F">
      <w:rPr>
        <w:rStyle w:val="HideTWBExt"/>
      </w:rPr>
      <w:t>Version</w:t>
    </w:r>
    <w:proofErr w:type="spellEnd"/>
    <w:r w:rsidRPr="007A5C1F">
      <w:rPr>
        <w:rStyle w:val="HideTWBExt"/>
      </w:rPr>
      <w:t>&gt;</w:t>
    </w:r>
  </w:p>
  <w:p w:rsidR="002D43B7" w:rsidRPr="007A5C1F" w:rsidRDefault="002D43B7" w:rsidP="00467D2D">
    <w:pPr>
      <w:pStyle w:val="EPFooter2"/>
    </w:pPr>
    <w:r w:rsidRPr="007A5C1F">
      <w:t>RO</w:t>
    </w:r>
    <w:r w:rsidRPr="007A5C1F">
      <w:tab/>
    </w:r>
    <w:r w:rsidRPr="007A5C1F">
      <w:rPr>
        <w:b w:val="0"/>
        <w:i/>
        <w:color w:val="C0C0C0"/>
        <w:sz w:val="22"/>
      </w:rPr>
      <w:t>Unită în diversitate</w:t>
    </w:r>
    <w:r w:rsidRPr="007A5C1F">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5C1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5C1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5C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8D6" w:rsidRPr="007A5C1F" w:rsidRDefault="00CF58D6">
      <w:r w:rsidRPr="007A5C1F">
        <w:separator/>
      </w:r>
    </w:p>
  </w:footnote>
  <w:footnote w:type="continuationSeparator" w:id="0">
    <w:p w:rsidR="00CF58D6" w:rsidRPr="007A5C1F" w:rsidRDefault="00CF58D6">
      <w:r w:rsidRPr="007A5C1F">
        <w:continuationSeparator/>
      </w:r>
    </w:p>
  </w:footnote>
  <w:footnote w:id="1">
    <w:p w:rsidR="002D43B7" w:rsidRPr="00CA5DB1" w:rsidRDefault="002D43B7" w:rsidP="007A5C1F">
      <w:pPr>
        <w:pStyle w:val="FootnoteText"/>
        <w:ind w:left="567" w:hanging="567"/>
        <w:rPr>
          <w:sz w:val="24"/>
          <w:lang w:val="ro-RO"/>
        </w:rPr>
      </w:pPr>
      <w:r w:rsidRPr="00CA5DB1">
        <w:rPr>
          <w:rStyle w:val="FootnoteReference"/>
          <w:sz w:val="24"/>
          <w:lang w:val="ro-RO"/>
        </w:rPr>
        <w:footnoteRef/>
      </w:r>
      <w:r w:rsidR="007A5C1F" w:rsidRPr="00CA5DB1">
        <w:rPr>
          <w:sz w:val="24"/>
          <w:lang w:val="ro-RO"/>
        </w:rPr>
        <w:t xml:space="preserve"> </w:t>
      </w:r>
      <w:r w:rsidR="007A5C1F" w:rsidRPr="00CA5DB1">
        <w:rPr>
          <w:sz w:val="24"/>
          <w:lang w:val="ro-RO"/>
        </w:rPr>
        <w:tab/>
      </w:r>
      <w:r w:rsidRPr="00CA5DB1">
        <w:rPr>
          <w:sz w:val="24"/>
          <w:lang w:val="ro-RO"/>
        </w:rPr>
        <w:t>JO C, C/2023/594, 27.10.2023.</w:t>
      </w:r>
    </w:p>
  </w:footnote>
  <w:footnote w:id="2">
    <w:p w:rsidR="002D43B7" w:rsidRPr="00CA5DB1" w:rsidRDefault="002D43B7" w:rsidP="007A5C1F">
      <w:pPr>
        <w:pStyle w:val="FootnoteText"/>
        <w:ind w:left="567" w:hanging="567"/>
        <w:rPr>
          <w:sz w:val="24"/>
          <w:lang w:val="ro-RO"/>
        </w:rPr>
      </w:pPr>
      <w:r w:rsidRPr="00CA5DB1">
        <w:rPr>
          <w:rStyle w:val="FootnoteReference"/>
          <w:sz w:val="24"/>
          <w:lang w:val="ro-RO"/>
        </w:rPr>
        <w:footnoteRef/>
      </w:r>
      <w:r w:rsidR="007A5C1F" w:rsidRPr="00CA5DB1">
        <w:rPr>
          <w:sz w:val="24"/>
          <w:lang w:val="ro-RO"/>
        </w:rPr>
        <w:t xml:space="preserve"> </w:t>
      </w:r>
      <w:r w:rsidR="007A5C1F" w:rsidRPr="00CA5DB1">
        <w:rPr>
          <w:sz w:val="24"/>
          <w:lang w:val="ro-RO"/>
        </w:rPr>
        <w:tab/>
      </w:r>
      <w:r w:rsidRPr="00CA5DB1">
        <w:rPr>
          <w:sz w:val="24"/>
          <w:lang w:val="ro-RO"/>
        </w:rPr>
        <w:t>JO C, C/2023/112, 12.10.2023.</w:t>
      </w:r>
    </w:p>
  </w:footnote>
  <w:footnote w:id="3">
    <w:p w:rsidR="002D43B7" w:rsidRPr="00CA5DB1" w:rsidRDefault="002D43B7" w:rsidP="007A5C1F">
      <w:pPr>
        <w:pStyle w:val="FootnoteText"/>
        <w:ind w:left="567" w:hanging="567"/>
        <w:rPr>
          <w:sz w:val="24"/>
          <w:lang w:val="ro-RO"/>
        </w:rPr>
      </w:pPr>
      <w:r w:rsidRPr="00CA5DB1">
        <w:rPr>
          <w:rStyle w:val="FootnoteReference"/>
          <w:sz w:val="24"/>
          <w:lang w:val="ro-RO"/>
        </w:rPr>
        <w:footnoteRef/>
      </w:r>
      <w:r w:rsidR="007A5C1F" w:rsidRPr="00CA5DB1">
        <w:rPr>
          <w:sz w:val="24"/>
          <w:lang w:val="ro-RO"/>
        </w:rPr>
        <w:t xml:space="preserve"> </w:t>
      </w:r>
      <w:r w:rsidR="007A5C1F" w:rsidRPr="00CA5DB1">
        <w:rPr>
          <w:sz w:val="24"/>
          <w:lang w:val="ro-RO"/>
        </w:rPr>
        <w:tab/>
      </w:r>
      <w:r w:rsidRPr="00CA5DB1">
        <w:rPr>
          <w:sz w:val="24"/>
          <w:lang w:val="ro-RO"/>
        </w:rPr>
        <w:t>JO L 193, 30.7.2018, p. 1.</w:t>
      </w:r>
    </w:p>
  </w:footnote>
  <w:footnote w:id="4">
    <w:p w:rsidR="002D43B7" w:rsidRPr="00CA5DB1" w:rsidRDefault="002D43B7" w:rsidP="007A5C1F">
      <w:pPr>
        <w:pStyle w:val="FootnoteText"/>
        <w:ind w:left="567" w:hanging="567"/>
        <w:rPr>
          <w:sz w:val="24"/>
          <w:lang w:val="ro-RO"/>
        </w:rPr>
      </w:pPr>
      <w:r w:rsidRPr="00CA5DB1">
        <w:rPr>
          <w:rStyle w:val="FootnoteReference"/>
          <w:sz w:val="24"/>
          <w:lang w:val="ro-RO"/>
        </w:rPr>
        <w:footnoteRef/>
      </w:r>
      <w:r w:rsidR="007A5C1F" w:rsidRPr="00CA5DB1">
        <w:rPr>
          <w:sz w:val="24"/>
          <w:lang w:val="ro-RO"/>
        </w:rPr>
        <w:t xml:space="preserve"> </w:t>
      </w:r>
      <w:r w:rsidR="007A5C1F" w:rsidRPr="00CA5DB1">
        <w:rPr>
          <w:sz w:val="24"/>
          <w:lang w:val="ro-RO"/>
        </w:rPr>
        <w:tab/>
      </w:r>
      <w:r w:rsidRPr="00CA5DB1">
        <w:rPr>
          <w:sz w:val="24"/>
          <w:lang w:val="ro-RO"/>
        </w:rPr>
        <w:t>JO L 136, 30.4.2004, p. 1.</w:t>
      </w:r>
    </w:p>
  </w:footnote>
  <w:footnote w:id="5">
    <w:p w:rsidR="002D43B7" w:rsidRPr="00CA5DB1" w:rsidRDefault="002D43B7" w:rsidP="007A5C1F">
      <w:pPr>
        <w:pStyle w:val="FootnoteText"/>
        <w:ind w:left="567" w:hanging="567"/>
        <w:rPr>
          <w:sz w:val="24"/>
          <w:szCs w:val="24"/>
          <w:lang w:val="ro-RO"/>
        </w:rPr>
      </w:pPr>
      <w:r w:rsidRPr="00CA5DB1">
        <w:rPr>
          <w:rStyle w:val="FootnoteReference"/>
          <w:sz w:val="24"/>
          <w:lang w:val="ro-RO"/>
        </w:rPr>
        <w:footnoteRef/>
      </w:r>
      <w:r w:rsidR="007A5C1F" w:rsidRPr="00CA5DB1">
        <w:rPr>
          <w:sz w:val="24"/>
          <w:lang w:val="ro-RO"/>
        </w:rPr>
        <w:t xml:space="preserve"> </w:t>
      </w:r>
      <w:r w:rsidR="007A5C1F" w:rsidRPr="00CA5DB1">
        <w:rPr>
          <w:sz w:val="24"/>
          <w:lang w:val="ro-RO"/>
        </w:rPr>
        <w:tab/>
      </w:r>
      <w:r w:rsidRPr="00CA5DB1">
        <w:rPr>
          <w:sz w:val="24"/>
          <w:lang w:val="ro-RO"/>
        </w:rPr>
        <w:t>JO L 122, 10.5.2019, p. 1.</w:t>
      </w:r>
    </w:p>
  </w:footnote>
  <w:footnote w:id="6">
    <w:p w:rsidR="002D43B7" w:rsidRPr="00CA5DB1" w:rsidRDefault="002D43B7" w:rsidP="007A5C1F">
      <w:pPr>
        <w:pStyle w:val="FootnoteText"/>
        <w:ind w:left="567" w:hanging="567"/>
        <w:rPr>
          <w:sz w:val="24"/>
          <w:lang w:val="ro-RO"/>
        </w:rPr>
      </w:pPr>
      <w:r w:rsidRPr="00CA5DB1">
        <w:rPr>
          <w:rStyle w:val="FootnoteReference"/>
          <w:sz w:val="24"/>
          <w:lang w:val="ro-RO"/>
        </w:rPr>
        <w:footnoteRef/>
      </w:r>
      <w:r w:rsidR="007A5C1F" w:rsidRPr="00CA5DB1">
        <w:rPr>
          <w:sz w:val="24"/>
          <w:lang w:val="ro-RO"/>
        </w:rPr>
        <w:t xml:space="preserve"> </w:t>
      </w:r>
      <w:r w:rsidR="007A5C1F" w:rsidRPr="00CA5DB1">
        <w:rPr>
          <w:sz w:val="24"/>
          <w:lang w:val="ro-RO"/>
        </w:rPr>
        <w:tab/>
      </w:r>
      <w:r w:rsidRPr="00CA5DB1">
        <w:rPr>
          <w:sz w:val="24"/>
          <w:lang w:val="ro-RO"/>
        </w:rPr>
        <w:t>JO C, C/2023/594, 27.10.2023.</w:t>
      </w:r>
    </w:p>
  </w:footnote>
  <w:footnote w:id="7">
    <w:p w:rsidR="002D43B7" w:rsidRPr="00CA5DB1" w:rsidRDefault="002D43B7" w:rsidP="007A5C1F">
      <w:pPr>
        <w:pStyle w:val="FootnoteText"/>
        <w:ind w:left="567" w:hanging="567"/>
        <w:rPr>
          <w:sz w:val="24"/>
          <w:lang w:val="ro-RO"/>
        </w:rPr>
      </w:pPr>
      <w:r w:rsidRPr="00CA5DB1">
        <w:rPr>
          <w:rStyle w:val="FootnoteReference"/>
          <w:sz w:val="24"/>
          <w:lang w:val="ro-RO"/>
        </w:rPr>
        <w:footnoteRef/>
      </w:r>
      <w:r w:rsidR="007A5C1F" w:rsidRPr="00CA5DB1">
        <w:rPr>
          <w:sz w:val="24"/>
          <w:lang w:val="ro-RO"/>
        </w:rPr>
        <w:t xml:space="preserve"> </w:t>
      </w:r>
      <w:r w:rsidR="007A5C1F" w:rsidRPr="00CA5DB1">
        <w:rPr>
          <w:sz w:val="24"/>
          <w:lang w:val="ro-RO"/>
        </w:rPr>
        <w:tab/>
      </w:r>
      <w:r w:rsidRPr="00CA5DB1">
        <w:rPr>
          <w:sz w:val="24"/>
          <w:lang w:val="ro-RO"/>
        </w:rPr>
        <w:t>JO C, C/2023/112, 12.10.2023.</w:t>
      </w:r>
    </w:p>
  </w:footnote>
  <w:footnote w:id="8">
    <w:p w:rsidR="002D43B7" w:rsidRPr="00CA5DB1" w:rsidRDefault="002D43B7" w:rsidP="007A5C1F">
      <w:pPr>
        <w:pStyle w:val="FootnoteText"/>
        <w:ind w:left="567" w:hanging="567"/>
        <w:rPr>
          <w:sz w:val="24"/>
          <w:lang w:val="ro-RO"/>
        </w:rPr>
      </w:pPr>
      <w:r w:rsidRPr="00CA5DB1">
        <w:rPr>
          <w:rStyle w:val="FootnoteReference"/>
          <w:sz w:val="24"/>
          <w:lang w:val="ro-RO"/>
        </w:rPr>
        <w:footnoteRef/>
      </w:r>
      <w:r w:rsidR="007A5C1F" w:rsidRPr="00CA5DB1">
        <w:rPr>
          <w:sz w:val="24"/>
          <w:lang w:val="ro-RO"/>
        </w:rPr>
        <w:t xml:space="preserve"> </w:t>
      </w:r>
      <w:r w:rsidR="007A5C1F" w:rsidRPr="00CA5DB1">
        <w:rPr>
          <w:sz w:val="24"/>
          <w:lang w:val="ro-RO"/>
        </w:rPr>
        <w:tab/>
      </w:r>
      <w:r w:rsidRPr="00CA5DB1">
        <w:rPr>
          <w:sz w:val="24"/>
          <w:lang w:val="ro-RO"/>
        </w:rPr>
        <w:t>JO L 193, 30.7.2018, p. 1.</w:t>
      </w:r>
    </w:p>
  </w:footnote>
  <w:footnote w:id="9">
    <w:p w:rsidR="002D43B7" w:rsidRPr="00CA5DB1" w:rsidRDefault="002D43B7" w:rsidP="007A5C1F">
      <w:pPr>
        <w:pStyle w:val="FootnoteText"/>
        <w:ind w:left="567" w:hanging="567"/>
        <w:rPr>
          <w:sz w:val="24"/>
          <w:lang w:val="ro-RO"/>
        </w:rPr>
      </w:pPr>
      <w:r w:rsidRPr="00CA5DB1">
        <w:rPr>
          <w:rStyle w:val="FootnoteReference"/>
          <w:sz w:val="24"/>
          <w:lang w:val="ro-RO"/>
        </w:rPr>
        <w:footnoteRef/>
      </w:r>
      <w:r w:rsidR="007A5C1F" w:rsidRPr="00CA5DB1">
        <w:rPr>
          <w:sz w:val="24"/>
          <w:lang w:val="ro-RO"/>
        </w:rPr>
        <w:t xml:space="preserve"> </w:t>
      </w:r>
      <w:r w:rsidR="007A5C1F" w:rsidRPr="00CA5DB1">
        <w:rPr>
          <w:sz w:val="24"/>
          <w:lang w:val="ro-RO"/>
        </w:rPr>
        <w:tab/>
      </w:r>
      <w:r w:rsidRPr="00CA5DB1">
        <w:rPr>
          <w:sz w:val="24"/>
          <w:lang w:val="ro-RO"/>
        </w:rPr>
        <w:t>JO L 136, 30.4.2004, p. 1.</w:t>
      </w:r>
    </w:p>
  </w:footnote>
  <w:footnote w:id="10">
    <w:p w:rsidR="002D43B7" w:rsidRPr="00CA5DB1" w:rsidRDefault="002D43B7" w:rsidP="007A5C1F">
      <w:pPr>
        <w:pStyle w:val="FootnoteText"/>
        <w:ind w:left="567" w:hanging="567"/>
        <w:rPr>
          <w:sz w:val="24"/>
          <w:szCs w:val="24"/>
          <w:lang w:val="ro-RO"/>
        </w:rPr>
      </w:pPr>
      <w:r w:rsidRPr="00CA5DB1">
        <w:rPr>
          <w:rStyle w:val="FootnoteReference"/>
          <w:sz w:val="24"/>
          <w:lang w:val="ro-RO"/>
        </w:rPr>
        <w:footnoteRef/>
      </w:r>
      <w:r w:rsidR="007A5C1F" w:rsidRPr="00CA5DB1">
        <w:rPr>
          <w:sz w:val="24"/>
          <w:lang w:val="ro-RO"/>
        </w:rPr>
        <w:t xml:space="preserve"> </w:t>
      </w:r>
      <w:r w:rsidR="007A5C1F" w:rsidRPr="00CA5DB1">
        <w:rPr>
          <w:sz w:val="24"/>
          <w:lang w:val="ro-RO"/>
        </w:rPr>
        <w:tab/>
      </w:r>
      <w:r w:rsidRPr="00CA5DB1">
        <w:rPr>
          <w:sz w:val="24"/>
          <w:lang w:val="ro-RO"/>
        </w:rPr>
        <w:t>JO L 122, 10.5.2019, p. 1.</w:t>
      </w:r>
    </w:p>
  </w:footnote>
  <w:footnote w:id="11">
    <w:p w:rsidR="002D43B7" w:rsidRPr="00CA5DB1" w:rsidRDefault="002D43B7" w:rsidP="007A5C1F">
      <w:pPr>
        <w:pStyle w:val="FootnoteText"/>
        <w:ind w:left="567" w:hanging="567"/>
        <w:rPr>
          <w:sz w:val="24"/>
          <w:lang w:val="ro-RO"/>
        </w:rPr>
      </w:pPr>
      <w:r w:rsidRPr="00CA5DB1">
        <w:rPr>
          <w:sz w:val="24"/>
          <w:vertAlign w:val="superscript"/>
          <w:lang w:val="ro-RO"/>
        </w:rPr>
        <w:footnoteRef/>
      </w:r>
      <w:r w:rsidR="007A5C1F" w:rsidRPr="00CA5DB1">
        <w:rPr>
          <w:sz w:val="24"/>
          <w:lang w:val="ro-RO"/>
        </w:rPr>
        <w:t xml:space="preserve"> </w:t>
      </w:r>
      <w:r w:rsidR="007A5C1F" w:rsidRPr="00CA5DB1">
        <w:rPr>
          <w:sz w:val="24"/>
          <w:lang w:val="ro-RO"/>
        </w:rPr>
        <w:tab/>
      </w:r>
      <w:r w:rsidRPr="00CA5DB1">
        <w:rPr>
          <w:sz w:val="24"/>
          <w:lang w:val="ro-RO"/>
        </w:rPr>
        <w:t>JO C 489, 22.12.2022, p. 7.</w:t>
      </w:r>
    </w:p>
  </w:footnote>
  <w:footnote w:id="12">
    <w:p w:rsidR="002D43B7" w:rsidRPr="00CA5DB1" w:rsidRDefault="002D43B7" w:rsidP="007A5C1F">
      <w:pPr>
        <w:pStyle w:val="FootnoteText"/>
        <w:ind w:left="567" w:hanging="567"/>
        <w:rPr>
          <w:sz w:val="24"/>
          <w:lang w:val="ro-RO"/>
        </w:rPr>
      </w:pPr>
      <w:r w:rsidRPr="00CA5DB1">
        <w:rPr>
          <w:rStyle w:val="FootnoteReference"/>
          <w:sz w:val="24"/>
          <w:lang w:val="ro-RO"/>
        </w:rPr>
        <w:footnoteRef/>
      </w:r>
      <w:r w:rsidR="007A5C1F" w:rsidRPr="00CA5DB1">
        <w:rPr>
          <w:sz w:val="24"/>
          <w:lang w:val="ro-RO"/>
        </w:rPr>
        <w:t xml:space="preserve"> </w:t>
      </w:r>
      <w:r w:rsidR="007A5C1F" w:rsidRPr="00CA5DB1">
        <w:rPr>
          <w:sz w:val="24"/>
          <w:lang w:val="ro-RO"/>
        </w:rPr>
        <w:tab/>
      </w:r>
      <w:r w:rsidRPr="00CA5DB1">
        <w:rPr>
          <w:sz w:val="24"/>
          <w:lang w:val="ro-RO"/>
        </w:rPr>
        <w:t>Regulamentul (UE) nr. 536/2014 al Parlamentului European și al Consiliului din 16 aprilie 2014 privind studiile clinice intervenționale cu medicamente de uz uman și de abrogare a Directivei 2001/20/CE (JO L 158, 27.5.2014, p. 1).</w:t>
      </w:r>
    </w:p>
  </w:footnote>
  <w:footnote w:id="13">
    <w:p w:rsidR="002D43B7" w:rsidRPr="00CA5DB1" w:rsidRDefault="002D43B7" w:rsidP="007A5C1F">
      <w:pPr>
        <w:pStyle w:val="FootnoteText"/>
        <w:ind w:left="567" w:hanging="567"/>
        <w:rPr>
          <w:sz w:val="24"/>
          <w:lang w:val="ro-RO"/>
        </w:rPr>
      </w:pPr>
      <w:r w:rsidRPr="00CA5DB1">
        <w:rPr>
          <w:rStyle w:val="FootnoteReference"/>
          <w:sz w:val="24"/>
          <w:lang w:val="ro-RO"/>
        </w:rPr>
        <w:footnoteRef/>
      </w:r>
      <w:r w:rsidR="007A5C1F" w:rsidRPr="00CA5DB1">
        <w:rPr>
          <w:sz w:val="24"/>
          <w:lang w:val="ro-RO"/>
        </w:rPr>
        <w:t xml:space="preserve"> </w:t>
      </w:r>
      <w:r w:rsidR="007A5C1F" w:rsidRPr="00CA5DB1">
        <w:rPr>
          <w:sz w:val="24"/>
          <w:lang w:val="ro-RO"/>
        </w:rPr>
        <w:tab/>
      </w:r>
      <w:r w:rsidRPr="00CA5DB1">
        <w:rPr>
          <w:sz w:val="24"/>
          <w:lang w:val="ro-RO"/>
        </w:rPr>
        <w:t>Regulamentul (UE) 2019/6 al Parlamentului European și al Consiliului din 11 decembrie 2018 privind produsele medicinale veterinare și de abrogare a Directivei 2001/82/CE (JO L 4, 7.1.2019, p. 43).</w:t>
      </w:r>
    </w:p>
  </w:footnote>
  <w:footnote w:id="14">
    <w:p w:rsidR="002D43B7" w:rsidRPr="00CA5DB1" w:rsidRDefault="002D43B7" w:rsidP="007A5C1F">
      <w:pPr>
        <w:pStyle w:val="FootnoteText"/>
        <w:ind w:left="567" w:hanging="567"/>
        <w:rPr>
          <w:sz w:val="24"/>
          <w:lang w:val="ro-RO"/>
        </w:rPr>
      </w:pPr>
      <w:r w:rsidRPr="00CA5DB1">
        <w:rPr>
          <w:rStyle w:val="FootnoteReference"/>
          <w:sz w:val="24"/>
          <w:lang w:val="ro-RO"/>
        </w:rPr>
        <w:footnoteRef/>
      </w:r>
      <w:r w:rsidR="007A5C1F" w:rsidRPr="00CA5DB1">
        <w:rPr>
          <w:sz w:val="24"/>
          <w:lang w:val="ro-RO"/>
        </w:rPr>
        <w:t xml:space="preserve"> </w:t>
      </w:r>
      <w:r w:rsidR="007A5C1F" w:rsidRPr="00CA5DB1">
        <w:rPr>
          <w:sz w:val="24"/>
          <w:lang w:val="ro-RO"/>
        </w:rPr>
        <w:tab/>
      </w:r>
      <w:r w:rsidRPr="00CA5DB1">
        <w:rPr>
          <w:sz w:val="24"/>
          <w:lang w:val="ro-RO"/>
        </w:rPr>
        <w:t>Regulamentul (UE) 2022/123 al Parlamentului European și al Consiliului din 25 ianuarie 2022 privind consolidarea rolului Agenției Europene pentru Medicamente în ceea ce privește pregătirea pentru situații de criză în domeniul medicamentelor și al dispozitivelor medicale și gestionarea acestora (JO L 20, 31.1.2022, p. 1).</w:t>
      </w:r>
    </w:p>
  </w:footnote>
  <w:footnote w:id="15">
    <w:p w:rsidR="002D43B7" w:rsidRPr="00CA5DB1" w:rsidRDefault="002D43B7" w:rsidP="007A5C1F">
      <w:pPr>
        <w:pStyle w:val="FootnoteText"/>
        <w:ind w:left="567" w:hanging="567"/>
        <w:rPr>
          <w:sz w:val="24"/>
          <w:szCs w:val="24"/>
          <w:lang w:val="ro-RO"/>
        </w:rPr>
      </w:pPr>
      <w:r w:rsidRPr="00CA5DB1">
        <w:rPr>
          <w:rStyle w:val="FootnoteReference"/>
          <w:sz w:val="24"/>
          <w:lang w:val="ro-RO"/>
        </w:rPr>
        <w:footnoteRef/>
      </w:r>
      <w:r w:rsidR="007A5C1F" w:rsidRPr="00CA5DB1">
        <w:rPr>
          <w:sz w:val="24"/>
          <w:lang w:val="ro-RO"/>
        </w:rPr>
        <w:t xml:space="preserve"> </w:t>
      </w:r>
      <w:r w:rsidR="007A5C1F" w:rsidRPr="00CA5DB1">
        <w:rPr>
          <w:sz w:val="24"/>
          <w:lang w:val="ro-RO"/>
        </w:rPr>
        <w:tab/>
      </w:r>
      <w:r w:rsidRPr="00CA5DB1">
        <w:rPr>
          <w:sz w:val="24"/>
          <w:lang w:val="ro-RO"/>
        </w:rPr>
        <w:t>Regulamentul (UE) 2021/1119 al Parlamentului European și al Consiliului din 30 iunie 2021 de instituire a cadrului pentru realizarea neutralității climatice și de modificare a Regulamentelor (CE) nr. 401/2009 și (UE) 2018/1999 („Legea europeană a climei”) (JO L 243, 9.7.2021, p. 1).</w:t>
      </w:r>
    </w:p>
  </w:footnote>
  <w:footnote w:id="16">
    <w:p w:rsidR="002D43B7" w:rsidRPr="007A5C1F" w:rsidRDefault="002D43B7" w:rsidP="007A5C1F">
      <w:pPr>
        <w:pStyle w:val="FootnoteText"/>
        <w:ind w:left="567" w:hanging="567"/>
        <w:rPr>
          <w:sz w:val="24"/>
          <w:lang w:val="ro-RO"/>
        </w:rPr>
      </w:pPr>
      <w:r w:rsidRPr="00CA5DB1">
        <w:rPr>
          <w:rStyle w:val="FootnoteReference"/>
          <w:sz w:val="24"/>
          <w:lang w:val="ro-RO"/>
        </w:rPr>
        <w:footnoteRef/>
      </w:r>
      <w:r w:rsidR="007A5C1F" w:rsidRPr="00CA5DB1">
        <w:rPr>
          <w:sz w:val="24"/>
          <w:lang w:val="ro-RO"/>
        </w:rPr>
        <w:t xml:space="preserve"> </w:t>
      </w:r>
      <w:r w:rsidR="007A5C1F" w:rsidRPr="00CA5DB1">
        <w:rPr>
          <w:sz w:val="24"/>
          <w:lang w:val="ro-RO"/>
        </w:rPr>
        <w:tab/>
      </w:r>
      <w:r w:rsidRPr="00CA5DB1">
        <w:rPr>
          <w:sz w:val="24"/>
          <w:lang w:val="ro-RO"/>
        </w:rPr>
        <w:t>Texte adoptate, P9_TA(2024)</w:t>
      </w:r>
      <w:r w:rsidR="00CA5DB1" w:rsidRPr="00CA5DB1">
        <w:rPr>
          <w:sz w:val="24"/>
          <w:lang w:val="ro-RO"/>
        </w:rPr>
        <w:t>0</w:t>
      </w:r>
      <w:r w:rsidR="00CA5DB1" w:rsidRPr="00CA5DB1">
        <w:rPr>
          <w:sz w:val="24"/>
          <w:lang w:val="ro-RO"/>
        </w:rPr>
        <w:t>280</w:t>
      </w:r>
      <w:r w:rsidRPr="00CA5DB1">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5C1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5C1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A5C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3/2024"/>
    <w:docVar w:name="dvlangue" w:val="RO"/>
    <w:docVar w:name="dvnumam" w:val="0"/>
    <w:docVar w:name="dvpe" w:val="753.524"/>
    <w:docVar w:name="dvrapporteur" w:val="Raportor: "/>
    <w:docVar w:name="dvtitre" w:val="1. Decizia Parlamentului European din 11 aprilie 2024 privind descărcarea de gestiune pentru execuția bugetului Agenției Europene pentru Medicamente aferent exercițiului financiar 2022(2023/2156(DEC))"/>
  </w:docVars>
  <w:rsids>
    <w:rsidRoot w:val="00CF58D6"/>
    <w:rsid w:val="00002272"/>
    <w:rsid w:val="00064002"/>
    <w:rsid w:val="000677B9"/>
    <w:rsid w:val="000831BA"/>
    <w:rsid w:val="000A42CC"/>
    <w:rsid w:val="000E7DD9"/>
    <w:rsid w:val="0010095E"/>
    <w:rsid w:val="00125B37"/>
    <w:rsid w:val="00187494"/>
    <w:rsid w:val="001F32AE"/>
    <w:rsid w:val="002767FF"/>
    <w:rsid w:val="002B18FE"/>
    <w:rsid w:val="002B5493"/>
    <w:rsid w:val="002D43B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4CA8"/>
    <w:rsid w:val="00731ADD"/>
    <w:rsid w:val="00734777"/>
    <w:rsid w:val="00747932"/>
    <w:rsid w:val="00751A4A"/>
    <w:rsid w:val="00756632"/>
    <w:rsid w:val="00762C74"/>
    <w:rsid w:val="00786EC0"/>
    <w:rsid w:val="007A5C1F"/>
    <w:rsid w:val="007D1690"/>
    <w:rsid w:val="007E22AD"/>
    <w:rsid w:val="00817416"/>
    <w:rsid w:val="00842779"/>
    <w:rsid w:val="00852558"/>
    <w:rsid w:val="00865F67"/>
    <w:rsid w:val="00881A7B"/>
    <w:rsid w:val="008840E5"/>
    <w:rsid w:val="00887B3E"/>
    <w:rsid w:val="008A015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5DB1"/>
    <w:rsid w:val="00CC2357"/>
    <w:rsid w:val="00CF071A"/>
    <w:rsid w:val="00CF58D6"/>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341B23"/>
  <w15:chartTrackingRefBased/>
  <w15:docId w15:val="{67DF8EB6-A12B-431C-BA6A-560CF6D75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D43B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D43B7"/>
    <w:pPr>
      <w:spacing w:before="480" w:after="240"/>
    </w:pPr>
  </w:style>
  <w:style w:type="paragraph" w:customStyle="1" w:styleId="PageHeading">
    <w:name w:val="PageHeading"/>
    <w:basedOn w:val="Normal"/>
    <w:rsid w:val="002D43B7"/>
    <w:pPr>
      <w:keepNext/>
      <w:spacing w:after="480"/>
      <w:jc w:val="center"/>
    </w:pPr>
    <w:rPr>
      <w:rFonts w:ascii="Arial" w:hAnsi="Arial" w:cs="Arial"/>
      <w:b/>
    </w:rPr>
  </w:style>
  <w:style w:type="paragraph" w:customStyle="1" w:styleId="NormalBold">
    <w:name w:val="NormalBold"/>
    <w:basedOn w:val="Normal"/>
    <w:rsid w:val="002D43B7"/>
    <w:rPr>
      <w:b/>
    </w:rPr>
  </w:style>
  <w:style w:type="paragraph" w:customStyle="1" w:styleId="NormalHanging12a">
    <w:name w:val="NormalHanging12a"/>
    <w:basedOn w:val="Normal"/>
    <w:link w:val="NormalHanging12aChar"/>
    <w:rsid w:val="002D43B7"/>
    <w:pPr>
      <w:spacing w:after="240"/>
      <w:ind w:left="567" w:hanging="567"/>
    </w:pPr>
  </w:style>
  <w:style w:type="paragraph" w:customStyle="1" w:styleId="NormalCenter12a">
    <w:name w:val="NormalCenter12a"/>
    <w:basedOn w:val="Normal"/>
    <w:rsid w:val="002D43B7"/>
    <w:pPr>
      <w:spacing w:after="240"/>
      <w:jc w:val="center"/>
    </w:pPr>
  </w:style>
  <w:style w:type="paragraph" w:styleId="Header">
    <w:name w:val="header"/>
    <w:basedOn w:val="Normal"/>
    <w:link w:val="HeaderChar"/>
    <w:rsid w:val="002D43B7"/>
    <w:pPr>
      <w:tabs>
        <w:tab w:val="center" w:pos="4513"/>
        <w:tab w:val="right" w:pos="9026"/>
      </w:tabs>
    </w:pPr>
  </w:style>
  <w:style w:type="character" w:customStyle="1" w:styleId="HeaderChar">
    <w:name w:val="Header Char"/>
    <w:basedOn w:val="DefaultParagraphFont"/>
    <w:link w:val="Header"/>
    <w:rsid w:val="002D43B7"/>
    <w:rPr>
      <w:sz w:val="24"/>
      <w:lang w:val="ro-RO"/>
    </w:rPr>
  </w:style>
  <w:style w:type="paragraph" w:customStyle="1" w:styleId="EPFooter">
    <w:name w:val="EPFooter"/>
    <w:basedOn w:val="Normal"/>
    <w:rsid w:val="002D43B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2D43B7"/>
    <w:rPr>
      <w:sz w:val="24"/>
      <w:lang w:val="ro-RO"/>
    </w:rPr>
  </w:style>
  <w:style w:type="paragraph" w:customStyle="1" w:styleId="Normal12Hanging">
    <w:name w:val="Normal12Hanging"/>
    <w:basedOn w:val="Normal"/>
    <w:rsid w:val="002D43B7"/>
    <w:pPr>
      <w:spacing w:after="240"/>
      <w:ind w:left="567" w:hanging="567"/>
    </w:pPr>
  </w:style>
  <w:style w:type="paragraph" w:customStyle="1" w:styleId="Normal24a">
    <w:name w:val="Normal24a"/>
    <w:basedOn w:val="Normal"/>
    <w:rsid w:val="002D43B7"/>
    <w:pPr>
      <w:spacing w:after="480"/>
    </w:pPr>
  </w:style>
  <w:style w:type="paragraph" w:customStyle="1" w:styleId="NormalBoldCenter">
    <w:name w:val="NormalBoldCenter"/>
    <w:basedOn w:val="Normal"/>
    <w:rsid w:val="002D43B7"/>
    <w:pPr>
      <w:jc w:val="center"/>
    </w:pPr>
    <w:rPr>
      <w:b/>
    </w:rPr>
  </w:style>
  <w:style w:type="paragraph" w:customStyle="1" w:styleId="Normal12a">
    <w:name w:val="Normal12a"/>
    <w:basedOn w:val="Normal"/>
    <w:rsid w:val="002D43B7"/>
    <w:pPr>
      <w:spacing w:after="240"/>
    </w:pPr>
  </w:style>
  <w:style w:type="paragraph" w:customStyle="1" w:styleId="PageHeadingNotTOC">
    <w:name w:val="PageHeadingNotTOC"/>
    <w:basedOn w:val="Normal"/>
    <w:rsid w:val="002D43B7"/>
    <w:pPr>
      <w:keepNext/>
      <w:spacing w:after="480"/>
      <w:jc w:val="center"/>
    </w:pPr>
    <w:rPr>
      <w:rFonts w:ascii="Arial" w:hAnsi="Arial" w:cs="Arial"/>
      <w:b/>
    </w:rPr>
  </w:style>
  <w:style w:type="paragraph" w:customStyle="1" w:styleId="RollCallSymbols14pt">
    <w:name w:val="RollCallSymbols14pt"/>
    <w:basedOn w:val="Normal"/>
    <w:rsid w:val="002D43B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D43B7"/>
    <w:pPr>
      <w:tabs>
        <w:tab w:val="center" w:pos="284"/>
        <w:tab w:val="left" w:pos="426"/>
      </w:tabs>
    </w:pPr>
    <w:rPr>
      <w:snapToGrid w:val="0"/>
      <w:lang w:eastAsia="en-US"/>
    </w:rPr>
  </w:style>
  <w:style w:type="paragraph" w:customStyle="1" w:styleId="RollCallVotes">
    <w:name w:val="RollCallVotes"/>
    <w:basedOn w:val="Normal"/>
    <w:rsid w:val="002D43B7"/>
    <w:pPr>
      <w:spacing w:before="120" w:after="120"/>
      <w:jc w:val="center"/>
    </w:pPr>
    <w:rPr>
      <w:b/>
      <w:bCs/>
      <w:snapToGrid w:val="0"/>
      <w:sz w:val="16"/>
      <w:lang w:eastAsia="en-US"/>
    </w:rPr>
  </w:style>
  <w:style w:type="paragraph" w:customStyle="1" w:styleId="RollCallTable">
    <w:name w:val="RollCallTable"/>
    <w:basedOn w:val="Normal"/>
    <w:rsid w:val="002D43B7"/>
    <w:pPr>
      <w:spacing w:before="120" w:after="120"/>
    </w:pPr>
    <w:rPr>
      <w:snapToGrid w:val="0"/>
      <w:sz w:val="16"/>
      <w:lang w:eastAsia="en-US"/>
    </w:rPr>
  </w:style>
  <w:style w:type="paragraph" w:styleId="Footer">
    <w:name w:val="footer"/>
    <w:basedOn w:val="Normal"/>
    <w:link w:val="FooterChar"/>
    <w:rsid w:val="00852558"/>
    <w:pPr>
      <w:tabs>
        <w:tab w:val="center" w:pos="4513"/>
        <w:tab w:val="right" w:pos="9026"/>
      </w:tabs>
    </w:pPr>
  </w:style>
  <w:style w:type="character" w:customStyle="1" w:styleId="FooterChar">
    <w:name w:val="Footer Char"/>
    <w:basedOn w:val="DefaultParagraphFont"/>
    <w:link w:val="Footer"/>
    <w:rsid w:val="00852558"/>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CD4AD-5E98-4A66-BAFB-9AC35E1E0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5098</Words>
  <Characters>29432</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2024-04-11T13:25:00Z</dcterms:created>
  <dcterms:modified xsi:type="dcterms:W3CDTF">2024-04-11T13:25:00Z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A9-0133/2024</vt:lpwstr>
  </property>
  <property fmtid="{D5CDD505-2E9C-101B-9397-08002B2CF9AE}" pid="4" name="&lt;Type&gt;">
    <vt:lpwstr>RR</vt:lpwstr>
  </property>
</Properties>
</file>