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D88" w:rsidTr="0010095E">
        <w:trPr>
          <w:trHeight w:hRule="exact" w:val="1418"/>
        </w:trPr>
        <w:tc>
          <w:tcPr>
            <w:tcW w:w="6804" w:type="dxa"/>
            <w:shd w:val="clear" w:color="auto" w:fill="auto"/>
            <w:vAlign w:val="center"/>
          </w:tcPr>
          <w:p w:rsidR="00751A4A" w:rsidRPr="00467D88" w:rsidRDefault="000A5CC3" w:rsidP="0010095E">
            <w:pPr>
              <w:pStyle w:val="EPName"/>
            </w:pPr>
            <w:r w:rsidRPr="00467D88">
              <w:t>Evropski parlament</w:t>
            </w:r>
          </w:p>
          <w:p w:rsidR="00751A4A" w:rsidRPr="00467D88" w:rsidRDefault="00817416" w:rsidP="00756632">
            <w:pPr>
              <w:pStyle w:val="EPTerm"/>
              <w:rPr>
                <w:rStyle w:val="HideTWBExt"/>
                <w:noProof w:val="0"/>
                <w:vanish w:val="0"/>
                <w:color w:val="auto"/>
              </w:rPr>
            </w:pPr>
            <w:r w:rsidRPr="00467D88">
              <w:t>2019-2024</w:t>
            </w:r>
          </w:p>
        </w:tc>
        <w:tc>
          <w:tcPr>
            <w:tcW w:w="2268" w:type="dxa"/>
            <w:shd w:val="clear" w:color="auto" w:fill="auto"/>
          </w:tcPr>
          <w:p w:rsidR="00751A4A" w:rsidRPr="00467D88" w:rsidRDefault="00187494" w:rsidP="0010095E">
            <w:pPr>
              <w:pStyle w:val="EPLogo"/>
            </w:pPr>
            <w:r w:rsidRPr="00467D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7D88" w:rsidRDefault="00D058B8" w:rsidP="004C5D52">
      <w:pPr>
        <w:pStyle w:val="LineTop"/>
      </w:pPr>
    </w:p>
    <w:p w:rsidR="00680577" w:rsidRPr="00467D88" w:rsidRDefault="000A5CC3" w:rsidP="00680577">
      <w:pPr>
        <w:pStyle w:val="EPBodyTA1"/>
      </w:pPr>
      <w:r w:rsidRPr="00467D88">
        <w:t>SPREJETA BESEDILA</w:t>
      </w:r>
    </w:p>
    <w:p w:rsidR="00D058B8" w:rsidRPr="00467D88" w:rsidRDefault="00D058B8" w:rsidP="00D058B8">
      <w:pPr>
        <w:pStyle w:val="LineBottom"/>
      </w:pPr>
    </w:p>
    <w:p w:rsidR="000A5CC3" w:rsidRPr="00467D88" w:rsidRDefault="000A5CC3" w:rsidP="000A5CC3">
      <w:pPr>
        <w:pStyle w:val="ATHeading1"/>
      </w:pPr>
      <w:bookmarkStart w:id="0" w:name="TANumber"/>
      <w:r w:rsidRPr="00467D88">
        <w:t>P9_TA(2024)</w:t>
      </w:r>
      <w:bookmarkEnd w:id="0"/>
      <w:r w:rsidR="005B26BB">
        <w:t>0245</w:t>
      </w:r>
    </w:p>
    <w:p w:rsidR="000A5CC3" w:rsidRPr="00467D88" w:rsidRDefault="000A5CC3" w:rsidP="000A5CC3">
      <w:pPr>
        <w:pStyle w:val="ATHeading2"/>
      </w:pPr>
      <w:bookmarkStart w:id="1" w:name="title"/>
      <w:r w:rsidRPr="00467D88">
        <w:t>Razrešnica za leto 2022: Evropska agencija za zdravila</w:t>
      </w:r>
      <w:bookmarkEnd w:id="1"/>
    </w:p>
    <w:p w:rsidR="000A5CC3" w:rsidRPr="00467D88" w:rsidRDefault="000A5CC3" w:rsidP="000A5CC3">
      <w:pPr>
        <w:rPr>
          <w:i/>
          <w:vanish/>
        </w:rPr>
      </w:pPr>
      <w:r w:rsidRPr="00467D88">
        <w:rPr>
          <w:i/>
        </w:rPr>
        <w:fldChar w:fldCharType="begin"/>
      </w:r>
      <w:r w:rsidRPr="00467D88">
        <w:rPr>
          <w:i/>
        </w:rPr>
        <w:instrText xml:space="preserve"> TC"(</w:instrText>
      </w:r>
      <w:bookmarkStart w:id="2" w:name="DocNumber"/>
      <w:r w:rsidRPr="00467D88">
        <w:rPr>
          <w:i/>
        </w:rPr>
        <w:instrText>A9-0133/2024</w:instrText>
      </w:r>
      <w:bookmarkEnd w:id="2"/>
      <w:r w:rsidRPr="00467D88">
        <w:rPr>
          <w:i/>
        </w:rPr>
        <w:instrText xml:space="preserve"> - Poročevalec: Petri </w:instrText>
      </w:r>
      <w:proofErr w:type="spellStart"/>
      <w:r w:rsidRPr="00467D88">
        <w:rPr>
          <w:i/>
        </w:rPr>
        <w:instrText>Sarvamaa</w:instrText>
      </w:r>
      <w:proofErr w:type="spellEnd"/>
      <w:r w:rsidRPr="00467D88">
        <w:rPr>
          <w:i/>
        </w:rPr>
        <w:instrText xml:space="preserve">)"\l3 \n&gt; \* MERGEFORMAT </w:instrText>
      </w:r>
      <w:r w:rsidRPr="00467D88">
        <w:rPr>
          <w:i/>
        </w:rPr>
        <w:fldChar w:fldCharType="end"/>
      </w:r>
    </w:p>
    <w:p w:rsidR="000A5CC3" w:rsidRPr="00467D88" w:rsidRDefault="000A5CC3" w:rsidP="000A5CC3">
      <w:pPr>
        <w:rPr>
          <w:vanish/>
        </w:rPr>
      </w:pPr>
      <w:bookmarkStart w:id="3" w:name="Commission"/>
      <w:r w:rsidRPr="00467D88">
        <w:rPr>
          <w:vanish/>
        </w:rPr>
        <w:t>Odbor za proračunski nadzor</w:t>
      </w:r>
      <w:bookmarkEnd w:id="3"/>
    </w:p>
    <w:p w:rsidR="000A5CC3" w:rsidRPr="00467D88" w:rsidRDefault="000A5CC3" w:rsidP="000A5CC3">
      <w:pPr>
        <w:rPr>
          <w:vanish/>
        </w:rPr>
      </w:pPr>
      <w:bookmarkStart w:id="4" w:name="PE"/>
      <w:r w:rsidRPr="00467D88">
        <w:rPr>
          <w:vanish/>
        </w:rPr>
        <w:t>PE753.524</w:t>
      </w:r>
      <w:bookmarkEnd w:id="4"/>
    </w:p>
    <w:p w:rsidR="000A5CC3" w:rsidRPr="00467D88" w:rsidRDefault="006305DC" w:rsidP="000A5CC3">
      <w:pPr>
        <w:pStyle w:val="ATHeading3"/>
      </w:pPr>
      <w:bookmarkStart w:id="5" w:name="Sujet"/>
      <w:r w:rsidRPr="00467D88">
        <w:t xml:space="preserve">1. </w:t>
      </w:r>
      <w:r w:rsidR="000A5CC3" w:rsidRPr="00467D88">
        <w:t xml:space="preserve">Sklep Evropskega parlamenta z dne </w:t>
      </w:r>
      <w:r w:rsidRPr="00467D88">
        <w:t xml:space="preserve">11. aprila 2024 </w:t>
      </w:r>
      <w:r w:rsidR="000A5CC3" w:rsidRPr="00467D88">
        <w:t>o razrešnici glede izvrševanja proračuna Evropske agencije za zdravila za proračunsko leto 2022</w:t>
      </w:r>
      <w:bookmarkEnd w:id="5"/>
      <w:r w:rsidR="000A5CC3" w:rsidRPr="00467D88">
        <w:t xml:space="preserve"> </w:t>
      </w:r>
      <w:bookmarkStart w:id="6" w:name="References"/>
      <w:r w:rsidR="000A5CC3" w:rsidRPr="00467D88">
        <w:t>(2023/2156(DEC))</w:t>
      </w:r>
      <w:bookmarkEnd w:id="6"/>
    </w:p>
    <w:p w:rsidR="00BA4545" w:rsidRPr="00467D88" w:rsidRDefault="00BA4545" w:rsidP="00BA4545">
      <w:pPr>
        <w:pStyle w:val="EPComma"/>
      </w:pPr>
      <w:bookmarkStart w:id="7" w:name="TextBodyBegin"/>
      <w:bookmarkEnd w:id="7"/>
      <w:r w:rsidRPr="00467D88">
        <w:rPr>
          <w:i/>
        </w:rPr>
        <w:t>Evropski parlament</w:t>
      </w:r>
      <w:r w:rsidRPr="00467D88">
        <w:t>,</w:t>
      </w:r>
    </w:p>
    <w:p w:rsidR="00BA4545" w:rsidRPr="00467D88" w:rsidRDefault="00BA4545" w:rsidP="00BA4545">
      <w:pPr>
        <w:pStyle w:val="NormalHanging12a"/>
      </w:pPr>
      <w:r w:rsidRPr="00467D88">
        <w:t>–</w:t>
      </w:r>
      <w:r w:rsidRPr="00467D88">
        <w:tab/>
        <w:t>ob upoštevanju končnega zaključnega računa Evropske agencije za zdravila za proračunsko leto 2022,</w:t>
      </w:r>
    </w:p>
    <w:p w:rsidR="00BA4545" w:rsidRPr="00467D88" w:rsidRDefault="00BA4545" w:rsidP="00BA4545">
      <w:pPr>
        <w:pStyle w:val="NormalHanging12a"/>
      </w:pPr>
      <w:r w:rsidRPr="00467D88">
        <w:t>–</w:t>
      </w:r>
      <w:r w:rsidRPr="00467D88">
        <w:tab/>
        <w:t>ob upoštevanju letnega poročila Računskega sodišča o agencijah EU za proračunsko leto 2022 skupaj z odgovori agencij</w:t>
      </w:r>
      <w:r w:rsidRPr="00467D88">
        <w:rPr>
          <w:rStyle w:val="FootnoteReference"/>
        </w:rPr>
        <w:footnoteReference w:id="1"/>
      </w:r>
      <w:r w:rsidRPr="00467D88">
        <w:t>,</w:t>
      </w:r>
    </w:p>
    <w:p w:rsidR="00BA4545" w:rsidRPr="00467D88" w:rsidRDefault="00BA4545" w:rsidP="00BA4545">
      <w:pPr>
        <w:pStyle w:val="NormalHanging12a"/>
      </w:pPr>
      <w:r w:rsidRPr="00467D88">
        <w:t>–</w:t>
      </w:r>
      <w:r w:rsidRPr="00467D88">
        <w:tab/>
        <w:t>ob upoštevanju izjave o zanesljivosti</w:t>
      </w:r>
      <w:r w:rsidRPr="00467D88">
        <w:rPr>
          <w:rStyle w:val="FootnoteReference"/>
        </w:rPr>
        <w:footnoteReference w:id="2"/>
      </w:r>
      <w:r w:rsidRPr="00467D88">
        <w:t xml:space="preserve"> računovodskih izkazov ter zakonitosti in pravilnosti z njimi povezanih transakcij, ki jo je za proračunsko leto 2022 v skladu s členom 287 Pogodbe o delovanju Evropske unije pripravilo Računsko sodišče,</w:t>
      </w:r>
    </w:p>
    <w:p w:rsidR="00BA4545" w:rsidRPr="00467D88" w:rsidRDefault="00BA4545" w:rsidP="00BA4545">
      <w:pPr>
        <w:pStyle w:val="NormalHanging12a"/>
      </w:pPr>
      <w:r w:rsidRPr="00467D88">
        <w:t>–</w:t>
      </w:r>
      <w:r w:rsidRPr="00467D88">
        <w:tab/>
        <w:t>ob upoštevanju priporočila Sveta z dne 22. februarja 2024 o podelitvi razrešnice agenciji glede izvrševanja proračuna za proračunsko leto 2022 (</w:t>
      </w:r>
      <w:r w:rsidR="00467D88" w:rsidRPr="00467D88">
        <w:t>06180</w:t>
      </w:r>
      <w:r w:rsidRPr="00467D88">
        <w:t>/2024 – C9</w:t>
      </w:r>
      <w:r w:rsidRPr="00467D88">
        <w:noBreakHyphen/>
      </w:r>
      <w:r w:rsidR="00467D88" w:rsidRPr="00467D88">
        <w:t>0094</w:t>
      </w:r>
      <w:r w:rsidRPr="00467D88">
        <w:t>/2024),</w:t>
      </w:r>
    </w:p>
    <w:p w:rsidR="00BA4545" w:rsidRPr="00467D88" w:rsidRDefault="00BA4545" w:rsidP="00BA4545">
      <w:pPr>
        <w:pStyle w:val="NormalHanging12a"/>
      </w:pPr>
      <w:r w:rsidRPr="00467D88">
        <w:t>–</w:t>
      </w:r>
      <w:r w:rsidRPr="00467D88">
        <w:tab/>
        <w:t>ob upoštevanju člena 319 Pogodbe o delovanju Evropske unije,</w:t>
      </w:r>
    </w:p>
    <w:p w:rsidR="00BA4545" w:rsidRPr="00467D88" w:rsidRDefault="00BA4545" w:rsidP="00BA4545">
      <w:pPr>
        <w:pStyle w:val="NormalHanging12a"/>
      </w:pPr>
      <w:r w:rsidRPr="00467D88">
        <w:t>–</w:t>
      </w:r>
      <w:r w:rsidRPr="00467D88">
        <w:tab/>
        <w:t xml:space="preserve">ob upoštevanju Uredbe (EU, </w:t>
      </w:r>
      <w:proofErr w:type="spellStart"/>
      <w:r w:rsidRPr="00467D88">
        <w:t>Euratom</w:t>
      </w:r>
      <w:proofErr w:type="spellEnd"/>
      <w:r w:rsidRPr="00467D88">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67D88">
        <w:t>Euratom</w:t>
      </w:r>
      <w:proofErr w:type="spellEnd"/>
      <w:r w:rsidRPr="00467D88">
        <w:t>) št. 966/2012</w:t>
      </w:r>
      <w:r w:rsidRPr="00467D88">
        <w:rPr>
          <w:rStyle w:val="FootnoteReference"/>
        </w:rPr>
        <w:footnoteReference w:id="3"/>
      </w:r>
      <w:r w:rsidRPr="00467D88">
        <w:t xml:space="preserve"> in zlasti člena 70,</w:t>
      </w:r>
    </w:p>
    <w:p w:rsidR="00BA4545" w:rsidRPr="00467D88" w:rsidRDefault="00BA4545" w:rsidP="00BA4545">
      <w:pPr>
        <w:pStyle w:val="NormalHanging12a"/>
      </w:pPr>
      <w:r w:rsidRPr="00467D88">
        <w:t>–</w:t>
      </w:r>
      <w:r w:rsidRPr="00467D88">
        <w:tab/>
        <w:t xml:space="preserve">ob upoštevanju Uredbe (ES) št. 726/2004 Evropskega parlamenta in Sveta z dne 31. marca 2004 o postopkih Unije za pridobitev dovoljenja za promet in nadzor zdravil za </w:t>
      </w:r>
      <w:r w:rsidRPr="00467D88">
        <w:lastRenderedPageBreak/>
        <w:t>humano uporabo ter o ustanovitvi Evropske agencije za zdravila</w:t>
      </w:r>
      <w:r w:rsidRPr="00467D88">
        <w:rPr>
          <w:rStyle w:val="FootnoteReference"/>
        </w:rPr>
        <w:footnoteReference w:id="4"/>
      </w:r>
      <w:r w:rsidRPr="00467D88">
        <w:t xml:space="preserve"> in zlasti člena 68,</w:t>
      </w:r>
    </w:p>
    <w:p w:rsidR="00BA4545" w:rsidRPr="00467D88" w:rsidRDefault="00BA4545" w:rsidP="00BA4545">
      <w:pPr>
        <w:pStyle w:val="NormalHanging12a"/>
      </w:pPr>
      <w:r w:rsidRPr="00467D88">
        <w:t>–</w:t>
      </w:r>
      <w:r w:rsidRPr="00467D88">
        <w:tab/>
        <w:t xml:space="preserve">ob upoštevanju Delegirane uredbe Komisije (EU) 2019/715 z dne 18. decembra 2018 o okvirni finančni uredbi za organe, ustanovljene na podlagi PDEU in Pogodbe </w:t>
      </w:r>
      <w:proofErr w:type="spellStart"/>
      <w:r w:rsidRPr="00467D88">
        <w:t>Euratom</w:t>
      </w:r>
      <w:proofErr w:type="spellEnd"/>
      <w:r w:rsidRPr="00467D88">
        <w:t xml:space="preserve">, iz člena 70 Uredbe (EU, </w:t>
      </w:r>
      <w:proofErr w:type="spellStart"/>
      <w:r w:rsidRPr="00467D88">
        <w:t>Euratom</w:t>
      </w:r>
      <w:proofErr w:type="spellEnd"/>
      <w:r w:rsidRPr="00467D88">
        <w:t>) 2018/1046 Evropskega parlamenta in Sveta</w:t>
      </w:r>
      <w:r w:rsidRPr="00467D88">
        <w:rPr>
          <w:rStyle w:val="FootnoteReference"/>
        </w:rPr>
        <w:footnoteReference w:id="5"/>
      </w:r>
      <w:r w:rsidRPr="00467D88">
        <w:t xml:space="preserve"> in zlasti člena 105,</w:t>
      </w:r>
    </w:p>
    <w:p w:rsidR="00BA4545" w:rsidRPr="00467D88" w:rsidRDefault="00BA4545" w:rsidP="00BA4545">
      <w:pPr>
        <w:pStyle w:val="NormalHanging12a"/>
      </w:pPr>
      <w:r w:rsidRPr="00467D88">
        <w:t>–</w:t>
      </w:r>
      <w:r w:rsidRPr="00467D88">
        <w:tab/>
        <w:t>ob upoštevanju člena 100 in Priloge V Poslovnika,</w:t>
      </w:r>
    </w:p>
    <w:p w:rsidR="00BA4545" w:rsidRPr="00467D88" w:rsidRDefault="00BA4545" w:rsidP="00BA4545">
      <w:pPr>
        <w:pStyle w:val="NormalHanging12a"/>
      </w:pPr>
      <w:r w:rsidRPr="00467D88">
        <w:t>–</w:t>
      </w:r>
      <w:r w:rsidRPr="00467D88">
        <w:tab/>
        <w:t>ob upoštevanju mnenja Odbora za okolje, javno zdravje in varnost hrane,</w:t>
      </w:r>
    </w:p>
    <w:p w:rsidR="00BA4545" w:rsidRPr="00467D88" w:rsidRDefault="00BA4545" w:rsidP="00BA4545">
      <w:pPr>
        <w:pStyle w:val="NormalHanging12a"/>
      </w:pPr>
      <w:r w:rsidRPr="00467D88">
        <w:t>–</w:t>
      </w:r>
      <w:r w:rsidRPr="00467D88">
        <w:tab/>
        <w:t>ob upoštevanju poročila Odbora za proračunski nadzor (A9</w:t>
      </w:r>
      <w:r w:rsidRPr="00467D88">
        <w:noBreakHyphen/>
        <w:t>0133/2024),</w:t>
      </w:r>
    </w:p>
    <w:p w:rsidR="00BA4545" w:rsidRPr="00467D88" w:rsidRDefault="00BA4545" w:rsidP="00BA4545">
      <w:pPr>
        <w:pStyle w:val="NormalHanging12a"/>
      </w:pPr>
      <w:r w:rsidRPr="00467D88">
        <w:t>1.</w:t>
      </w:r>
      <w:r w:rsidRPr="00467D88">
        <w:tab/>
        <w:t>podeli razrešnico izvršni direktorici Evropske agencije za zdravila glede izvrševanja proračuna agencije za proračunsko leto 2022;</w:t>
      </w:r>
    </w:p>
    <w:p w:rsidR="00BA4545" w:rsidRPr="00467D88" w:rsidRDefault="00BA4545" w:rsidP="00BA4545">
      <w:pPr>
        <w:pStyle w:val="NormalHanging12a"/>
      </w:pPr>
      <w:r w:rsidRPr="00467D88">
        <w:t>2.</w:t>
      </w:r>
      <w:r w:rsidRPr="00467D88">
        <w:tab/>
        <w:t>navaja svoje pripombe v spodnji resoluciji;</w:t>
      </w:r>
    </w:p>
    <w:p w:rsidR="00BA4545" w:rsidRPr="00467D88" w:rsidRDefault="00BA4545" w:rsidP="00BA4545">
      <w:pPr>
        <w:pStyle w:val="NormalHanging12a"/>
      </w:pPr>
      <w:r w:rsidRPr="00467D88">
        <w:t>3.</w:t>
      </w:r>
      <w:r w:rsidRPr="00467D88">
        <w:tab/>
        <w:t xml:space="preserve">naroči svoji predsednici, naj ta sklep in resolucijo, ki je del sklepa, posreduje izvršni direktorici Evropske agencije za zdravila, Svetu, Komisiji in Računskemu sodišču in poskrbi za objavo v </w:t>
      </w:r>
      <w:r w:rsidRPr="00467D88">
        <w:rPr>
          <w:i/>
        </w:rPr>
        <w:t>Uradnem listu Evropske unije</w:t>
      </w:r>
      <w:r w:rsidRPr="00467D88">
        <w:t xml:space="preserve"> (serija L).</w:t>
      </w:r>
    </w:p>
    <w:p w:rsidR="00BA4545" w:rsidRPr="00467D88" w:rsidRDefault="00BA4545" w:rsidP="00BA4545"/>
    <w:p w:rsidR="00BA4545" w:rsidRPr="00467D88" w:rsidRDefault="00BA4545" w:rsidP="00BA4545">
      <w:pPr>
        <w:pStyle w:val="PageHeading"/>
        <w:sectPr w:rsidR="00BA4545" w:rsidRPr="00467D88" w:rsidSect="004A25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A4545" w:rsidRPr="00467D88" w:rsidRDefault="00BA4545" w:rsidP="006305DC">
      <w:pPr>
        <w:pStyle w:val="ATHeading3"/>
      </w:pPr>
      <w:bookmarkStart w:id="8" w:name="_Toc161996536"/>
      <w:r w:rsidRPr="00467D88">
        <w:lastRenderedPageBreak/>
        <w:t xml:space="preserve">2. </w:t>
      </w:r>
      <w:bookmarkEnd w:id="8"/>
      <w:r w:rsidR="006305DC" w:rsidRPr="00467D88">
        <w:t xml:space="preserve">Sklep Evropskega parlamenta z dne 11. aprila 2024 </w:t>
      </w:r>
      <w:r w:rsidRPr="00467D88">
        <w:t>o zaključnem računu Evropske agencije za zdravila za proračunsko leto 2022</w:t>
      </w:r>
      <w:r w:rsidR="006305DC" w:rsidRPr="00467D88">
        <w:t xml:space="preserve"> (2023</w:t>
      </w:r>
      <w:r w:rsidRPr="00467D88">
        <w:t>/2156(DEC))</w:t>
      </w:r>
    </w:p>
    <w:p w:rsidR="00BA4545" w:rsidRPr="00467D88" w:rsidRDefault="00BA4545" w:rsidP="00BA4545">
      <w:pPr>
        <w:pStyle w:val="EPComma"/>
      </w:pPr>
      <w:r w:rsidRPr="00467D88">
        <w:rPr>
          <w:i/>
        </w:rPr>
        <w:t>Evropski parlament</w:t>
      </w:r>
      <w:r w:rsidRPr="00467D88">
        <w:t>,</w:t>
      </w:r>
    </w:p>
    <w:p w:rsidR="00BA4545" w:rsidRPr="00467D88" w:rsidRDefault="00BA4545" w:rsidP="00BA4545">
      <w:pPr>
        <w:pStyle w:val="NormalHanging12a"/>
      </w:pPr>
      <w:r w:rsidRPr="00467D88">
        <w:t>–</w:t>
      </w:r>
      <w:r w:rsidRPr="00467D88">
        <w:tab/>
        <w:t>ob upoštevanju končnega zaključnega računa Evropske agencije za zdravila za proračunsko leto 2022,</w:t>
      </w:r>
    </w:p>
    <w:p w:rsidR="00BA4545" w:rsidRPr="00467D88" w:rsidRDefault="00BA4545" w:rsidP="00BA4545">
      <w:pPr>
        <w:pStyle w:val="NormalHanging12a"/>
      </w:pPr>
      <w:r w:rsidRPr="00467D88">
        <w:t>–</w:t>
      </w:r>
      <w:r w:rsidRPr="00467D88">
        <w:tab/>
        <w:t>ob upoštevanju letnega poročila Računskega sodišča o agencijah EU za proračunsko leto 2022 skupaj z odgovori agencij</w:t>
      </w:r>
      <w:r w:rsidRPr="00467D88">
        <w:rPr>
          <w:rStyle w:val="FootnoteReference"/>
        </w:rPr>
        <w:footnoteReference w:id="6"/>
      </w:r>
      <w:r w:rsidRPr="00467D88">
        <w:t>,</w:t>
      </w:r>
    </w:p>
    <w:p w:rsidR="00BA4545" w:rsidRPr="00467D88" w:rsidRDefault="00BA4545" w:rsidP="00BA4545">
      <w:pPr>
        <w:pStyle w:val="NormalHanging12a"/>
      </w:pPr>
      <w:r w:rsidRPr="00467D88">
        <w:t>–</w:t>
      </w:r>
      <w:r w:rsidRPr="00467D88">
        <w:tab/>
        <w:t>ob upoštevanju izjave o zanesljivosti</w:t>
      </w:r>
      <w:r w:rsidRPr="00467D88">
        <w:rPr>
          <w:rStyle w:val="FootnoteReference"/>
        </w:rPr>
        <w:footnoteReference w:id="7"/>
      </w:r>
      <w:r w:rsidRPr="00467D88">
        <w:t xml:space="preserve"> računovodskih izkazov ter zakonitosti in pravilnosti z njimi povezanih transakcij, ki jo je za proračunsko leto 2022 v skladu s členom 287 Pogodbe o delovanju Evropske unije pripravilo Računsko sodišče,</w:t>
      </w:r>
    </w:p>
    <w:p w:rsidR="00BA4545" w:rsidRPr="00467D88" w:rsidRDefault="00BA4545" w:rsidP="00BA4545">
      <w:pPr>
        <w:pStyle w:val="NormalHanging12a"/>
      </w:pPr>
      <w:r w:rsidRPr="00467D88">
        <w:t>–</w:t>
      </w:r>
      <w:r w:rsidRPr="00467D88">
        <w:tab/>
        <w:t>ob upoštevanju priporočila Sveta z dne 22. februarja 2024 o podelitvi razrešnice agenciji glede izvrševanja proračuna za proračunsko leto 2022 (</w:t>
      </w:r>
      <w:r w:rsidR="00467D88" w:rsidRPr="00467D88">
        <w:t>06180</w:t>
      </w:r>
      <w:r w:rsidRPr="00467D88">
        <w:t>/2024 – C9</w:t>
      </w:r>
      <w:r w:rsidRPr="00467D88">
        <w:noBreakHyphen/>
      </w:r>
      <w:r w:rsidR="00467D88" w:rsidRPr="00467D88">
        <w:t>0094</w:t>
      </w:r>
      <w:r w:rsidRPr="00467D88">
        <w:t>/2024),</w:t>
      </w:r>
    </w:p>
    <w:p w:rsidR="00BA4545" w:rsidRPr="00467D88" w:rsidRDefault="00BA4545" w:rsidP="00BA4545">
      <w:pPr>
        <w:pStyle w:val="NormalHanging12a"/>
      </w:pPr>
      <w:r w:rsidRPr="00467D88">
        <w:t>–</w:t>
      </w:r>
      <w:r w:rsidRPr="00467D88">
        <w:tab/>
        <w:t>ob upoštevanju člena 319 Pogodbe o delovanju Evropske unije,</w:t>
      </w:r>
    </w:p>
    <w:p w:rsidR="00BA4545" w:rsidRPr="00467D88" w:rsidRDefault="00BA4545" w:rsidP="00BA4545">
      <w:pPr>
        <w:pStyle w:val="NormalHanging12a"/>
      </w:pPr>
      <w:r w:rsidRPr="00467D88">
        <w:t>–</w:t>
      </w:r>
      <w:r w:rsidRPr="00467D88">
        <w:tab/>
        <w:t xml:space="preserve">ob upoštevanju Uredbe (EU, </w:t>
      </w:r>
      <w:proofErr w:type="spellStart"/>
      <w:r w:rsidRPr="00467D88">
        <w:t>Euratom</w:t>
      </w:r>
      <w:proofErr w:type="spellEnd"/>
      <w:r w:rsidRPr="00467D88">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67D88">
        <w:t>Euratom</w:t>
      </w:r>
      <w:proofErr w:type="spellEnd"/>
      <w:r w:rsidRPr="00467D88">
        <w:t>) št. 966/2012</w:t>
      </w:r>
      <w:r w:rsidRPr="00467D88">
        <w:rPr>
          <w:rStyle w:val="FootnoteReference"/>
        </w:rPr>
        <w:footnoteReference w:id="8"/>
      </w:r>
      <w:r w:rsidRPr="00467D88">
        <w:t xml:space="preserve"> in zlasti člena 70,</w:t>
      </w:r>
    </w:p>
    <w:p w:rsidR="00BA4545" w:rsidRPr="00467D88" w:rsidRDefault="00BA4545" w:rsidP="00BA4545">
      <w:pPr>
        <w:pStyle w:val="NormalHanging12a"/>
      </w:pPr>
      <w:r w:rsidRPr="00467D88">
        <w:t>–</w:t>
      </w:r>
      <w:r w:rsidRPr="00467D88">
        <w:tab/>
        <w:t>ob upoštevanju Uredbe (ES) št. 726/2004 Evropskega parlamenta in Sveta z dne 31. marca 2004 o postopkih Unije za pridobitev dovoljenja za promet in nadzor zdravil za humano uporabo ter o ustanovitvi Evropske agencije za zdravila</w:t>
      </w:r>
      <w:r w:rsidRPr="00467D88">
        <w:rPr>
          <w:rStyle w:val="FootnoteReference"/>
        </w:rPr>
        <w:footnoteReference w:id="9"/>
      </w:r>
      <w:r w:rsidRPr="00467D88">
        <w:t xml:space="preserve"> in zlasti člena 68,</w:t>
      </w:r>
    </w:p>
    <w:p w:rsidR="00BA4545" w:rsidRPr="00467D88" w:rsidRDefault="00BA4545" w:rsidP="00BA4545">
      <w:pPr>
        <w:pStyle w:val="NormalHanging12a"/>
      </w:pPr>
      <w:r w:rsidRPr="00467D88">
        <w:t>–</w:t>
      </w:r>
      <w:r w:rsidRPr="00467D88">
        <w:tab/>
        <w:t xml:space="preserve">ob upoštevanju Delegirane uredbe Komisije (EU) 2019/715 z dne 18. decembra 2018 o okvirni finančni uredbi za organe, ustanovljene na podlagi PDEU in Pogodbe </w:t>
      </w:r>
      <w:proofErr w:type="spellStart"/>
      <w:r w:rsidRPr="00467D88">
        <w:t>Euratom</w:t>
      </w:r>
      <w:proofErr w:type="spellEnd"/>
      <w:r w:rsidRPr="00467D88">
        <w:t xml:space="preserve">, iz člena 70 Uredbe (EU, </w:t>
      </w:r>
      <w:proofErr w:type="spellStart"/>
      <w:r w:rsidRPr="00467D88">
        <w:t>Euratom</w:t>
      </w:r>
      <w:proofErr w:type="spellEnd"/>
      <w:r w:rsidRPr="00467D88">
        <w:t>) 2018/1046 Evropskega parlamenta in Sveta</w:t>
      </w:r>
      <w:r w:rsidRPr="00467D88">
        <w:rPr>
          <w:rStyle w:val="FootnoteReference"/>
        </w:rPr>
        <w:footnoteReference w:id="10"/>
      </w:r>
      <w:r w:rsidRPr="00467D88">
        <w:t xml:space="preserve"> in zlasti člena 105,</w:t>
      </w:r>
    </w:p>
    <w:p w:rsidR="00BA4545" w:rsidRPr="00467D88" w:rsidRDefault="00BA4545" w:rsidP="00BA4545">
      <w:pPr>
        <w:pStyle w:val="NormalHanging12a"/>
      </w:pPr>
      <w:r w:rsidRPr="00467D88">
        <w:t>–</w:t>
      </w:r>
      <w:r w:rsidRPr="00467D88">
        <w:tab/>
        <w:t>ob upoštevanju člena 100 in Priloge V Poslovnika,</w:t>
      </w:r>
    </w:p>
    <w:p w:rsidR="00BA4545" w:rsidRPr="00467D88" w:rsidRDefault="00BA4545" w:rsidP="00BA4545">
      <w:pPr>
        <w:pStyle w:val="NormalHanging12a"/>
      </w:pPr>
      <w:r w:rsidRPr="00467D88">
        <w:t>–</w:t>
      </w:r>
      <w:r w:rsidRPr="00467D88">
        <w:tab/>
        <w:t>ob upoštevanju mnenja Odbora za okolje, javno zdravje in varnost hrane,</w:t>
      </w:r>
    </w:p>
    <w:p w:rsidR="00BA4545" w:rsidRPr="00467D88" w:rsidRDefault="00BA4545" w:rsidP="00BA4545">
      <w:pPr>
        <w:pStyle w:val="NormalHanging12a"/>
      </w:pPr>
      <w:r w:rsidRPr="00467D88">
        <w:t>–</w:t>
      </w:r>
      <w:r w:rsidRPr="00467D88">
        <w:tab/>
        <w:t>ob upoštevanju poročila Odbora za proračunski nadzor (A9</w:t>
      </w:r>
      <w:r w:rsidRPr="00467D88">
        <w:noBreakHyphen/>
        <w:t>0133/2024),</w:t>
      </w:r>
    </w:p>
    <w:p w:rsidR="00BA4545" w:rsidRPr="00467D88" w:rsidRDefault="00BA4545" w:rsidP="00BA4545">
      <w:pPr>
        <w:pStyle w:val="NormalHanging12a"/>
      </w:pPr>
      <w:r w:rsidRPr="00467D88">
        <w:t>1.</w:t>
      </w:r>
      <w:r w:rsidRPr="00467D88">
        <w:tab/>
        <w:t>odobri zaključni račun Evropske agencije za zdravila za proračunsko leto 2022;</w:t>
      </w:r>
    </w:p>
    <w:p w:rsidR="00BA4545" w:rsidRPr="00467D88" w:rsidRDefault="00BA4545" w:rsidP="00BA4545">
      <w:pPr>
        <w:pStyle w:val="NormalHanging12a"/>
      </w:pPr>
      <w:r w:rsidRPr="00467D88">
        <w:t>2.</w:t>
      </w:r>
      <w:r w:rsidRPr="00467D88">
        <w:tab/>
        <w:t xml:space="preserve">naroči svoji predsednici, naj ta sklep posreduje izvršni direktorici Evropske agencije za zdravila, Svetu, Komisiji in Računskemu sodišču in poskrbi za objavo v </w:t>
      </w:r>
      <w:r w:rsidRPr="00467D88">
        <w:rPr>
          <w:i/>
        </w:rPr>
        <w:t xml:space="preserve">Uradnem listu </w:t>
      </w:r>
      <w:r w:rsidRPr="00467D88">
        <w:rPr>
          <w:i/>
        </w:rPr>
        <w:lastRenderedPageBreak/>
        <w:t>Evropske unije</w:t>
      </w:r>
      <w:r w:rsidRPr="00467D88">
        <w:t xml:space="preserve"> (serija L).</w:t>
      </w:r>
    </w:p>
    <w:p w:rsidR="00BA4545" w:rsidRPr="00467D88" w:rsidRDefault="00BA4545" w:rsidP="00BA4545"/>
    <w:p w:rsidR="00BA4545" w:rsidRPr="00467D88" w:rsidRDefault="00BA4545" w:rsidP="00BA4545">
      <w:pPr>
        <w:pStyle w:val="PageHeading"/>
        <w:sectPr w:rsidR="00BA4545" w:rsidRPr="00467D88" w:rsidSect="004A25C3">
          <w:footnotePr>
            <w:numRestart w:val="eachPage"/>
          </w:footnotePr>
          <w:endnotePr>
            <w:numFmt w:val="decimal"/>
          </w:endnotePr>
          <w:pgSz w:w="11906" w:h="16838" w:code="9"/>
          <w:pgMar w:top="1134" w:right="1418" w:bottom="1418" w:left="1418" w:header="567" w:footer="567" w:gutter="0"/>
          <w:cols w:space="720"/>
          <w:noEndnote/>
          <w:docGrid w:linePitch="326"/>
        </w:sectPr>
      </w:pPr>
    </w:p>
    <w:p w:rsidR="00BA4545" w:rsidRPr="00467D88" w:rsidRDefault="00BA4545" w:rsidP="006305DC">
      <w:pPr>
        <w:pStyle w:val="ATHeading3"/>
      </w:pPr>
      <w:bookmarkStart w:id="9" w:name="_Toc161996537"/>
      <w:r w:rsidRPr="00467D88">
        <w:lastRenderedPageBreak/>
        <w:t xml:space="preserve">3. </w:t>
      </w:r>
      <w:bookmarkEnd w:id="9"/>
      <w:r w:rsidR="006305DC" w:rsidRPr="00467D88">
        <w:t xml:space="preserve">Resolucija Evropskega parlamenta z dne 11. aprila 2024 </w:t>
      </w:r>
      <w:r w:rsidRPr="00467D88">
        <w:t>s pripombami, ki so del sklepa o razrešnici glede izvrševanja proračuna Evropske agencije za zdravila za proračunsko leto 2022</w:t>
      </w:r>
      <w:r w:rsidR="006305DC" w:rsidRPr="00467D88">
        <w:t xml:space="preserve"> (2023</w:t>
      </w:r>
      <w:r w:rsidRPr="00467D88">
        <w:t>/2156(DEC))</w:t>
      </w:r>
    </w:p>
    <w:p w:rsidR="00BA4545" w:rsidRPr="00467D88" w:rsidRDefault="00BA4545" w:rsidP="00BA4545">
      <w:pPr>
        <w:pStyle w:val="EPComma"/>
      </w:pPr>
      <w:r w:rsidRPr="00467D88">
        <w:rPr>
          <w:i/>
        </w:rPr>
        <w:t>Evropski parlament</w:t>
      </w:r>
      <w:r w:rsidRPr="00467D88">
        <w:t>,</w:t>
      </w:r>
    </w:p>
    <w:p w:rsidR="00BA4545" w:rsidRPr="00467D88" w:rsidRDefault="00BA4545" w:rsidP="00BA4545">
      <w:pPr>
        <w:pStyle w:val="NormalHanging12a"/>
      </w:pPr>
      <w:r w:rsidRPr="00467D88">
        <w:t>–</w:t>
      </w:r>
      <w:r w:rsidRPr="00467D88">
        <w:tab/>
        <w:t>ob upoštevanju sklepa o razrešnici glede izvrševanja proračuna Evropske agencije za zdravila za proračunsko leto 2022,</w:t>
      </w:r>
    </w:p>
    <w:p w:rsidR="00BA4545" w:rsidRPr="00467D88" w:rsidRDefault="00BA4545" w:rsidP="00BA4545">
      <w:pPr>
        <w:pStyle w:val="NormalHanging12a"/>
      </w:pPr>
      <w:r w:rsidRPr="00467D88">
        <w:t>–</w:t>
      </w:r>
      <w:r w:rsidRPr="00467D88">
        <w:tab/>
        <w:t>ob upoštevanju člena 100 in Priloge V Poslovnika,</w:t>
      </w:r>
    </w:p>
    <w:p w:rsidR="00BA4545" w:rsidRPr="00467D88" w:rsidRDefault="00BA4545" w:rsidP="00BA4545">
      <w:pPr>
        <w:pStyle w:val="NormalHanging12a"/>
      </w:pPr>
      <w:r w:rsidRPr="00467D88">
        <w:t>–</w:t>
      </w:r>
      <w:r w:rsidRPr="00467D88">
        <w:tab/>
        <w:t>ob upoštevanju mnenja Odbora za okolje, javno zdravje in varnost hrane,</w:t>
      </w:r>
    </w:p>
    <w:p w:rsidR="00BA4545" w:rsidRPr="00467D88" w:rsidRDefault="00BA4545" w:rsidP="00BA4545">
      <w:pPr>
        <w:pStyle w:val="NormalHanging12a"/>
      </w:pPr>
      <w:r w:rsidRPr="00467D88">
        <w:t>–</w:t>
      </w:r>
      <w:r w:rsidRPr="00467D88">
        <w:tab/>
        <w:t>ob upoštevanju poročila Odbora za proračunski nadzor (A9</w:t>
      </w:r>
      <w:r w:rsidRPr="00467D88">
        <w:noBreakHyphen/>
        <w:t>0133/2024),</w:t>
      </w:r>
    </w:p>
    <w:p w:rsidR="00BA4545" w:rsidRPr="00467D88" w:rsidRDefault="00BA4545" w:rsidP="00BA4545">
      <w:pPr>
        <w:pStyle w:val="Normal12Hanging"/>
        <w:widowControl/>
        <w:rPr>
          <w:szCs w:val="24"/>
        </w:rPr>
      </w:pPr>
      <w:r w:rsidRPr="00467D88">
        <w:t>A.</w:t>
      </w:r>
      <w:r w:rsidRPr="00467D88">
        <w:tab/>
        <w:t>ker je na podlagi poročila o prihodkih in odhodkih</w:t>
      </w:r>
      <w:r w:rsidRPr="00467D88">
        <w:rPr>
          <w:szCs w:val="24"/>
          <w:vertAlign w:val="superscript"/>
        </w:rPr>
        <w:footnoteReference w:id="11"/>
      </w:r>
      <w:r w:rsidRPr="00467D88">
        <w:t xml:space="preserve"> Evropske agencije za zdravila (v nadaljnjem besedilu: agencija) njen končni proračun v proračunskem letu 2022 znašal 421.815.000 EUR, kar je 11,23 % več kot leta 2021; ker se agencija financira s pristojbinami, pri čemer je približno 88 % njenih prihodkov v letu 2022 prišlo iz pristojbin za ocenjevanje zdravil in drugih poslovnih dejavnosti, 12 % pa iz proračuna Unije in raznih prihodkov;</w:t>
      </w:r>
    </w:p>
    <w:p w:rsidR="00BA4545" w:rsidRPr="00467D88" w:rsidRDefault="00BA4545" w:rsidP="00BA4545">
      <w:pPr>
        <w:pStyle w:val="Normal12Hanging"/>
        <w:widowControl/>
        <w:rPr>
          <w:szCs w:val="24"/>
        </w:rPr>
      </w:pPr>
      <w:r w:rsidRPr="00467D88">
        <w:t>B.</w:t>
      </w:r>
      <w:r w:rsidRPr="00467D88">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w:t>
      </w:r>
    </w:p>
    <w:p w:rsidR="00BA4545" w:rsidRPr="00467D88" w:rsidRDefault="00BA4545" w:rsidP="00BA4545">
      <w:pPr>
        <w:pStyle w:val="Normal12Hanging"/>
        <w:rPr>
          <w:szCs w:val="24"/>
        </w:rPr>
      </w:pPr>
      <w:r w:rsidRPr="00467D88">
        <w:t>C.</w:t>
      </w:r>
      <w:r w:rsidRPr="00467D88">
        <w:tab/>
        <w:t>ker v zvezi z javnimi naročili agencije za leto 2022 niso bile sporočene nobene težave, zaradi katerih bi bili potrebni popravni ukrepi, in ker ni tekočih ali zapadlih popravnih ukrepov iz revizij in ocen iz prejšnjih let;</w:t>
      </w:r>
    </w:p>
    <w:p w:rsidR="00BA4545" w:rsidRPr="00467D88" w:rsidRDefault="00BA4545" w:rsidP="00BA4545">
      <w:pPr>
        <w:pStyle w:val="Normal12Hanging"/>
        <w:widowControl/>
        <w:rPr>
          <w:b/>
          <w:i/>
          <w:szCs w:val="24"/>
        </w:rPr>
      </w:pPr>
      <w:r w:rsidRPr="00467D88">
        <w:rPr>
          <w:b/>
          <w:i/>
        </w:rPr>
        <w:t xml:space="preserve">Proračunsko upravljanje in finančno </w:t>
      </w:r>
      <w:proofErr w:type="spellStart"/>
      <w:r w:rsidRPr="00467D88">
        <w:rPr>
          <w:b/>
          <w:i/>
        </w:rPr>
        <w:t>poslovodenje</w:t>
      </w:r>
      <w:proofErr w:type="spellEnd"/>
    </w:p>
    <w:p w:rsidR="00BA4545" w:rsidRPr="00467D88" w:rsidRDefault="00BA4545" w:rsidP="00BA4545">
      <w:pPr>
        <w:pStyle w:val="Normal12Hanging"/>
        <w:widowControl/>
      </w:pPr>
      <w:r w:rsidRPr="00467D88">
        <w:t>1.</w:t>
      </w:r>
      <w:r w:rsidRPr="00467D88">
        <w:tab/>
        <w:t>ugotavlja, da je stopnja izvrševanja odobritev za prevzem obveznosti zaradi proračunskega spremljanja v proračunskem letu 2022 znašala 96,80 %, kar je 0,42 % manj kot leta 2021; obžaluje, da je stopnja izvrševanja odobritev plačil znašala 71,48 %, kar je 0,88 % manj kot leta 2021;</w:t>
      </w:r>
    </w:p>
    <w:p w:rsidR="00BA4545" w:rsidRPr="00467D88" w:rsidRDefault="00BA4545" w:rsidP="00BA4545">
      <w:pPr>
        <w:pStyle w:val="Normal12Hanging"/>
        <w:widowControl/>
      </w:pPr>
      <w:r w:rsidRPr="00467D88">
        <w:t>2.</w:t>
      </w:r>
      <w:r w:rsidRPr="00467D88">
        <w:tab/>
        <w:t>ugotavlja, da je agencija za eno revidirano plačilo v višini 2 milijonov EUR odobrila s tem povezano proračunsko obveznost šele po sprejetju pravne obveznosti; opozarja, da je to v nasprotju s členom 73(2) finančne uredbe agencije; poziva jo, naj nemudoma ukrepa in izvede ukrepe, s katerimi bo poskrbela, da bodo vse finančne transakcije v skladu s finančno uredbo agencije;</w:t>
      </w:r>
    </w:p>
    <w:p w:rsidR="00BA4545" w:rsidRPr="00467D88" w:rsidRDefault="00BA4545" w:rsidP="00BA4545">
      <w:pPr>
        <w:pStyle w:val="NormalHanging12a"/>
      </w:pPr>
      <w:r w:rsidRPr="00467D88">
        <w:t>3.</w:t>
      </w:r>
      <w:r w:rsidRPr="00467D88">
        <w:tab/>
        <w:t xml:space="preserve">želi spomniti, da še vedno ostaja odprto vprašanje morebitnih obveznosti, ki bodo do leta 2039 izhajale iz najema nekdanjih poslovnih prostorov agencije v Londonu; z zaskrbljenostjo ugotavlja, da je 31. decembra 2022 ocenjeni skupni preostali znesek najemnine, stroškov vzdrževanja in zavarovanja najemodajalca, ki ga mora plačati agencija do izteka najemnega obdobja, znašal 366 milijonov EUR, kar je približno 23 </w:t>
      </w:r>
      <w:r w:rsidRPr="00467D88">
        <w:lastRenderedPageBreak/>
        <w:t>milijonov EUR letno; ugotavlja, da je agencija julija 2019 z najemodajalcem dosegla dogovor in svoje nekdanje prostore oddala v podnajem z učinkom od julija 2019 pod pogoji, ki so skladni s pogoji glavne najemne pogodbe; je seznanjen, da obdobje podnajema traja do izteka najemne pogodbe agencije, in sicer do junija 2039, ter da bi bila agencija lahko glede na to, da še vedno stranka v glavni najemni pogodbi, odgovorna za celoten preostali znesek skladno s pogodbenimi obveznostmi iz glavne najemne pogodbe, če podnajemnik ne bi izpolnil svojih obveznosti; opozarja tudi na drug element, poudarjen v zaključnem računu agencije, in sicer na negotovosti v zvezi s finančno uspešnostjo končne matične družbe podnajemnika zaradi poslabšanja njene bonitetne ocene in nedavnega prestrukturiranja dolga, zaradi česar je zaustavila plačila; je seznanjen, da sta agencija in njen upravni odbor zaskrbljena, da bo morala agencija, namesto da bi se v celoti osredotočala na svoje poslanstvo varovanja in spodbujanja javnega zdravja, zdaj tudi upravljati gospodarsko lastnino v tretji državi, kar preusmerja njene človeške in finančne vire od odgovornosti za javno zdravje državljanov Unije; je seznanjen, da je odbor Parlamenta za proračun 11. januarja 2024 izmenjal mnenja z agencijo o morebitni spremembi podnajema za njene nekdanje prostore v Londonu; vztraja, da je potrebna politična odločitev, da bi zagotovili dolgoročno rešitev tega vprašanja; vztraja, da bi bilo treba ne le poiskati dolgoročno rešitev, temveč v vmesnem času tudi najti in uvesti kratkoročni ukrep, da bi rešili in zajezili problem, saj podnajemnik še vedno ne plačuje najemnine;</w:t>
      </w:r>
    </w:p>
    <w:p w:rsidR="00BA4545" w:rsidRPr="00467D88" w:rsidRDefault="00BA4545" w:rsidP="00BA4545">
      <w:pPr>
        <w:pStyle w:val="Normal12Hanging"/>
        <w:widowControl/>
        <w:rPr>
          <w:b/>
          <w:i/>
          <w:szCs w:val="24"/>
        </w:rPr>
      </w:pPr>
      <w:r w:rsidRPr="00467D88">
        <w:rPr>
          <w:b/>
          <w:i/>
        </w:rPr>
        <w:t>Uspešnost</w:t>
      </w:r>
    </w:p>
    <w:p w:rsidR="00BA4545" w:rsidRPr="00467D88" w:rsidRDefault="00BA4545" w:rsidP="00BA4545">
      <w:pPr>
        <w:pStyle w:val="Normal12Hanging"/>
        <w:widowControl/>
        <w:rPr>
          <w:szCs w:val="24"/>
        </w:rPr>
      </w:pPr>
      <w:r w:rsidRPr="00467D88">
        <w:t>4.</w:t>
      </w:r>
      <w:r w:rsidRPr="00467D88">
        <w:tab/>
        <w:t>ugotavlja, da je agencija v letu 2022 poročala o 41 kazalnikih uspešnosti, pri čemer je stopnjo izvrševanja ocenila na 92,60 %; ugotavlja, da je agencija v letu 2022 kot predsednica Mednarodne koalicije regulativnih organov za zdravila to izkoristila za napredek pri usklajevanju mednarodnih regulativnih sistemov; ugotavlja, da je uresničevala tudi tri glavne zakonodajne akte (Uredbo (EU) št. 536/2014</w:t>
      </w:r>
      <w:r w:rsidRPr="00467D88">
        <w:rPr>
          <w:rStyle w:val="FootnoteReference"/>
          <w:szCs w:val="24"/>
        </w:rPr>
        <w:footnoteReference w:id="12"/>
      </w:r>
      <w:r w:rsidRPr="00467D88">
        <w:t>, Uredbo (EU) 2019/6</w:t>
      </w:r>
      <w:r w:rsidRPr="00467D88">
        <w:rPr>
          <w:rStyle w:val="FootnoteReference"/>
          <w:szCs w:val="24"/>
        </w:rPr>
        <w:footnoteReference w:id="13"/>
      </w:r>
      <w:r w:rsidRPr="00467D88">
        <w:t xml:space="preserve"> in razširjeni mandat v Uredbi (EU) 2022/123</w:t>
      </w:r>
      <w:r w:rsidRPr="00467D88">
        <w:rPr>
          <w:rStyle w:val="FootnoteReference"/>
          <w:szCs w:val="24"/>
        </w:rPr>
        <w:footnoteReference w:id="14"/>
      </w:r>
      <w:r w:rsidRPr="00467D88">
        <w:t>) ter napredovala pri upravljanju podatkov;</w:t>
      </w:r>
    </w:p>
    <w:p w:rsidR="00BA4545" w:rsidRPr="00467D88" w:rsidRDefault="00BA4545" w:rsidP="00BA4545">
      <w:pPr>
        <w:pStyle w:val="Normal12Hanging"/>
        <w:widowControl/>
        <w:rPr>
          <w:szCs w:val="24"/>
        </w:rPr>
      </w:pPr>
      <w:r w:rsidRPr="00467D88">
        <w:t>5.</w:t>
      </w:r>
      <w:r w:rsidRPr="00467D88">
        <w:tab/>
        <w:t xml:space="preserve">pozdravlja dejstvo, da je bil 1. marca 2022 mandat agencije razširjen z začetkom veljavnosti Uredbe (EU) 2022/123, s čimer se je okrepila njena vloga pri pripravljenosti na krize in kriznem upravljanju na področju zdravil in medicinskih pripomočkov; ugotavlja, da mora agencija v skladu z navedeno uredbo ustanoviti nove organe, kot sta usmerjevalna skupina za pomanjkanje zdravil in projektna skupina za izredne razmere, poleg tega pa je prevzela upravljanje strokovnih odborov na področju medicinskih pripomočkov, ki so bili nanjo preneseni iz Skupnega raziskovalnega središča Komisije; ugotavlja tudi, da je agencija v skladu z Uredbo (EU) 2022/123 odgovorna za spremljanje dogodkov, ki bi lahko pripeljali do krize, za poročanje in usklajevanje </w:t>
      </w:r>
      <w:r w:rsidRPr="00467D88">
        <w:lastRenderedPageBreak/>
        <w:t>odzivov Unije na pomanjkanje kritičnih zdravil, medicinskih pripomočkov ter in vitro diagnostičnih medicinskih pripomočkov med krizo;</w:t>
      </w:r>
    </w:p>
    <w:p w:rsidR="00BA4545" w:rsidRPr="00467D88" w:rsidRDefault="00BA4545" w:rsidP="00BA4545">
      <w:pPr>
        <w:pStyle w:val="Normal12Hanging"/>
        <w:widowControl/>
        <w:rPr>
          <w:szCs w:val="24"/>
        </w:rPr>
      </w:pPr>
      <w:r w:rsidRPr="00467D88">
        <w:t>6.</w:t>
      </w:r>
      <w:r w:rsidRPr="00467D88">
        <w:tab/>
        <w:t xml:space="preserve">poudarja, da so drugi ključni dosežki v letu 2022 med drugim odobritev dveh novih cepiv proti covidu-19 in dveh zdravljenj, povezanih z njim, priporočilo projektne skupine za izredne razmere glede začasne uporabe cepiva </w:t>
      </w:r>
      <w:proofErr w:type="spellStart"/>
      <w:r w:rsidRPr="00467D88">
        <w:t>Jynneos</w:t>
      </w:r>
      <w:proofErr w:type="spellEnd"/>
      <w:r w:rsidRPr="00467D88">
        <w:t xml:space="preserve"> proti opičjim kozam, ki so ga odobrile ZDA, da bi podprli prizadevanja nacionalnih organov EU za cepljenje, in razširitev uporabe zdravila </w:t>
      </w:r>
      <w:proofErr w:type="spellStart"/>
      <w:r w:rsidRPr="00467D88">
        <w:t>Imvanex</w:t>
      </w:r>
      <w:proofErr w:type="spellEnd"/>
      <w:r w:rsidRPr="00467D88">
        <w:t xml:space="preserve">, da bi pred opičjimi kozami zaščitili tudi odrasle; ugotavlja, da je agencija poleg tega v sodelovanju z univerzitetnim medicinskim centrom </w:t>
      </w:r>
      <w:proofErr w:type="spellStart"/>
      <w:r w:rsidRPr="00467D88">
        <w:t>Erasmus</w:t>
      </w:r>
      <w:proofErr w:type="spellEnd"/>
      <w:r w:rsidRPr="00467D88">
        <w:t xml:space="preserve"> v Rotterdamu ustanovila Koordinacijski center za analizo podatkov in mrežo za poizvedbe v resničnosti (DARWIN EU®), ki utira pot predlagani uredbi o evropskemu zdravstvenemu podatkovnemu prostoru in se povezuje z njegovimi storitvami za uporabo pri regulaciji zdravil; ugotavlja tudi, da je bilo treba za izvajanje okvira </w:t>
      </w:r>
      <w:proofErr w:type="spellStart"/>
      <w:r w:rsidRPr="00467D88">
        <w:t>Safe</w:t>
      </w:r>
      <w:proofErr w:type="spellEnd"/>
      <w:r w:rsidRPr="00467D88">
        <w:t xml:space="preserve"> </w:t>
      </w:r>
      <w:proofErr w:type="spellStart"/>
      <w:r w:rsidRPr="00467D88">
        <w:t>Agile</w:t>
      </w:r>
      <w:proofErr w:type="spellEnd"/>
      <w:r w:rsidRPr="00467D88">
        <w:t xml:space="preserve"> prilagoditi informacijski portfelj agencije metodi dela </w:t>
      </w:r>
      <w:proofErr w:type="spellStart"/>
      <w:r w:rsidRPr="00467D88">
        <w:t>Agile</w:t>
      </w:r>
      <w:proofErr w:type="spellEnd"/>
      <w:r w:rsidRPr="00467D88">
        <w:t>, vzpostaviti vrednostne tokove, usklajene z njenim poslanstvom, in poskrbeti, da skupine izdelkov znotraj njih delujejo; poziva agencijo, naj se iz teh izkušenj uči in v prihodnosti uporabi primere dobre prakse, ki izhajajo iz njih;</w:t>
      </w:r>
    </w:p>
    <w:p w:rsidR="00BA4545" w:rsidRPr="00467D88" w:rsidRDefault="00BA4545" w:rsidP="00BA4545">
      <w:pPr>
        <w:pStyle w:val="NormalHanging12a"/>
      </w:pPr>
      <w:r w:rsidRPr="00467D88">
        <w:t>7.</w:t>
      </w:r>
      <w:r w:rsidRPr="00467D88">
        <w:tab/>
        <w:t>poudarja, da ima agencija ključno vlogo pri varovanju zdravja ljudi in živali z ocenjevanjem in nadzorovanjem zdravil za uporabo v humani in veterinarski medicini ter varovanjem javnega zdravja z ozaveščanjem o ključnih vprašanjih, vključno s protimikrobno odpornostjo in preprečevanjem nalezljivih bolezni s cepljenjem;</w:t>
      </w:r>
    </w:p>
    <w:p w:rsidR="00BA4545" w:rsidRPr="00467D88" w:rsidRDefault="00BA4545" w:rsidP="00BA4545">
      <w:pPr>
        <w:pStyle w:val="NormalHanging12a"/>
      </w:pPr>
      <w:r w:rsidRPr="00467D88">
        <w:t>8.</w:t>
      </w:r>
      <w:r w:rsidRPr="00467D88">
        <w:tab/>
        <w:t>vseeno ugotavlja, da lahko nezadostna sredstva za agencijo ogrozijo njeno zmožnost, da opravlja svoje poslanstvo, ter poziva Komisijo in Svet, naj dodelita ustrezna sredstva Unije, da bo imela agencija dovolj sredstev za izvajanje vseh svojih dejavnosti v zvezi s dolgim nizom regulativnih mehanizmov, vključno s spodbujanjem razvoja zdravil in dostopa do njih, podpiranjem raziskav in inovacij, ter svojih odgovornosti za spremljanje in takojšnjo ublažitev morebitnega ali dejanskega pomanjkanja kritičnih zdravil;</w:t>
      </w:r>
    </w:p>
    <w:p w:rsidR="00BA4545" w:rsidRPr="00467D88" w:rsidRDefault="00BA4545" w:rsidP="00BA4545">
      <w:pPr>
        <w:pStyle w:val="Normal12Hanging"/>
      </w:pPr>
      <w:r w:rsidRPr="00467D88">
        <w:t>9.</w:t>
      </w:r>
      <w:r w:rsidRPr="00467D88">
        <w:tab/>
        <w:t>priznava, da je bila za leto 2022 še vedno značilna visoka raven dejavnosti, povezanih s covidom-19, pri čemer je prišlo do prehoda s predhodnih in začetnih dejavnosti izdajanja dovoljenj za promet na dejavnosti po pridobitvi dovoljenja za promet;</w:t>
      </w:r>
    </w:p>
    <w:p w:rsidR="00BA4545" w:rsidRPr="00467D88" w:rsidRDefault="00BA4545" w:rsidP="00BA4545">
      <w:pPr>
        <w:pStyle w:val="NormalHanging12a"/>
      </w:pPr>
      <w:r w:rsidRPr="00467D88">
        <w:t>10.</w:t>
      </w:r>
      <w:r w:rsidRPr="00467D88">
        <w:tab/>
        <w:t>pozdravlja dejstvo, da je 52 % prosilcev, ki so dobili pozitivno mnenje o svojih zdravilih, od agencije prejelo znanstveno svetovanje ali pomoč pri protokolih v fazi razvoja svojih proizvodov, ta delež pa se dvigne na 78 % pri prosilcih, ki so predložili zdravila z novimi učinkovinami; meni, da bi lahko z zgodnjim svetovanjem občutno racionalizirali postopek odobritve ter razvili varna in učinkovita zdravila;</w:t>
      </w:r>
    </w:p>
    <w:p w:rsidR="00BA4545" w:rsidRPr="00467D88" w:rsidRDefault="00BA4545" w:rsidP="00BA4545">
      <w:pPr>
        <w:pStyle w:val="Normal12Hanging"/>
        <w:widowControl/>
        <w:rPr>
          <w:b/>
          <w:i/>
          <w:szCs w:val="24"/>
        </w:rPr>
      </w:pPr>
      <w:r w:rsidRPr="00467D88">
        <w:rPr>
          <w:b/>
          <w:i/>
        </w:rPr>
        <w:t>Povečanje učinkovitosti</w:t>
      </w:r>
    </w:p>
    <w:p w:rsidR="00BA4545" w:rsidRPr="00467D88" w:rsidRDefault="00BA4545" w:rsidP="00BA4545">
      <w:pPr>
        <w:pStyle w:val="Normal12Hanging"/>
        <w:widowControl/>
        <w:rPr>
          <w:szCs w:val="24"/>
        </w:rPr>
      </w:pPr>
      <w:r w:rsidRPr="00467D88">
        <w:t>11.</w:t>
      </w:r>
      <w:r w:rsidRPr="00467D88">
        <w:tab/>
        <w:t>je seznanjen s tem, da je agencija v letu 2022 še naprej izvajala svojo strategijo za povečanje učinkovitosti, pri čemer se je osredotočila na izboljšanje postopkov in digitalizacijo;</w:t>
      </w:r>
    </w:p>
    <w:p w:rsidR="00BA4545" w:rsidRPr="00467D88" w:rsidRDefault="00BA4545" w:rsidP="00BA4545">
      <w:pPr>
        <w:pStyle w:val="Normal12Hanging"/>
        <w:widowControl/>
        <w:rPr>
          <w:szCs w:val="24"/>
        </w:rPr>
      </w:pPr>
      <w:r w:rsidRPr="00467D88">
        <w:t>12.</w:t>
      </w:r>
      <w:r w:rsidRPr="00467D88">
        <w:tab/>
        <w:t>ugotavlja, da je agencija z delom svojega laboratorija za digitalne inovacije (</w:t>
      </w:r>
      <w:proofErr w:type="spellStart"/>
      <w:r w:rsidRPr="00467D88">
        <w:t>DigiLab</w:t>
      </w:r>
      <w:proofErr w:type="spellEnd"/>
      <w:r w:rsidRPr="00467D88">
        <w:t xml:space="preserve">) raziskala priložnosti za avtomatizacijo upravnega dela; ugotavlja, da je </w:t>
      </w:r>
      <w:proofErr w:type="spellStart"/>
      <w:r w:rsidRPr="00467D88">
        <w:t>DigiLab</w:t>
      </w:r>
      <w:proofErr w:type="spellEnd"/>
      <w:r w:rsidRPr="00467D88">
        <w:t xml:space="preserve"> začel 14 projektov avtomatizacije, ki jih je skupina za vodenje digitalnega pospeševanja prednostno obravnavala in podprla skupaj s Centrom odličnosti za analitiko (ACE), </w:t>
      </w:r>
      <w:r w:rsidRPr="00467D88">
        <w:lastRenderedPageBreak/>
        <w:t xml:space="preserve">vključno z avtomatizacijo za razvrščanje elektronske pošte, pripravo seznamov kliničnih mejnih koncentracij in pilotno podatkovno zbirko seznamov referenčnih datumov EU za povečanje učinkovitosti pri vzdrževanju in objavi na spletišču agencije; ugotavlja, da je </w:t>
      </w:r>
      <w:proofErr w:type="spellStart"/>
      <w:r w:rsidRPr="00467D88">
        <w:t>DigiLab</w:t>
      </w:r>
      <w:proofErr w:type="spellEnd"/>
      <w:r w:rsidRPr="00467D88">
        <w:t xml:space="preserve"> z ACE sodeloval tudi, da bi testiral pet možnih rešitev za poslovne izzive;</w:t>
      </w:r>
    </w:p>
    <w:p w:rsidR="00BA4545" w:rsidRPr="00467D88" w:rsidRDefault="00BA4545" w:rsidP="00BA4545">
      <w:pPr>
        <w:pStyle w:val="Normal12Hanging"/>
        <w:widowControl/>
        <w:rPr>
          <w:szCs w:val="24"/>
        </w:rPr>
      </w:pPr>
      <w:r w:rsidRPr="00467D88">
        <w:t>13.</w:t>
      </w:r>
      <w:r w:rsidRPr="00467D88">
        <w:tab/>
        <w:t xml:space="preserve">pozdravlja dejstvo, da je agencija kot del prizadevanj za digitalizacijo v letu 2022 v celoti vključila inšpekcijske preglede dobrih kliničnih praks in dobrih </w:t>
      </w:r>
      <w:proofErr w:type="spellStart"/>
      <w:r w:rsidRPr="00467D88">
        <w:t>farmakovigilančnih</w:t>
      </w:r>
      <w:proofErr w:type="spellEnd"/>
      <w:r w:rsidRPr="00467D88">
        <w:t xml:space="preserve"> praks v svojo informacijsko platformo IRIS in tako povečala učinkovitost, preglednost in sodelovanje skladno s programom digitalne preobrazbe agencije, ki nadzoruje inšpekcijske preglede zdravil za uporabo v humani in veterinarski medicini po centraliziranem postopku ali postopku napotitve na zahtevo Odbora za zdravila za uporabo v humani medicini ali v veterinarski medicini; poziva institucijo, naj poišče več notranjih postopkov, ki bi jih bilo mogoče racionalizirati z digitalizacijo;</w:t>
      </w:r>
    </w:p>
    <w:p w:rsidR="00BA4545" w:rsidRPr="00467D88" w:rsidRDefault="00BA4545" w:rsidP="00BA4545">
      <w:pPr>
        <w:pStyle w:val="Normal12Hanging"/>
        <w:widowControl/>
        <w:rPr>
          <w:szCs w:val="24"/>
        </w:rPr>
      </w:pPr>
      <w:r w:rsidRPr="00467D88">
        <w:t>14.</w:t>
      </w:r>
      <w:r w:rsidRPr="00467D88">
        <w:tab/>
        <w:t xml:space="preserve">ugotavlja, da se je agencija v letu 2022 v okviru razsežnosti izboljšanja procesa ukvarjala s preoblikovanjem metode </w:t>
      </w:r>
      <w:proofErr w:type="spellStart"/>
      <w:r w:rsidRPr="00467D88">
        <w:t>Agile</w:t>
      </w:r>
      <w:proofErr w:type="spellEnd"/>
      <w:r w:rsidRPr="00467D88">
        <w:t>, da bi z novim modelom upravljanja in načinom dela na področju upravljanja informacij/IT poskrbela za večjo preglednost, manjše upravno breme in očitno odgovornost;</w:t>
      </w:r>
    </w:p>
    <w:p w:rsidR="00BA4545" w:rsidRPr="00467D88" w:rsidRDefault="00BA4545" w:rsidP="00BA4545">
      <w:pPr>
        <w:pStyle w:val="Normal12Hanging"/>
        <w:widowControl/>
        <w:rPr>
          <w:szCs w:val="24"/>
        </w:rPr>
      </w:pPr>
      <w:r w:rsidRPr="00467D88">
        <w:t>15.</w:t>
      </w:r>
      <w:r w:rsidRPr="00467D88">
        <w:tab/>
        <w:t xml:space="preserve">poudarja, da je agencija v letu 2022 postopoma ponovno začela dejavnosti v svoji stavbi, obenem pa ohranila prožne ureditve dela, ki mesečno omogočajo do 60 % dela na daljavo; začasna pravila za poslovna potovanja so namenjala prednost virtualnemu sodelovanju na konferencah, sestankih in usposabljanjih, osebna navzočnost se je štela za strateško dodano vrednost, sprejeta pa je bila tudi odločitev o izmeničnih virtualnih in fizičnih sestankih znanstvenih odborov in delovnih skupin za upravljanje zmogljivosti na kraju samem in prispevanje k nadzoru </w:t>
      </w:r>
      <w:proofErr w:type="spellStart"/>
      <w:r w:rsidRPr="00467D88">
        <w:t>ogljičnega</w:t>
      </w:r>
      <w:proofErr w:type="spellEnd"/>
      <w:r w:rsidRPr="00467D88">
        <w:t xml:space="preserve"> odtisa, zaradi česar so se emisije ogljikovega dioksida v primerjavi z leti pred pandemijo zmanjšale, čeprav so se ponovno začele fizične dejavnosti;</w:t>
      </w:r>
    </w:p>
    <w:p w:rsidR="00BA4545" w:rsidRPr="00467D88" w:rsidRDefault="00BA4545" w:rsidP="00BA4545">
      <w:pPr>
        <w:pStyle w:val="NormalHanging12a"/>
      </w:pPr>
      <w:r w:rsidRPr="00467D88">
        <w:t>16.</w:t>
      </w:r>
      <w:r w:rsidRPr="00467D88">
        <w:tab/>
        <w:t>poudarja, kako pomembno je izboljšati digitalizacijo agencije, ko gre za notranje delovanje in upravljanje, pa tudi za hitrejšo digitalizacijo postopkov; poudarja, da mora biti agencija na tem področju še naprej proaktivna, da bi preprečili digitalno vrzel med agencijami; opozarja pa, da je treba sprejeti vse potrebne varnostne ukrepe, da bi preprečili tveganje za spletno varnost obdelanih informacij; vztraja, da je treba okrepiti ukrepe proti kibernetskim napadom ali poskusom infiltracije, ki izvirajo zlasti iz Rusije ali Kitajske;</w:t>
      </w:r>
    </w:p>
    <w:p w:rsidR="00BA4545" w:rsidRPr="00467D88" w:rsidRDefault="00BA4545" w:rsidP="00BA4545">
      <w:pPr>
        <w:pStyle w:val="NormalHanging12a"/>
      </w:pPr>
      <w:r w:rsidRPr="00467D88">
        <w:t>17.</w:t>
      </w:r>
      <w:r w:rsidRPr="00467D88">
        <w:tab/>
        <w:t>z zadovoljstvom ugotavlja, da agencija sodeluje z drugimi agencijami, zlasti z Evropskim centrom za preprečevanje in obvladovanje bolezni ter Evropsko agencijo za varnost hrane, tudi v zvezi z Evropskim portalom za cepljenje, pri spremljanju varnosti cepiv in poročanju o stranskih učinkih, pa tudi o porabi protimikrobnih zdravil in odpornosti proti njim;</w:t>
      </w:r>
    </w:p>
    <w:p w:rsidR="00BA4545" w:rsidRPr="00467D88" w:rsidRDefault="00BA4545" w:rsidP="00BA4545">
      <w:pPr>
        <w:pStyle w:val="NormalHanging12a"/>
      </w:pPr>
      <w:r w:rsidRPr="00467D88">
        <w:t>18.</w:t>
      </w:r>
      <w:r w:rsidRPr="00467D88">
        <w:tab/>
        <w:t>poziva agencijo, naj se še naprej zavzema za sodelovanje z drugimi agencijami Unije in mednarodnimi organizacijami, pa tudi za dialog z deležniki in državljani;</w:t>
      </w:r>
    </w:p>
    <w:p w:rsidR="00BA4545" w:rsidRPr="00467D88" w:rsidRDefault="00BA4545" w:rsidP="00BA4545">
      <w:pPr>
        <w:pStyle w:val="Normal12Hanging"/>
        <w:widowControl/>
        <w:rPr>
          <w:b/>
          <w:i/>
          <w:szCs w:val="24"/>
        </w:rPr>
      </w:pPr>
      <w:r w:rsidRPr="00467D88">
        <w:rPr>
          <w:b/>
          <w:i/>
        </w:rPr>
        <w:t>Kadrovska politika</w:t>
      </w:r>
    </w:p>
    <w:p w:rsidR="00BA4545" w:rsidRPr="00467D88" w:rsidRDefault="00BA4545" w:rsidP="004E1257">
      <w:pPr>
        <w:pStyle w:val="Normal12Hanging"/>
        <w:widowControl/>
        <w:rPr>
          <w:szCs w:val="24"/>
        </w:rPr>
      </w:pPr>
      <w:r w:rsidRPr="00467D88">
        <w:t>19.</w:t>
      </w:r>
      <w:r w:rsidRPr="00467D88">
        <w:tab/>
        <w:t>ugotavlja, da je bil kadrovski načrt na dan 31. decembra 202</w:t>
      </w:r>
      <w:r w:rsidR="004E1257">
        <w:t>2</w:t>
      </w:r>
      <w:bookmarkStart w:id="10" w:name="_GoBack"/>
      <w:bookmarkEnd w:id="10"/>
      <w:r w:rsidRPr="00467D88">
        <w:t xml:space="preserve"> uresničen 99,39-odstotno, saj je bilo zaposlenih 658 od 662 začasnih uslužbencev, odobrenih v proračunu Unije </w:t>
      </w:r>
      <w:r w:rsidRPr="00467D88">
        <w:lastRenderedPageBreak/>
        <w:t>(leta 2021 je bilo odobrenih 657 delovnih mest); ugotavlja, da je poleg tega za agencijo leta 2022 delalo še 192 pogodbenih uslužbencev, 25 napotenih nacionalnih strokovnjakov in 114 občasnih delavcev;</w:t>
      </w:r>
    </w:p>
    <w:p w:rsidR="00BA4545" w:rsidRPr="00467D88" w:rsidRDefault="00BA4545" w:rsidP="00BA4545">
      <w:pPr>
        <w:pStyle w:val="NormalHanging12a"/>
      </w:pPr>
      <w:r w:rsidRPr="00467D88">
        <w:t>20.</w:t>
      </w:r>
      <w:r w:rsidRPr="00467D88">
        <w:tab/>
        <w:t>obžaluje, da v upravnem odboru agencije spola nista uravnoteženo zastopana, saj je 36 od 67 članov (54 %) moških, med vsemi zaposlenimi pa je 568 od 865 zaposlenih (66 %) žensk; obžaluje tudi, da je na višjih vodstvenih položajih 17 od 27 zaposlenih (63 %) moških; je trdno prepričan, da si je treba pospešeno prizadevati za uravnoteženo zastopanost spolov med člani na višjih in srednjih vodstvenih položajih agencije ter med upravnim osebjem;</w:t>
      </w:r>
    </w:p>
    <w:p w:rsidR="00BA4545" w:rsidRPr="00467D88" w:rsidRDefault="00BA4545" w:rsidP="00BA4545">
      <w:pPr>
        <w:pStyle w:val="NormalHanging12a"/>
      </w:pPr>
      <w:r w:rsidRPr="00467D88">
        <w:t>21.</w:t>
      </w:r>
      <w:r w:rsidRPr="00467D88">
        <w:tab/>
        <w:t>izraža zaskrbljenost zaradi geografske uravnoteženosti na višjih in srednjih vodstvenih položajih agencije, saj je samo en vodstveni delavec iz srednje in vzhodne Evrope; vztraja, da so potrebne izboljšave; prosi agencijo, naj o tem poroča organu za podelitev razrešnice;</w:t>
      </w:r>
    </w:p>
    <w:p w:rsidR="00BA4545" w:rsidRPr="00467D88" w:rsidRDefault="00BA4545" w:rsidP="00BA4545">
      <w:pPr>
        <w:pStyle w:val="NormalHanging12a"/>
      </w:pPr>
      <w:r w:rsidRPr="00467D88">
        <w:t>22.</w:t>
      </w:r>
      <w:r w:rsidRPr="00467D88">
        <w:tab/>
        <w:t xml:space="preserve">poudarja, kako pomembno je doseči uravnoteženo zastopanost spolov, in v zvezi s tem priznava, da agencija izvaja različne pobude za odpravo razlik med spoloma na višjih vodstvenih položajih, tudi program za napredek vodstva, možnosti za notranjo mobilnost in oblikovanje skupnosti vodstva za spodbujanje in podpiranje ženskega kadra; ugotavlja, da se sestavlja baza vodij pisarn/služb/delovnih postopkov, kjer se postopoma povečuje število žensk na vodstvenih položajih; ugotavlja tudi, da upokojevanje ključnih višjih vodstvenih delavcev ženskam zagotavlja možnosti zaposlovanja, ki jih dopolnjujejo izboljšana strategija za </w:t>
      </w:r>
      <w:proofErr w:type="spellStart"/>
      <w:r w:rsidRPr="00467D88">
        <w:t>znamčenje</w:t>
      </w:r>
      <w:proofErr w:type="spellEnd"/>
      <w:r w:rsidRPr="00467D88">
        <w:t xml:space="preserve"> delodajalcev, ciljno usmerjeno trženje zaposlovanja, ustanovitev delovne skupine za raznolikost in vključevanje ter potrditev listine o raznolikosti in vključevanju marca 2022;</w:t>
      </w:r>
    </w:p>
    <w:p w:rsidR="00BA4545" w:rsidRPr="00467D88" w:rsidRDefault="00BA4545" w:rsidP="00BA4545">
      <w:pPr>
        <w:pStyle w:val="NormalHanging12a"/>
      </w:pPr>
      <w:r w:rsidRPr="00467D88">
        <w:t>23.</w:t>
      </w:r>
      <w:r w:rsidRPr="00467D88">
        <w:tab/>
        <w:t>ugotavlja, da je bilo v letu 2022 prijavljenih 72.463 ur nadurnega dela, kar je za 30 % manj kot 102.912 ur v letu 2021; ugotavlja tudi, da je v povprečju nadurno delo v letu 2022 znašalo 4,3 % v primerjavi s 6,3 %, sporočenimi leta 2021, kar je blizu povprečju 4,0 % v obdobju 2016–2019; poudarja, da mora za boljše počutje osebja med poklicnim in zasebnim življenjem vladati dobro ravnovesje, pomembni pa so tudi gibljiv delovni čas, delo na daljavo in pravica do odklopa;</w:t>
      </w:r>
    </w:p>
    <w:p w:rsidR="00BA4545" w:rsidRPr="00467D88" w:rsidRDefault="00BA4545" w:rsidP="00BA4545">
      <w:pPr>
        <w:widowControl/>
        <w:spacing w:after="240"/>
        <w:ind w:left="567" w:hanging="567"/>
        <w:rPr>
          <w:szCs w:val="24"/>
        </w:rPr>
      </w:pPr>
      <w:r w:rsidRPr="00467D88">
        <w:t>24.</w:t>
      </w:r>
      <w:r w:rsidRPr="00467D88">
        <w:tab/>
        <w:t>pozdravlja dejstvo, da je agencija leta 2022 opravila celovito raziskavo o dobrem počutju in da so bila njena priporočila vključena v strategijo agencije za človeške vire za obdobje 2023–2025;</w:t>
      </w:r>
    </w:p>
    <w:p w:rsidR="00BA4545" w:rsidRPr="00467D88" w:rsidRDefault="00BA4545" w:rsidP="00BA4545">
      <w:pPr>
        <w:pStyle w:val="NormalHanging12a"/>
      </w:pPr>
      <w:r w:rsidRPr="00467D88">
        <w:t>25.</w:t>
      </w:r>
      <w:r w:rsidRPr="00467D88">
        <w:tab/>
        <w:t xml:space="preserve">ugotavlja, da je agencija uvedla politiko za zaščito človekovega dostojanstva ter preprečevanje psihičnega in spolnega nadlegovanja, prav tako pa sodeluje pri </w:t>
      </w:r>
      <w:proofErr w:type="spellStart"/>
      <w:r w:rsidRPr="00467D88">
        <w:t>medagencijski</w:t>
      </w:r>
      <w:proofErr w:type="spellEnd"/>
      <w:r w:rsidRPr="00467D88">
        <w:t xml:space="preserve"> projektni skupini zaupnih svetovalcev; z zanimanjem pričakuje njihovo poročilo in priporočila; ugotavlja, da v letu 2022 ni bilo prijavljenih primerov nadlegovanja, in spodbuja agencijo, naj tudi v prihodnje oblikuje in izvaja dejavnosti za preprečevanje teh primerov;</w:t>
      </w:r>
    </w:p>
    <w:p w:rsidR="00BA4545" w:rsidRPr="00467D88" w:rsidRDefault="00BA4545" w:rsidP="00BA4545">
      <w:pPr>
        <w:pStyle w:val="NormalHanging12a"/>
        <w:rPr>
          <w:b/>
          <w:i/>
        </w:rPr>
      </w:pPr>
      <w:r w:rsidRPr="00467D88">
        <w:rPr>
          <w:b/>
          <w:i/>
        </w:rPr>
        <w:t>Preprečevanje in obvladovanje navzkrižij interesov ter preglednost</w:t>
      </w:r>
    </w:p>
    <w:p w:rsidR="00BA4545" w:rsidRPr="00467D88" w:rsidRDefault="00BA4545" w:rsidP="00BA4545">
      <w:pPr>
        <w:pStyle w:val="NormalHanging12a"/>
      </w:pPr>
      <w:r w:rsidRPr="00467D88">
        <w:t>26.</w:t>
      </w:r>
      <w:r w:rsidRPr="00467D88">
        <w:tab/>
        <w:t xml:space="preserve">ugotavlja, da agencija za ohranjanje nepristranskosti in objektivnosti pri svojih dejavnostih redno prilagaja področje uporabe politik in postopke izvajanja o nastajajočih tveganjih, ki izhajajo iz novih dejavnosti in/ali interakcij z novimi kategorijami deležnikov; ugotavlja tudi, da so bile leta 2022 zaradi novih pristojnosti </w:t>
      </w:r>
      <w:r w:rsidRPr="00467D88">
        <w:lastRenderedPageBreak/>
        <w:t>agencije na področju medicinskih pripomočkov ter in vitro medicinskih pripomočkov, pa tudi pristojnosti na podlagi njenega razširjenega mandata spremenjene politike o navzkrižjih interesov za člane upravnega odbora, politike o navzkrižjih interesov za strokovnjake ter izvedbena pravila o obravnavanju izraženih interesov uslužbencev in kandidatov pred zaposlitvijo;</w:t>
      </w:r>
    </w:p>
    <w:p w:rsidR="00BA4545" w:rsidRPr="00467D88" w:rsidRDefault="00BA4545" w:rsidP="00BA4545">
      <w:pPr>
        <w:pStyle w:val="NormalHanging12a"/>
      </w:pPr>
      <w:r w:rsidRPr="00467D88">
        <w:t>27.</w:t>
      </w:r>
      <w:r w:rsidRPr="00467D88">
        <w:tab/>
        <w:t>ugotavlja, da ima agencija vzpostavljen postopek zaradi kršitve zaupanja, v katerem je določeno, kako naj obravnava nepravilne ali nepopolne elektronske izjave o interesih strokovnjakov in članov odbora ter razkritje zaupnih informacij; ugotavlja, da je bil postopek spremenjen decembra 2022; poudarja, da ta sprememba določa, da se postopek uporablja tudi za druge organe, ki so bili v agenciji ustanovljeni v okviru razširjenega mandata (npr. projektna skupina za izredne razmere, obe usmerjevalni skupini za pomanjkanje);</w:t>
      </w:r>
    </w:p>
    <w:p w:rsidR="00BA4545" w:rsidRPr="00467D88" w:rsidRDefault="00BA4545" w:rsidP="00BA4545">
      <w:pPr>
        <w:pStyle w:val="NormalHanging12a"/>
      </w:pPr>
      <w:r w:rsidRPr="00467D88">
        <w:t>28.</w:t>
      </w:r>
      <w:r w:rsidRPr="00467D88">
        <w:tab/>
        <w:t>ugotavlja, da sta bila leta 2022 za strokovnjake sprožena dva postopka zaradi kršitve zaupanja; ugotavlja tudi, da je bil v prvem primeru udeležen član odbora, ki ni razkril honorarja za predavanje, zaradi česar je bilo treba spremeniti izjave, član pa je dobil triletno omejitev, drugi primer pa se je nanašal na člana odbora, ki ni navedel navzkrižja interesov bližnjega družinskega člana, zaradi česar je dobil devetmesečno omejitev opravljanja dejavnosti v agenciji;</w:t>
      </w:r>
    </w:p>
    <w:p w:rsidR="00BA4545" w:rsidRPr="00467D88" w:rsidRDefault="00BA4545" w:rsidP="00BA4545">
      <w:pPr>
        <w:pStyle w:val="NormalHanging12a"/>
      </w:pPr>
      <w:r w:rsidRPr="00467D88">
        <w:t>29.</w:t>
      </w:r>
      <w:r w:rsidRPr="00467D88">
        <w:tab/>
        <w:t>poudarja, da so odhajajoči uslužbenci agencije zaprosili za dovoljenje, da po odhodu opravljajo poklic, pri čemer je bilo v letu 2022 vloženih 22 prošenj, ki so bile rešene v obliki različnih dovoljenj, vključno s primeri neomejenega in omejenega opravljanja zaposlitve; priznava, da agencija od decembra 2020 na svojem poslovnem spletišču objavlja novice o odhodu višjih uslužbencev iz organizacije, kar pomembno prispeva k preglednosti pri obravnavanju navzkrižja interesov;</w:t>
      </w:r>
    </w:p>
    <w:p w:rsidR="00BA4545" w:rsidRPr="00467D88" w:rsidRDefault="00BA4545" w:rsidP="00BA4545">
      <w:pPr>
        <w:pStyle w:val="NormalHanging12a"/>
      </w:pPr>
      <w:r w:rsidRPr="00467D88">
        <w:t>30.</w:t>
      </w:r>
      <w:r w:rsidRPr="00467D88">
        <w:tab/>
        <w:t>z zadovoljstvom ugotavlja, da je poročilo službe Komisije za notranjo revizijo, ki je bilo objavljeno v letu 2022 in je bilo osredotočeno na kadrovske zadeve, potrdilo trdnost vzpostavljenega sistema na podlagi zelo visoke ozaveščenosti zaposlenih o tveganjih in primernosti notranjih kontrol za obvladovanje morebitnih navzkrižjih interesov;</w:t>
      </w:r>
    </w:p>
    <w:p w:rsidR="00BA4545" w:rsidRPr="00467D88" w:rsidRDefault="00BA4545" w:rsidP="00BA4545">
      <w:pPr>
        <w:pStyle w:val="NormalHanging12a"/>
      </w:pPr>
      <w:r w:rsidRPr="00467D88">
        <w:t>31.</w:t>
      </w:r>
      <w:r w:rsidRPr="00467D88">
        <w:tab/>
        <w:t>ugotavlja, da agencija kot tehnični znanstveni organ Unije formalno ne sodeluje ali se ne sestaja z lobisti, vendar sodeluje in se sestaja z deležniki v skladu s svojimi formalnimi okviri za deležnike; ugotavlja tudi, da so sestanki z zunanjimi deležniki javni in da so podrobnosti objavljene na spletni strani o dogodkih na spletišču agencije;</w:t>
      </w:r>
    </w:p>
    <w:p w:rsidR="00BA4545" w:rsidRPr="00467D88" w:rsidRDefault="00BA4545" w:rsidP="00BA4545">
      <w:pPr>
        <w:pStyle w:val="NormalHanging12a"/>
      </w:pPr>
      <w:r w:rsidRPr="00467D88">
        <w:t>32.</w:t>
      </w:r>
      <w:r w:rsidRPr="00467D88">
        <w:tab/>
        <w:t>priznava prepoznavnost, ki jo je dosegla agencija; meni, da lahko agencija doseže še večjo prepoznavnost v medijih, na internetu in v družbenih medijih, da bi državljane Unije seznanjala s svojim delom in z nevarnostmi za naše okolje;</w:t>
      </w:r>
    </w:p>
    <w:p w:rsidR="00BA4545" w:rsidRPr="00467D88" w:rsidRDefault="00BA4545" w:rsidP="00BA4545">
      <w:pPr>
        <w:pStyle w:val="NormalHanging12a"/>
      </w:pPr>
      <w:r w:rsidRPr="00467D88">
        <w:t>33.</w:t>
      </w:r>
      <w:r w:rsidRPr="00467D88">
        <w:tab/>
        <w:t xml:space="preserve">ugotavlja, da je agencija leta 2022 prejela 676 prošenj za dostop do dokumentov, manj kot leta 2019 (783 prošenj) ali leta 2021 (710 prošenj), in objavila 216.666 strani, kar je bilo več kot leta 2021, ko je objavila 165.943 strani, a precej manj kot 318.013 leta 2019; ugotavlja, da agencija uporablja mehanizem čakalne vrste za upravljanje obdelave prošenj istega vlagatelja za večkratni dostop do dokumentov, kar predstavlja ozko grlo za pravočasen dostop do dokumentov, ki jih hrani agencija, in odvrača vlagatelje od vlaganja novih prošenj; poziva agencijo, naj zagotovi podrobne informacije o številu prošenj za dostop do dokumentov, ki so ostale neaktivirane v sistemu čakalne vrste, in o povprečnem času, v katerem so bile prošnje v sistemu čakalne vrste, preden so bile </w:t>
      </w:r>
      <w:r w:rsidRPr="00467D88">
        <w:lastRenderedPageBreak/>
        <w:t>aktivirane; poziva k začetku revizije pravil agencije za obdelavo prošenj za dostop do dokumentov, mehanizma čakalne vrste, sprememb prošenj skozi čas in učinkih na vlagatelje;</w:t>
      </w:r>
    </w:p>
    <w:p w:rsidR="00BA4545" w:rsidRPr="00467D88" w:rsidRDefault="00BA4545" w:rsidP="00BA4545">
      <w:pPr>
        <w:pStyle w:val="NormalHanging12a"/>
      </w:pPr>
      <w:r w:rsidRPr="00467D88">
        <w:t>34.</w:t>
      </w:r>
      <w:r w:rsidRPr="00467D88">
        <w:tab/>
        <w:t>poziva Komisijo, naj zagotovi, da bo agencija prejela ustrezna sredstva za opravljanje nalog, ki so ji bile dodeljene s sprejetjem Uredbe (EU) št. 536/2014, in da se bo izognila pomanjkanju osebja, ki bo negativno vplivalo na njeno politiko preglednosti, tudi v zvezi s pravočasno objavo kliničnih podatkov, zapisnikov sestankov in pravočasnimi odzivi na prošnje za dostop do dokumentov;</w:t>
      </w:r>
    </w:p>
    <w:p w:rsidR="00BA4545" w:rsidRPr="00467D88" w:rsidRDefault="00BA4545" w:rsidP="00BA4545">
      <w:pPr>
        <w:pStyle w:val="Normal12Hanging"/>
        <w:widowControl/>
        <w:rPr>
          <w:szCs w:val="24"/>
          <w:u w:val="single"/>
        </w:rPr>
      </w:pPr>
      <w:r w:rsidRPr="00467D88">
        <w:rPr>
          <w:b/>
          <w:i/>
        </w:rPr>
        <w:t>Notranje kontrole</w:t>
      </w:r>
    </w:p>
    <w:p w:rsidR="00BA4545" w:rsidRPr="00467D88" w:rsidRDefault="00BA4545" w:rsidP="00BA4545">
      <w:pPr>
        <w:pStyle w:val="Normal12Hanging"/>
        <w:widowControl/>
        <w:rPr>
          <w:szCs w:val="24"/>
        </w:rPr>
      </w:pPr>
      <w:r w:rsidRPr="00467D88">
        <w:t>35.</w:t>
      </w:r>
      <w:r w:rsidRPr="00467D88">
        <w:tab/>
        <w:t>ugotavlja, da je bil pripravljen vprašalnik za oceno izvajanja, delovanja in izboljšanja 17 načel v okviru notranje kontrole; ugotavlja tudi, da so vodstveni delavci in uslužbenci, odgovorni za posebna načela ali elemente, prejeli vprašalnik, za dodatna pojasnila pa so bili opravljeni razgovori; poleg tega ugotavlja, da je splošni zaključek, da je sistem notranje kontrole uspešen in učinkovit, da so njegovi deli in načela na splošno prisotni in delujejo razmeroma dobro, medtem ko bi bila za nekatera načela morda potrebna dodatna pojasnila ali informacije oziroma so predlagane prilagoditve in izboljšave;</w:t>
      </w:r>
    </w:p>
    <w:p w:rsidR="00BA4545" w:rsidRPr="00467D88" w:rsidRDefault="00BA4545" w:rsidP="00BA4545">
      <w:pPr>
        <w:pStyle w:val="Normal12Hanging"/>
        <w:widowControl/>
        <w:rPr>
          <w:szCs w:val="24"/>
        </w:rPr>
      </w:pPr>
      <w:r w:rsidRPr="00467D88">
        <w:t>36.</w:t>
      </w:r>
      <w:r w:rsidRPr="00467D88">
        <w:tab/>
        <w:t>poudarja, da je agencija zaradi selitve leta 2019 najela stavbo v Amsterdamu, ki je bila popolnoma opremljena s sredstvi iz sheme spodbud nizozemske vlade v vrednosti 15 milijonov EUR, vključno z donacijo pohištva in opreme za oskrbo s hrano in pijačo; je seznanjen, da je Računsko sodišče ugotovilo, da agencija nekaterih od teh sredstev, zlasti pohištva, ni opremila z jasno oznako (kot so oznake s črtnimi kodami); ugotavlja, da je bilo pri štirih popisih inventarja, ki jih je opravila agencija od preselitve, več neskladij (ki so se sčasoma zmanjšala s 534.331 EUR na 15.000 EUR), in sicer med seznamom imetja, ki ga je podarila nizozemska vlada, registrom imetja agencije in imetjem, najdenim v prostorih agencije; opozarja, da ni bilo popolnih in posodobljenih evidenc inventarja, v katerih bi bila določena lokacija opredmetenih sredstev agencije, kar je v nasprotju členom 87 finančne uredbe in negativno vpliva na zmožnost agencije, da varuje svoje imetje; pozdravlja dejstvo, da bo agencija za stalno izboljševanje svojih postopkov izdala posodobljene notranje smernice za upravljanje evidence inventarja, sprejela pristop na podlagi tveganja za označevanje pohištva in izdala načrt potekajočih fizičnih pregledov, s čimer bo stalno potrjevala natančnost svoje evidence;</w:t>
      </w:r>
    </w:p>
    <w:p w:rsidR="00BA4545" w:rsidRPr="00467D88" w:rsidRDefault="00BA4545" w:rsidP="00BA4545">
      <w:pPr>
        <w:pStyle w:val="Normal12Hanging"/>
        <w:widowControl/>
        <w:rPr>
          <w:szCs w:val="24"/>
        </w:rPr>
      </w:pPr>
      <w:r w:rsidRPr="00467D88">
        <w:t>37.</w:t>
      </w:r>
      <w:r w:rsidRPr="00467D88">
        <w:tab/>
        <w:t>je seznanjen z ugotovitvijo iz poročila Računskega sodišča glede prispevka agencije k nekaterim vrstam stroškov otroškega varstva osebja, kot je jutranje in popoldansko varstvo na Nizozemskem; ugotavlja, da je v zvezi s šolskimi obroki sodišče ugotovilo, da agencija ni predložila vseh dokazil o opravljenih pregledih, ki dokazujejo, da so bili stroški šolskih obrokov izključeni, zaradi česar je vprašljivo, ali so se pregledi izvajali sistematično; na podlagi odgovora agencije ugotavlja, da so stroški obrokov izključeni iz šolnine in da bo agencija predložila dokazila, da so stroški šolskih obrokov izključeni iz izračuna prispevka;</w:t>
      </w:r>
    </w:p>
    <w:p w:rsidR="00BA4545" w:rsidRPr="00467D88" w:rsidRDefault="00BA4545" w:rsidP="00BA4545">
      <w:pPr>
        <w:pStyle w:val="Normal12Hanging"/>
        <w:widowControl/>
        <w:rPr>
          <w:szCs w:val="24"/>
        </w:rPr>
      </w:pPr>
      <w:r w:rsidRPr="00467D88">
        <w:t>38.</w:t>
      </w:r>
      <w:r w:rsidRPr="00467D88">
        <w:tab/>
        <w:t>je seznanjen z izidi dejavnosti, ki jih je opravila skupina agencije za notranjo revizijo, pri čemer je bilo v letu 2022 izdanih šest kritičnih in 19 zelo pomembnih priporočil; poziva agencijo, naj obravnava 14 glavnih priporočil, ki čakajo na akcijski načrt za izboljšanje na dan 31. decembra 2022, in organu za podelitev razrešnice poroča o napredku;</w:t>
      </w:r>
    </w:p>
    <w:p w:rsidR="00BA4545" w:rsidRPr="00467D88" w:rsidRDefault="00BA4545" w:rsidP="00BA4545">
      <w:pPr>
        <w:pStyle w:val="Normal12Hanging"/>
        <w:widowControl/>
        <w:rPr>
          <w:szCs w:val="24"/>
        </w:rPr>
      </w:pPr>
      <w:r w:rsidRPr="00467D88">
        <w:rPr>
          <w:b/>
          <w:i/>
        </w:rPr>
        <w:lastRenderedPageBreak/>
        <w:t>Druge pripombe</w:t>
      </w:r>
    </w:p>
    <w:p w:rsidR="00BA4545" w:rsidRPr="00467D88" w:rsidRDefault="00BA4545" w:rsidP="00BA4545">
      <w:pPr>
        <w:pStyle w:val="NormalHanging12a"/>
        <w:widowControl/>
        <w:rPr>
          <w:szCs w:val="24"/>
        </w:rPr>
      </w:pPr>
      <w:r w:rsidRPr="00467D88">
        <w:t>39.</w:t>
      </w:r>
      <w:r w:rsidRPr="00467D88">
        <w:tab/>
        <w:t>pozdravlja dejstvo, da je agencija svoje dolgoročne podnebne cilje uskladila s ciljem iz Uredbe (EU) 2021/1119</w:t>
      </w:r>
      <w:r w:rsidRPr="00467D88">
        <w:rPr>
          <w:rStyle w:val="FootnoteReference"/>
          <w:szCs w:val="24"/>
        </w:rPr>
        <w:footnoteReference w:id="15"/>
      </w:r>
      <w:r w:rsidRPr="00467D88">
        <w:t xml:space="preserve"> glede 55-odstotnega neto zmanjšanja emisij toplogrednih plinov do leta 2030 (v primerjavi z ravnmi iz leta 1990) in podnebne nevtralnosti do leta 2050; ugotavlja, da je tako določila cilj 15-odstotnega zmanjšanja porabe energije in vode na kvadratni meter pisarniških prostorov, ki naj bi ga dosegla med letoma 2012 in 2021; ugotavlja tudi, da je pri tem upoštevala svojo rast v tem obdobju in to, da se je po selitvi iz Londona v Amsterdam preselila v večjo, a tudi energetsko učinkovitejšo stavbo; ugotavlja še, da je ciljno vrednost presegla tako za energijo kot za vodo, in sicer je na kvadratni meter porabila za 45 % manj energije in 63 % vode;</w:t>
      </w:r>
    </w:p>
    <w:p w:rsidR="00BA4545" w:rsidRPr="00467D88" w:rsidRDefault="00BA4545" w:rsidP="00BA4545">
      <w:pPr>
        <w:pStyle w:val="NormalHanging12a"/>
        <w:widowControl/>
        <w:rPr>
          <w:szCs w:val="24"/>
        </w:rPr>
      </w:pPr>
      <w:r w:rsidRPr="00467D88">
        <w:t>40.</w:t>
      </w:r>
      <w:r w:rsidRPr="00467D88">
        <w:tab/>
        <w:t>je seznanjen, da se agencija pripravlja na certificiranje sistema za okoljsko ravnanje in presojo;</w:t>
      </w:r>
    </w:p>
    <w:p w:rsidR="00BA4545" w:rsidRPr="00467D88" w:rsidRDefault="00BA4545" w:rsidP="00BA4545">
      <w:pPr>
        <w:pStyle w:val="NormalHanging12a"/>
        <w:widowControl/>
        <w:rPr>
          <w:szCs w:val="24"/>
        </w:rPr>
      </w:pPr>
      <w:r w:rsidRPr="00467D88">
        <w:t>41.</w:t>
      </w:r>
      <w:r w:rsidRPr="00467D88">
        <w:tab/>
        <w:t>pozdravlja, da je agencija leta 2022 za povečanje kibernetske varnosti sprejela strategijo za informacijsko varnost in z njo povezan izvedbeni načrt, da bi povečala obstoječe zaščitne ukrepe in varnostne postopke za zaščito svojega informacijskega premoženja, hkrati pa podprla nove poslovne in tehnološke izzive; ugotavlja, da so bili v letu 2022 izvedeni tudi drugi pomembni ukrepi, vključno z novim programom varnostnega usposabljanja in ozaveščanja ter novim centrom za varnostne operacije, katerega cilj je stalno spremljati in izboljševati varnostno držo agencije ob preprečevanju, odkrivanju in analiziranju kibernetskih incidentov ter odzivanju nanje; ugotavlja tudi, da agencija tesno sodeluje s skupino za odzivanje na računalniške grožnje za institucije, organe in agencije EU ter z Agencijo Evropske unije za kibernetsko varnost, kar vključuje številne vidike področij informacijske in kibernetske varnosti, tudi razprave in redne posodobitve prihodnje uredbe o kibernetski varnosti za institucije, agencije in organe EU;</w:t>
      </w:r>
    </w:p>
    <w:p w:rsidR="00BA4545" w:rsidRPr="00467D88" w:rsidRDefault="00BA4545" w:rsidP="00BA4545">
      <w:pPr>
        <w:pStyle w:val="NormalHanging12a"/>
        <w:widowControl/>
        <w:rPr>
          <w:szCs w:val="24"/>
        </w:rPr>
      </w:pPr>
      <w:r w:rsidRPr="00467D88">
        <w:t>42.</w:t>
      </w:r>
      <w:r w:rsidRPr="00467D88">
        <w:tab/>
        <w:t>izreka pohvalo agenciji, ker je začela svetovati sponzorjem o tem, kako upravljati izvajanje kliničnih preskušanj glede na motnje, ki jih je povzročila ruska invazija na Ukrajino;</w:t>
      </w:r>
    </w:p>
    <w:p w:rsidR="00BA4545" w:rsidRPr="00467D88" w:rsidRDefault="00BA4545" w:rsidP="00BA4545">
      <w:pPr>
        <w:pStyle w:val="NormalCenter12a"/>
      </w:pPr>
      <w:r w:rsidRPr="00467D88">
        <w:t>°</w:t>
      </w:r>
    </w:p>
    <w:p w:rsidR="00BA4545" w:rsidRPr="00467D88" w:rsidRDefault="00BA4545" w:rsidP="00BA4545">
      <w:pPr>
        <w:pStyle w:val="NormalCenter12a"/>
      </w:pPr>
      <w:r w:rsidRPr="00467D88">
        <w:t>°</w:t>
      </w:r>
      <w:r w:rsidRPr="00467D88">
        <w:tab/>
        <w:t>°</w:t>
      </w:r>
    </w:p>
    <w:p w:rsidR="00E365E1" w:rsidRPr="004A25C3" w:rsidRDefault="00BA4545" w:rsidP="006305DC">
      <w:pPr>
        <w:pStyle w:val="NormalHanging12a"/>
      </w:pPr>
      <w:r w:rsidRPr="00467D88">
        <w:t>43.</w:t>
      </w:r>
      <w:r w:rsidRPr="00467D88">
        <w:tab/>
        <w:t xml:space="preserve">sporoča, da so druge ugotovitve horizontalne narave, ki spremljajo sklep o razrešnici, zbrane v resoluciji z dne </w:t>
      </w:r>
      <w:r w:rsidR="006305DC" w:rsidRPr="00467D88">
        <w:t>11. aprila 2024</w:t>
      </w:r>
      <w:r w:rsidRPr="00467D88">
        <w:rPr>
          <w:rStyle w:val="FootnoteReference"/>
        </w:rPr>
        <w:footnoteReference w:id="16"/>
      </w:r>
      <w:r w:rsidRPr="00467D88">
        <w:t xml:space="preserve"> o uspešnosti, finančnem </w:t>
      </w:r>
      <w:proofErr w:type="spellStart"/>
      <w:r w:rsidRPr="00467D88">
        <w:t>poslovodenju</w:t>
      </w:r>
      <w:proofErr w:type="spellEnd"/>
      <w:r w:rsidRPr="00467D88">
        <w:t xml:space="preserve"> in nadzoru agencij.</w:t>
      </w:r>
      <w:bookmarkStart w:id="11" w:name="TextBodyEnd"/>
      <w:bookmarkEnd w:id="11"/>
    </w:p>
    <w:sectPr w:rsidR="00E365E1" w:rsidRPr="004A25C3" w:rsidSect="004A25C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CC3" w:rsidRPr="004A25C3" w:rsidRDefault="000A5CC3">
      <w:r w:rsidRPr="004A25C3">
        <w:separator/>
      </w:r>
    </w:p>
  </w:endnote>
  <w:endnote w:type="continuationSeparator" w:id="0">
    <w:p w:rsidR="000A5CC3" w:rsidRPr="004A25C3" w:rsidRDefault="000A5CC3">
      <w:r w:rsidRPr="004A25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45" w:rsidRPr="004A25C3" w:rsidRDefault="00BA4545" w:rsidP="00CE2FCA">
    <w:pPr>
      <w:pStyle w:val="EPFooter"/>
    </w:pPr>
    <w:r w:rsidRPr="004A25C3">
      <w:t>PE</w:t>
    </w:r>
    <w:r w:rsidRPr="004A25C3">
      <w:rPr>
        <w:rStyle w:val="HideTWBExt"/>
      </w:rPr>
      <w:t>&lt;</w:t>
    </w:r>
    <w:proofErr w:type="spellStart"/>
    <w:r w:rsidRPr="004A25C3">
      <w:rPr>
        <w:rStyle w:val="HideTWBExt"/>
      </w:rPr>
      <w:t>NoPE</w:t>
    </w:r>
    <w:proofErr w:type="spellEnd"/>
    <w:r w:rsidRPr="004A25C3">
      <w:rPr>
        <w:rStyle w:val="HideTWBExt"/>
      </w:rPr>
      <w:t>&gt;</w:t>
    </w:r>
    <w:r w:rsidRPr="004A25C3">
      <w:t>753.524</w:t>
    </w:r>
    <w:r w:rsidRPr="004A25C3">
      <w:rPr>
        <w:rStyle w:val="HideTWBExt"/>
      </w:rPr>
      <w:t>&lt;/</w:t>
    </w:r>
    <w:proofErr w:type="spellStart"/>
    <w:r w:rsidRPr="004A25C3">
      <w:rPr>
        <w:rStyle w:val="HideTWBExt"/>
      </w:rPr>
      <w:t>NoPE</w:t>
    </w:r>
    <w:proofErr w:type="spellEnd"/>
    <w:r w:rsidRPr="004A25C3">
      <w:rPr>
        <w:rStyle w:val="HideTWBExt"/>
      </w:rPr>
      <w:t>&gt;&lt;Version&gt;</w:t>
    </w:r>
    <w:r w:rsidRPr="004A25C3">
      <w:t>v02-00</w:t>
    </w:r>
    <w:r w:rsidRPr="004A25C3">
      <w:rPr>
        <w:rStyle w:val="HideTWBExt"/>
      </w:rPr>
      <w:t>&lt;/</w:t>
    </w:r>
    <w:proofErr w:type="spellStart"/>
    <w:r w:rsidRPr="004A25C3">
      <w:rPr>
        <w:rStyle w:val="HideTWBExt"/>
      </w:rPr>
      <w:t>Version</w:t>
    </w:r>
    <w:proofErr w:type="spellEnd"/>
    <w:r w:rsidRPr="004A25C3">
      <w:rPr>
        <w:rStyle w:val="HideTWBExt"/>
      </w:rPr>
      <w:t>&gt;</w:t>
    </w:r>
    <w:r w:rsidRPr="004A25C3">
      <w:tab/>
    </w:r>
    <w:r w:rsidRPr="004A25C3">
      <w:fldChar w:fldCharType="begin"/>
    </w:r>
    <w:r w:rsidRPr="004A25C3">
      <w:instrText xml:space="preserve"> PAGE  \* MERGEFORMAT </w:instrText>
    </w:r>
    <w:r w:rsidRPr="004A25C3">
      <w:fldChar w:fldCharType="separate"/>
    </w:r>
    <w:r w:rsidR="004A25C3" w:rsidRPr="004A25C3">
      <w:rPr>
        <w:noProof/>
      </w:rPr>
      <w:t>2</w:t>
    </w:r>
    <w:r w:rsidRPr="004A25C3">
      <w:fldChar w:fldCharType="end"/>
    </w:r>
    <w:r w:rsidRPr="004A25C3">
      <w:t>/</w:t>
    </w:r>
    <w:fldSimple w:instr=" NUMPAGES  \* MERGEFORMAT ">
      <w:r w:rsidR="004A25C3" w:rsidRPr="004A25C3">
        <w:rPr>
          <w:noProof/>
        </w:rPr>
        <w:t>4</w:t>
      </w:r>
    </w:fldSimple>
    <w:r w:rsidRPr="004A25C3">
      <w:tab/>
    </w:r>
    <w:r w:rsidRPr="004A25C3">
      <w:rPr>
        <w:rStyle w:val="HideTWBExt"/>
      </w:rPr>
      <w:t>&lt;PathFdR&gt;</w:t>
    </w:r>
    <w:r w:rsidRPr="004A25C3">
      <w:t>RR\1299241SL.docx</w:t>
    </w:r>
    <w:r w:rsidRPr="004A25C3">
      <w:rPr>
        <w:rStyle w:val="HideTWBExt"/>
      </w:rPr>
      <w:t>&lt;/</w:t>
    </w:r>
    <w:proofErr w:type="spellStart"/>
    <w:r w:rsidRPr="004A25C3">
      <w:rPr>
        <w:rStyle w:val="HideTWBExt"/>
      </w:rPr>
      <w:t>PathFdR</w:t>
    </w:r>
    <w:proofErr w:type="spellEnd"/>
    <w:r w:rsidRPr="004A25C3">
      <w:rPr>
        <w:rStyle w:val="HideTWBExt"/>
      </w:rPr>
      <w:t>&gt;</w:t>
    </w:r>
  </w:p>
  <w:p w:rsidR="00BA4545" w:rsidRPr="004A25C3" w:rsidRDefault="00BA4545" w:rsidP="00CE2FCA">
    <w:pPr>
      <w:pStyle w:val="EPFooter2"/>
    </w:pPr>
    <w:r w:rsidRPr="004A25C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45" w:rsidRPr="004A25C3" w:rsidRDefault="00BA4545" w:rsidP="00CE2FC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45" w:rsidRPr="004A25C3" w:rsidRDefault="00BA4545" w:rsidP="00CE2FCA">
    <w:pPr>
      <w:pStyle w:val="EPFooter"/>
    </w:pPr>
    <w:r w:rsidRPr="004A25C3">
      <w:rPr>
        <w:rStyle w:val="HideTWBExt"/>
      </w:rPr>
      <w:t>&lt;PathFdR&gt;</w:t>
    </w:r>
    <w:r w:rsidRPr="004A25C3">
      <w:t>RR\1299241SL.docx</w:t>
    </w:r>
    <w:r w:rsidRPr="004A25C3">
      <w:rPr>
        <w:rStyle w:val="HideTWBExt"/>
      </w:rPr>
      <w:t>&lt;/</w:t>
    </w:r>
    <w:proofErr w:type="spellStart"/>
    <w:r w:rsidRPr="004A25C3">
      <w:rPr>
        <w:rStyle w:val="HideTWBExt"/>
      </w:rPr>
      <w:t>PathFdR</w:t>
    </w:r>
    <w:proofErr w:type="spellEnd"/>
    <w:r w:rsidRPr="004A25C3">
      <w:rPr>
        <w:rStyle w:val="HideTWBExt"/>
      </w:rPr>
      <w:t>&gt;</w:t>
    </w:r>
    <w:r w:rsidRPr="004A25C3">
      <w:tab/>
    </w:r>
    <w:r w:rsidRPr="004A25C3">
      <w:tab/>
      <w:t>PE</w:t>
    </w:r>
    <w:r w:rsidRPr="004A25C3">
      <w:rPr>
        <w:rStyle w:val="HideTWBExt"/>
      </w:rPr>
      <w:t>&lt;</w:t>
    </w:r>
    <w:proofErr w:type="spellStart"/>
    <w:r w:rsidRPr="004A25C3">
      <w:rPr>
        <w:rStyle w:val="HideTWBExt"/>
      </w:rPr>
      <w:t>NoPE</w:t>
    </w:r>
    <w:proofErr w:type="spellEnd"/>
    <w:r w:rsidRPr="004A25C3">
      <w:rPr>
        <w:rStyle w:val="HideTWBExt"/>
      </w:rPr>
      <w:t>&gt;</w:t>
    </w:r>
    <w:r w:rsidRPr="004A25C3">
      <w:t>753.524</w:t>
    </w:r>
    <w:r w:rsidRPr="004A25C3">
      <w:rPr>
        <w:rStyle w:val="HideTWBExt"/>
      </w:rPr>
      <w:t>&lt;/</w:t>
    </w:r>
    <w:proofErr w:type="spellStart"/>
    <w:r w:rsidRPr="004A25C3">
      <w:rPr>
        <w:rStyle w:val="HideTWBExt"/>
      </w:rPr>
      <w:t>NoPE</w:t>
    </w:r>
    <w:proofErr w:type="spellEnd"/>
    <w:r w:rsidRPr="004A25C3">
      <w:rPr>
        <w:rStyle w:val="HideTWBExt"/>
      </w:rPr>
      <w:t>&gt;&lt;Version&gt;</w:t>
    </w:r>
    <w:r w:rsidRPr="004A25C3">
      <w:t>v02-00</w:t>
    </w:r>
    <w:r w:rsidRPr="004A25C3">
      <w:rPr>
        <w:rStyle w:val="HideTWBExt"/>
      </w:rPr>
      <w:t>&lt;/</w:t>
    </w:r>
    <w:proofErr w:type="spellStart"/>
    <w:r w:rsidRPr="004A25C3">
      <w:rPr>
        <w:rStyle w:val="HideTWBExt"/>
      </w:rPr>
      <w:t>Version</w:t>
    </w:r>
    <w:proofErr w:type="spellEnd"/>
    <w:r w:rsidRPr="004A25C3">
      <w:rPr>
        <w:rStyle w:val="HideTWBExt"/>
      </w:rPr>
      <w:t>&gt;</w:t>
    </w:r>
  </w:p>
  <w:p w:rsidR="00BA4545" w:rsidRPr="004A25C3" w:rsidRDefault="00BA4545" w:rsidP="00CE2FCA">
    <w:pPr>
      <w:pStyle w:val="EPFooter2"/>
    </w:pPr>
    <w:r w:rsidRPr="004A25C3">
      <w:t>SL</w:t>
    </w:r>
    <w:r w:rsidRPr="004A25C3">
      <w:tab/>
    </w:r>
    <w:r w:rsidRPr="004A25C3">
      <w:rPr>
        <w:b w:val="0"/>
        <w:i/>
        <w:color w:val="C0C0C0"/>
        <w:sz w:val="22"/>
      </w:rPr>
      <w:t>Združena v raznolikosti</w:t>
    </w:r>
    <w:r w:rsidRPr="004A25C3">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5C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5C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5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CC3" w:rsidRPr="004A25C3" w:rsidRDefault="000A5CC3">
      <w:r w:rsidRPr="004A25C3">
        <w:separator/>
      </w:r>
    </w:p>
  </w:footnote>
  <w:footnote w:type="continuationSeparator" w:id="0">
    <w:p w:rsidR="000A5CC3" w:rsidRPr="004A25C3" w:rsidRDefault="000A5CC3">
      <w:r w:rsidRPr="004A25C3">
        <w:continuationSeparator/>
      </w:r>
    </w:p>
  </w:footnote>
  <w:footnote w:id="1">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C, C/2023/594, 27.10.2023.</w:t>
      </w:r>
    </w:p>
  </w:footnote>
  <w:footnote w:id="2">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C, C/2023/112, 12.10.2023.</w:t>
      </w:r>
    </w:p>
  </w:footnote>
  <w:footnote w:id="3">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L 193, 30.7.2018, str. 1.</w:t>
      </w:r>
    </w:p>
  </w:footnote>
  <w:footnote w:id="4">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L 136, 30.4.2004, str. 1.</w:t>
      </w:r>
    </w:p>
  </w:footnote>
  <w:footnote w:id="5">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L 122, 10.5.2019, str. 1.</w:t>
      </w:r>
    </w:p>
  </w:footnote>
  <w:footnote w:id="6">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C, C/2023/594, 27.10.2023.</w:t>
      </w:r>
    </w:p>
  </w:footnote>
  <w:footnote w:id="7">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C, C/2023/112, 12.10.2023.</w:t>
      </w:r>
    </w:p>
  </w:footnote>
  <w:footnote w:id="8">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L 193, 30.7.2018, str. 1.</w:t>
      </w:r>
    </w:p>
  </w:footnote>
  <w:footnote w:id="9">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L 136, 30.4.2004, str. 1.</w:t>
      </w:r>
    </w:p>
  </w:footnote>
  <w:footnote w:id="10">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UL L 122, 10.5.2019, str. 1.</w:t>
      </w:r>
    </w:p>
  </w:footnote>
  <w:footnote w:id="11">
    <w:p w:rsidR="00BA4545" w:rsidRPr="004A25C3" w:rsidRDefault="00BA4545" w:rsidP="004A25C3">
      <w:pPr>
        <w:pStyle w:val="FootnoteText"/>
        <w:ind w:left="567" w:hanging="567"/>
        <w:rPr>
          <w:sz w:val="24"/>
          <w:lang w:val="sl-SI"/>
        </w:rPr>
      </w:pPr>
      <w:r w:rsidRPr="004A25C3">
        <w:rPr>
          <w:sz w:val="24"/>
          <w:vertAlign w:val="superscript"/>
          <w:lang w:val="sl-SI"/>
        </w:rPr>
        <w:footnoteRef/>
      </w:r>
      <w:r w:rsidR="004A25C3" w:rsidRPr="004A25C3">
        <w:rPr>
          <w:sz w:val="24"/>
          <w:lang w:val="sl-SI"/>
        </w:rPr>
        <w:t xml:space="preserve"> </w:t>
      </w:r>
      <w:r w:rsidR="004A25C3" w:rsidRPr="004A25C3">
        <w:rPr>
          <w:sz w:val="24"/>
          <w:lang w:val="sl-SI"/>
        </w:rPr>
        <w:tab/>
      </w:r>
      <w:r w:rsidRPr="004A25C3">
        <w:rPr>
          <w:sz w:val="24"/>
          <w:lang w:val="sl-SI"/>
        </w:rPr>
        <w:t>UL C 489, 22.12.2022, str. 7.</w:t>
      </w:r>
    </w:p>
  </w:footnote>
  <w:footnote w:id="12">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Uredba (EU) št. 536/2014 Evropskega parlamenta in Sveta z dne 16. aprila 2014 o kliničnem preskušanju zdravil za uporabo v humani medicini in razveljavitvi Direktive 2001/20/ES (UL L 158, 27.5.2014, str. 1).</w:t>
      </w:r>
    </w:p>
  </w:footnote>
  <w:footnote w:id="13">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Uredba (EU) 2019/6 Evropskega parlamenta in Sveta z dne 11. decembra 2018 o zdravilih za uporabo v veterinarski medicini in razveljavitvi Direktive 2001/82/ES (UL L 4, 7.1.2019, str. 43).</w:t>
      </w:r>
    </w:p>
  </w:footnote>
  <w:footnote w:id="14">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Uredba (EU) 2022/123 Evropskega parlamenta in Sveta z dne 25. januarja 2022 o okrepljeni vlogi Evropske agencije za zdravila pri pripravljenosti na krize in kriznem upravljanju na področju zdravil in medicinskih pripomočkov (UL L 20, 31.1.2022, str. 1).</w:t>
      </w:r>
    </w:p>
  </w:footnote>
  <w:footnote w:id="15">
    <w:p w:rsidR="00BA4545" w:rsidRPr="004A25C3" w:rsidRDefault="00BA4545" w:rsidP="004A25C3">
      <w:pPr>
        <w:pStyle w:val="FootnoteText"/>
        <w:ind w:left="567" w:hanging="567"/>
        <w:rPr>
          <w:sz w:val="24"/>
          <w:szCs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Uredba (EU) 2021/1119 Evropskega parlamenta in Sveta z dne 30. junija 2021 o vzpostavitvi okvira za doseganje podnebne nevtralnosti in spremembi uredb (ES) št. 401/2009 in (EU) 2018/1999 (evropska podnebna pravila) (UL L 243, 9.7.2021, str. 1).</w:t>
      </w:r>
    </w:p>
  </w:footnote>
  <w:footnote w:id="16">
    <w:p w:rsidR="00BA4545" w:rsidRPr="004A25C3" w:rsidRDefault="00BA4545" w:rsidP="004A25C3">
      <w:pPr>
        <w:pStyle w:val="FootnoteText"/>
        <w:ind w:left="567" w:hanging="567"/>
        <w:rPr>
          <w:sz w:val="24"/>
          <w:lang w:val="sl-SI"/>
        </w:rPr>
      </w:pPr>
      <w:r w:rsidRPr="004A25C3">
        <w:rPr>
          <w:rStyle w:val="FootnoteReference"/>
          <w:sz w:val="24"/>
          <w:lang w:val="sl-SI"/>
        </w:rPr>
        <w:footnoteRef/>
      </w:r>
      <w:r w:rsidR="004A25C3" w:rsidRPr="004A25C3">
        <w:rPr>
          <w:sz w:val="24"/>
          <w:lang w:val="sl-SI"/>
        </w:rPr>
        <w:t xml:space="preserve"> </w:t>
      </w:r>
      <w:r w:rsidR="004A25C3" w:rsidRPr="004A25C3">
        <w:rPr>
          <w:sz w:val="24"/>
          <w:lang w:val="sl-SI"/>
        </w:rPr>
        <w:tab/>
      </w:r>
      <w:r w:rsidRPr="004A25C3">
        <w:rPr>
          <w:sz w:val="24"/>
          <w:lang w:val="sl-SI"/>
        </w:rPr>
        <w:t>Sprejeta besedila, P9_TA(2024)</w:t>
      </w:r>
      <w:r w:rsidR="005B26BB">
        <w:rPr>
          <w:sz w:val="24"/>
          <w:lang w:val="sl-SI"/>
        </w:rPr>
        <w:t>0280</w:t>
      </w:r>
      <w:r w:rsidRPr="004A25C3">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45" w:rsidRPr="004A25C3" w:rsidRDefault="00BA4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45" w:rsidRPr="004A25C3" w:rsidRDefault="00BA45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45" w:rsidRPr="004A25C3" w:rsidRDefault="00BA45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5C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5C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25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SL"/>
    <w:docVar w:name="dvnumam" w:val="0"/>
    <w:docVar w:name="dvpe" w:val="753.524"/>
    <w:docVar w:name="dvrapporteur" w:val="Poročevalec: "/>
    <w:docVar w:name="dvtitre" w:val="Sklep Evropskega parlamenta z dne … 2024 o razrešnici glede izvrševanja proračuna Evropske agencije za zdravila za proračunsko leto 2022(2023/2156(DEC))"/>
  </w:docVars>
  <w:rsids>
    <w:rsidRoot w:val="000A5CC3"/>
    <w:rsid w:val="00002272"/>
    <w:rsid w:val="00064002"/>
    <w:rsid w:val="000677B9"/>
    <w:rsid w:val="000831BA"/>
    <w:rsid w:val="000A42CC"/>
    <w:rsid w:val="000A5CC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7D88"/>
    <w:rsid w:val="00471C19"/>
    <w:rsid w:val="004867E3"/>
    <w:rsid w:val="00494A28"/>
    <w:rsid w:val="004A25C3"/>
    <w:rsid w:val="004C0004"/>
    <w:rsid w:val="004C5D52"/>
    <w:rsid w:val="004E1257"/>
    <w:rsid w:val="0050519A"/>
    <w:rsid w:val="005072A1"/>
    <w:rsid w:val="00514517"/>
    <w:rsid w:val="00545827"/>
    <w:rsid w:val="00560270"/>
    <w:rsid w:val="005B26BB"/>
    <w:rsid w:val="005C2568"/>
    <w:rsid w:val="006037C0"/>
    <w:rsid w:val="006305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54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36684"/>
  <w15:chartTrackingRefBased/>
  <w15:docId w15:val="{2FC24950-2A75-4EC2-8F01-99D7167D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45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4545"/>
    <w:pPr>
      <w:spacing w:before="480" w:after="240"/>
    </w:pPr>
  </w:style>
  <w:style w:type="paragraph" w:customStyle="1" w:styleId="PageHeading">
    <w:name w:val="PageHeading"/>
    <w:basedOn w:val="Normal"/>
    <w:rsid w:val="00BA4545"/>
    <w:pPr>
      <w:keepNext/>
      <w:spacing w:after="480"/>
      <w:jc w:val="center"/>
    </w:pPr>
    <w:rPr>
      <w:rFonts w:ascii="Arial" w:hAnsi="Arial" w:cs="Arial"/>
      <w:b/>
    </w:rPr>
  </w:style>
  <w:style w:type="paragraph" w:customStyle="1" w:styleId="NormalBold">
    <w:name w:val="NormalBold"/>
    <w:basedOn w:val="Normal"/>
    <w:rsid w:val="00BA4545"/>
    <w:rPr>
      <w:b/>
    </w:rPr>
  </w:style>
  <w:style w:type="paragraph" w:customStyle="1" w:styleId="NormalHanging12a">
    <w:name w:val="NormalHanging12a"/>
    <w:basedOn w:val="Normal"/>
    <w:link w:val="NormalHanging12aChar"/>
    <w:rsid w:val="00BA4545"/>
    <w:pPr>
      <w:spacing w:after="240"/>
      <w:ind w:left="567" w:hanging="567"/>
    </w:pPr>
  </w:style>
  <w:style w:type="paragraph" w:customStyle="1" w:styleId="NormalCenter12a">
    <w:name w:val="NormalCenter12a"/>
    <w:basedOn w:val="Normal"/>
    <w:rsid w:val="00BA4545"/>
    <w:pPr>
      <w:spacing w:after="240"/>
      <w:jc w:val="center"/>
    </w:pPr>
  </w:style>
  <w:style w:type="paragraph" w:styleId="Header">
    <w:name w:val="header"/>
    <w:basedOn w:val="Normal"/>
    <w:link w:val="HeaderChar"/>
    <w:rsid w:val="00BA4545"/>
    <w:pPr>
      <w:tabs>
        <w:tab w:val="center" w:pos="4513"/>
        <w:tab w:val="right" w:pos="9026"/>
      </w:tabs>
    </w:pPr>
  </w:style>
  <w:style w:type="character" w:customStyle="1" w:styleId="HeaderChar">
    <w:name w:val="Header Char"/>
    <w:basedOn w:val="DefaultParagraphFont"/>
    <w:link w:val="Header"/>
    <w:rsid w:val="00BA4545"/>
    <w:rPr>
      <w:sz w:val="24"/>
      <w:lang w:val="sl-SI"/>
    </w:rPr>
  </w:style>
  <w:style w:type="paragraph" w:customStyle="1" w:styleId="EPFooter">
    <w:name w:val="EPFooter"/>
    <w:basedOn w:val="Normal"/>
    <w:rsid w:val="00BA454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A4545"/>
    <w:rPr>
      <w:sz w:val="24"/>
      <w:lang w:val="sl-SI"/>
    </w:rPr>
  </w:style>
  <w:style w:type="paragraph" w:customStyle="1" w:styleId="Normal12Hanging">
    <w:name w:val="Normal12Hanging"/>
    <w:basedOn w:val="Normal"/>
    <w:rsid w:val="00BA4545"/>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0468E-9392-4B90-905D-D02EF1C80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4350</Words>
  <Characters>25499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2024-05-21T12:13:00Z</dcterms:created>
  <dcterms:modified xsi:type="dcterms:W3CDTF">2024-05-21T12:13:00Z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P9_TA(2024)0245_</vt:lpwstr>
  </property>
  <property fmtid="{D5CDD505-2E9C-101B-9397-08002B2CF9AE}" pid="4" name="&lt;Type&gt;">
    <vt:lpwstr>RR</vt:lpwstr>
  </property>
</Properties>
</file>