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37B" w14:paraId="4E7552FD" w14:textId="77777777" w:rsidTr="0010095E">
        <w:trPr>
          <w:trHeight w:hRule="exact" w:val="1418"/>
        </w:trPr>
        <w:tc>
          <w:tcPr>
            <w:tcW w:w="6804" w:type="dxa"/>
            <w:shd w:val="clear" w:color="auto" w:fill="auto"/>
            <w:vAlign w:val="center"/>
          </w:tcPr>
          <w:p w14:paraId="530AA0E1" w14:textId="77777777" w:rsidR="00751A4A" w:rsidRPr="006A537B" w:rsidRDefault="00F739D5" w:rsidP="0010095E">
            <w:pPr>
              <w:pStyle w:val="EPName"/>
            </w:pPr>
            <w:r w:rsidRPr="006A537B">
              <w:t>Europaparlamentet</w:t>
            </w:r>
          </w:p>
          <w:p w14:paraId="59CABBEB" w14:textId="77777777" w:rsidR="00751A4A" w:rsidRPr="006A537B" w:rsidRDefault="00817416" w:rsidP="00756632">
            <w:pPr>
              <w:pStyle w:val="EPTerm"/>
              <w:rPr>
                <w:rStyle w:val="HideTWBExt"/>
                <w:noProof w:val="0"/>
                <w:vanish w:val="0"/>
                <w:color w:val="auto"/>
              </w:rPr>
            </w:pPr>
            <w:r w:rsidRPr="006A537B">
              <w:t>2019-2024</w:t>
            </w:r>
          </w:p>
        </w:tc>
        <w:tc>
          <w:tcPr>
            <w:tcW w:w="2268" w:type="dxa"/>
            <w:shd w:val="clear" w:color="auto" w:fill="auto"/>
          </w:tcPr>
          <w:p w14:paraId="5197FA97" w14:textId="77777777" w:rsidR="00751A4A" w:rsidRPr="006A537B" w:rsidRDefault="00187494" w:rsidP="0010095E">
            <w:pPr>
              <w:pStyle w:val="EPLogo"/>
            </w:pPr>
            <w:r w:rsidRPr="006A537B">
              <w:rPr>
                <w:noProof/>
                <w:lang w:val="en-GB"/>
              </w:rPr>
              <w:drawing>
                <wp:inline distT="0" distB="0" distL="0" distR="0" wp14:anchorId="4CB56986" wp14:editId="669E1A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FD8F7A" w14:textId="77777777" w:rsidR="00D058B8" w:rsidRPr="006A537B" w:rsidRDefault="00D058B8" w:rsidP="004C5D52">
      <w:pPr>
        <w:pStyle w:val="LineTop"/>
      </w:pPr>
    </w:p>
    <w:p w14:paraId="6B75ED72" w14:textId="77777777" w:rsidR="00680577" w:rsidRPr="006A537B" w:rsidRDefault="00F739D5" w:rsidP="00680577">
      <w:pPr>
        <w:pStyle w:val="EPBodyTA1"/>
      </w:pPr>
      <w:r w:rsidRPr="006A537B">
        <w:t>ANTAGNA TEXTER</w:t>
      </w:r>
    </w:p>
    <w:p w14:paraId="26231C1C" w14:textId="77777777" w:rsidR="00D058B8" w:rsidRPr="006A537B" w:rsidRDefault="00D058B8" w:rsidP="00D058B8">
      <w:pPr>
        <w:pStyle w:val="LineBottom"/>
      </w:pPr>
    </w:p>
    <w:p w14:paraId="2BFA3504" w14:textId="2C1ED410" w:rsidR="00F739D5" w:rsidRPr="006A537B" w:rsidRDefault="00F739D5" w:rsidP="00F739D5">
      <w:pPr>
        <w:pStyle w:val="ATHeading1"/>
      </w:pPr>
      <w:bookmarkStart w:id="0" w:name="TANumber"/>
      <w:r w:rsidRPr="006A537B">
        <w:t>P9_TA(2024)0</w:t>
      </w:r>
      <w:bookmarkEnd w:id="0"/>
      <w:r w:rsidR="006A537B" w:rsidRPr="006A537B">
        <w:t>245</w:t>
      </w:r>
    </w:p>
    <w:p w14:paraId="38D0A1EF" w14:textId="77777777" w:rsidR="00F739D5" w:rsidRPr="006A537B" w:rsidRDefault="00F739D5" w:rsidP="00F739D5">
      <w:pPr>
        <w:pStyle w:val="ATHeading2"/>
      </w:pPr>
      <w:bookmarkStart w:id="1" w:name="title"/>
      <w:r w:rsidRPr="006A537B">
        <w:t>Ansvarsfrihet 2022: Europeiska läkemedelsmyndigheten</w:t>
      </w:r>
      <w:bookmarkEnd w:id="1"/>
    </w:p>
    <w:p w14:paraId="36E1329B" w14:textId="77777777" w:rsidR="00F739D5" w:rsidRPr="006A537B" w:rsidRDefault="00F739D5" w:rsidP="00F739D5">
      <w:pPr>
        <w:rPr>
          <w:i/>
          <w:vanish/>
        </w:rPr>
      </w:pPr>
      <w:r w:rsidRPr="006A537B">
        <w:rPr>
          <w:i/>
        </w:rPr>
        <w:fldChar w:fldCharType="begin"/>
      </w:r>
      <w:r w:rsidRPr="006A537B">
        <w:rPr>
          <w:i/>
        </w:rPr>
        <w:instrText xml:space="preserve"> TC"(</w:instrText>
      </w:r>
      <w:bookmarkStart w:id="2" w:name="DocNumber"/>
      <w:r w:rsidRPr="006A537B">
        <w:rPr>
          <w:i/>
        </w:rPr>
        <w:instrText>A9-0133/2024</w:instrText>
      </w:r>
      <w:bookmarkEnd w:id="2"/>
      <w:r w:rsidRPr="006A537B">
        <w:rPr>
          <w:i/>
        </w:rPr>
        <w:instrText xml:space="preserve"> - Föredragande: Petri </w:instrText>
      </w:r>
      <w:proofErr w:type="spellStart"/>
      <w:r w:rsidRPr="006A537B">
        <w:rPr>
          <w:i/>
        </w:rPr>
        <w:instrText>Sarvamaa</w:instrText>
      </w:r>
      <w:proofErr w:type="spellEnd"/>
      <w:r w:rsidRPr="006A537B">
        <w:rPr>
          <w:i/>
        </w:rPr>
        <w:instrText xml:space="preserve">)"\l3 \n&gt; \* MERGEFORMAT </w:instrText>
      </w:r>
      <w:r w:rsidRPr="006A537B">
        <w:rPr>
          <w:i/>
        </w:rPr>
        <w:fldChar w:fldCharType="end"/>
      </w:r>
    </w:p>
    <w:p w14:paraId="785F238C" w14:textId="77777777" w:rsidR="00F739D5" w:rsidRPr="006A537B" w:rsidRDefault="00F739D5" w:rsidP="00F739D5">
      <w:pPr>
        <w:rPr>
          <w:vanish/>
        </w:rPr>
      </w:pPr>
      <w:bookmarkStart w:id="3" w:name="Commission"/>
      <w:r w:rsidRPr="006A537B">
        <w:rPr>
          <w:vanish/>
        </w:rPr>
        <w:t>Budgetkontrollutskottet</w:t>
      </w:r>
      <w:bookmarkEnd w:id="3"/>
    </w:p>
    <w:p w14:paraId="74E39762" w14:textId="77777777" w:rsidR="00F739D5" w:rsidRPr="006A537B" w:rsidRDefault="00F739D5" w:rsidP="00F739D5">
      <w:pPr>
        <w:rPr>
          <w:vanish/>
        </w:rPr>
      </w:pPr>
      <w:bookmarkStart w:id="4" w:name="PE"/>
      <w:r w:rsidRPr="006A537B">
        <w:rPr>
          <w:vanish/>
        </w:rPr>
        <w:t>PE753.524</w:t>
      </w:r>
      <w:bookmarkEnd w:id="4"/>
    </w:p>
    <w:p w14:paraId="5A338F99" w14:textId="40C63239" w:rsidR="00F739D5" w:rsidRPr="006A537B" w:rsidRDefault="006A034C" w:rsidP="00F739D5">
      <w:pPr>
        <w:pStyle w:val="ATHeading3"/>
      </w:pPr>
      <w:bookmarkStart w:id="5" w:name="Sujet"/>
      <w:r w:rsidRPr="006A537B">
        <w:t xml:space="preserve">1. </w:t>
      </w:r>
      <w:r w:rsidR="00F739D5" w:rsidRPr="006A537B">
        <w:t xml:space="preserve">Europaparlamentets beslut av den </w:t>
      </w:r>
      <w:r w:rsidRPr="006A537B">
        <w:t>11</w:t>
      </w:r>
      <w:r w:rsidR="00F739D5" w:rsidRPr="006A537B">
        <w:t xml:space="preserve"> </w:t>
      </w:r>
      <w:r w:rsidR="007D7DC8" w:rsidRPr="006A537B">
        <w:t>april</w:t>
      </w:r>
      <w:r w:rsidR="00F739D5" w:rsidRPr="006A537B">
        <w:t xml:space="preserve"> 2024 om ansvarsfrihet för genomförandet av budgeten för Europ</w:t>
      </w:r>
      <w:bookmarkStart w:id="6" w:name="_GoBack"/>
      <w:bookmarkEnd w:id="6"/>
      <w:r w:rsidR="00F739D5" w:rsidRPr="006A537B">
        <w:t>eiska läkemedelsmyndigheten för budgetåret 2022</w:t>
      </w:r>
      <w:bookmarkEnd w:id="5"/>
      <w:r w:rsidR="00F739D5" w:rsidRPr="006A537B">
        <w:t xml:space="preserve"> </w:t>
      </w:r>
      <w:bookmarkStart w:id="7" w:name="References"/>
      <w:r w:rsidR="00F739D5" w:rsidRPr="006A537B">
        <w:t>(2023/2156(DEC))</w:t>
      </w:r>
      <w:bookmarkEnd w:id="7"/>
    </w:p>
    <w:p w14:paraId="0718CA4F" w14:textId="77777777" w:rsidR="0024145D" w:rsidRPr="006A537B" w:rsidRDefault="0024145D" w:rsidP="0024145D">
      <w:pPr>
        <w:pStyle w:val="EPComma"/>
      </w:pPr>
      <w:bookmarkStart w:id="8" w:name="TextBodyBegin"/>
      <w:bookmarkEnd w:id="8"/>
      <w:r w:rsidRPr="006A537B">
        <w:rPr>
          <w:i/>
          <w:iCs/>
        </w:rPr>
        <w:t>Europaparlamentet fattar detta beslut</w:t>
      </w:r>
    </w:p>
    <w:p w14:paraId="5D15F77D" w14:textId="77777777" w:rsidR="0024145D" w:rsidRPr="006A537B" w:rsidRDefault="0024145D" w:rsidP="0024145D">
      <w:pPr>
        <w:pStyle w:val="NormalHanging12a"/>
      </w:pPr>
      <w:r w:rsidRPr="006A537B">
        <w:t>–</w:t>
      </w:r>
      <w:r w:rsidRPr="006A537B">
        <w:tab/>
        <w:t>med beaktande av den slutliga årsredovisningen för Europeiska läkemedelsmyndigheten för budgetåret 2022,</w:t>
      </w:r>
    </w:p>
    <w:p w14:paraId="2EC4587E" w14:textId="77777777" w:rsidR="0024145D" w:rsidRPr="006A537B" w:rsidRDefault="0024145D" w:rsidP="0024145D">
      <w:pPr>
        <w:pStyle w:val="NormalHanging12a"/>
      </w:pPr>
      <w:r w:rsidRPr="006A537B">
        <w:t>–</w:t>
      </w:r>
      <w:r w:rsidRPr="006A537B">
        <w:tab/>
        <w:t>med beaktande av revisionsrättens årsrapport om EU:s byråer för budgetåret 2022, med byråernas svar</w:t>
      </w:r>
      <w:r w:rsidRPr="006A537B">
        <w:rPr>
          <w:rStyle w:val="FootnoteReference"/>
        </w:rPr>
        <w:footnoteReference w:id="1"/>
      </w:r>
      <w:r w:rsidRPr="006A537B">
        <w:t>,</w:t>
      </w:r>
    </w:p>
    <w:p w14:paraId="3D83AAB2" w14:textId="77777777" w:rsidR="0024145D" w:rsidRPr="006A537B" w:rsidRDefault="0024145D" w:rsidP="0024145D">
      <w:pPr>
        <w:pStyle w:val="NormalHanging12a"/>
      </w:pPr>
      <w:r w:rsidRPr="006A537B">
        <w:t>–</w:t>
      </w:r>
      <w:r w:rsidRPr="006A537B">
        <w:tab/>
        <w:t>med beaktande av förklaringen om räkenskapernas tillförlitlighet och de underliggande transaktionernas laglighet och korrekthet</w:t>
      </w:r>
      <w:r w:rsidRPr="006A537B">
        <w:rPr>
          <w:rStyle w:val="FootnoteReference"/>
        </w:rPr>
        <w:footnoteReference w:id="2"/>
      </w:r>
      <w:r w:rsidRPr="006A537B">
        <w:t>, som avgetts av revisionsrätten för budgetåret 2022 i enlighet med artikel 287 i fördraget om Europeiska unionens funktionssätt,</w:t>
      </w:r>
    </w:p>
    <w:p w14:paraId="7F384F18" w14:textId="12CA84EE" w:rsidR="0024145D" w:rsidRPr="006A537B" w:rsidRDefault="0024145D" w:rsidP="0024145D">
      <w:pPr>
        <w:pStyle w:val="NormalHanging12a"/>
      </w:pPr>
      <w:r w:rsidRPr="006A537B">
        <w:t>–</w:t>
      </w:r>
      <w:r w:rsidRPr="006A537B">
        <w:tab/>
        <w:t>med beaktande av rådets rekommendation av den 22 februari 2024 om att bevilja myndigheten ansvarsfrihet för genomförandet av budgeten för budgetåret 2022 (</w:t>
      </w:r>
      <w:r w:rsidR="00B61D73" w:rsidRPr="006A537B">
        <w:t>06180</w:t>
      </w:r>
      <w:r w:rsidRPr="006A537B">
        <w:t>/2024 – C9</w:t>
      </w:r>
      <w:r w:rsidRPr="006A537B">
        <w:noBreakHyphen/>
      </w:r>
      <w:r w:rsidR="00B61D73" w:rsidRPr="006A537B">
        <w:t>0094</w:t>
      </w:r>
      <w:r w:rsidRPr="006A537B">
        <w:t>/2024),</w:t>
      </w:r>
    </w:p>
    <w:p w14:paraId="2E3F4328" w14:textId="77777777" w:rsidR="0024145D" w:rsidRPr="006A537B" w:rsidRDefault="0024145D" w:rsidP="0024145D">
      <w:pPr>
        <w:pStyle w:val="NormalHanging12a"/>
      </w:pPr>
      <w:r w:rsidRPr="006A537B">
        <w:t>–</w:t>
      </w:r>
      <w:r w:rsidRPr="006A537B">
        <w:tab/>
        <w:t>med beaktande av artikel 319 i fördraget om Europeiska unionens funktionssätt,</w:t>
      </w:r>
    </w:p>
    <w:p w14:paraId="4C001DB0" w14:textId="77777777" w:rsidR="0024145D" w:rsidRPr="006A537B" w:rsidRDefault="0024145D" w:rsidP="0024145D">
      <w:pPr>
        <w:pStyle w:val="NormalHanging12a"/>
      </w:pPr>
      <w:r w:rsidRPr="006A537B">
        <w:t>–</w:t>
      </w:r>
      <w:r w:rsidRPr="006A537B">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6A537B">
        <w:rPr>
          <w:rStyle w:val="FootnoteReference"/>
        </w:rPr>
        <w:footnoteReference w:id="3"/>
      </w:r>
      <w:r w:rsidRPr="006A537B">
        <w:t>, särskilt artikel 70,</w:t>
      </w:r>
    </w:p>
    <w:p w14:paraId="3B7FBFB4" w14:textId="77777777" w:rsidR="0024145D" w:rsidRPr="006A537B" w:rsidRDefault="0024145D" w:rsidP="0024145D">
      <w:pPr>
        <w:pStyle w:val="NormalHanging12a"/>
      </w:pPr>
      <w:r w:rsidRPr="006A537B">
        <w:t>–</w:t>
      </w:r>
      <w:r w:rsidRPr="006A537B">
        <w:tab/>
        <w:t xml:space="preserve">med beaktande av Europaparlamentets och rådets förordning (EG) nr 726/2004 av den 31 mars 2004 om inrättande av unionsförfaranden för godkännande av och tillsyn </w:t>
      </w:r>
      <w:r w:rsidRPr="006A537B">
        <w:lastRenderedPageBreak/>
        <w:t>över humanläkemedel och om inrättande av en europeisk läkemedelsmyndighet</w:t>
      </w:r>
      <w:r w:rsidRPr="006A537B">
        <w:rPr>
          <w:rStyle w:val="FootnoteReference"/>
        </w:rPr>
        <w:footnoteReference w:id="4"/>
      </w:r>
      <w:r w:rsidRPr="006A537B">
        <w:t>, särskilt artikel 68,</w:t>
      </w:r>
    </w:p>
    <w:p w14:paraId="2EEA4345" w14:textId="77777777" w:rsidR="0024145D" w:rsidRPr="006A537B" w:rsidRDefault="0024145D" w:rsidP="0024145D">
      <w:pPr>
        <w:pStyle w:val="NormalHanging12a"/>
      </w:pPr>
      <w:r w:rsidRPr="006A537B">
        <w:t>–</w:t>
      </w:r>
      <w:r w:rsidRPr="006A537B">
        <w:tab/>
        <w:t>med beaktande av kommissionens delegerade förordning (EU) 2019/715 av den 18 december 2018 med rambudgetförordning för de organ som inrättats enligt EUF</w:t>
      </w:r>
      <w:r w:rsidRPr="006A537B">
        <w:noBreakHyphen/>
        <w:t>fördraget och Euratomfördraget och som avses i artikel 70 i Europaparlamentets och rådets förordning (EU, Euratom) 2018/1046</w:t>
      </w:r>
      <w:r w:rsidRPr="006A537B">
        <w:rPr>
          <w:rStyle w:val="FootnoteReference"/>
        </w:rPr>
        <w:footnoteReference w:id="5"/>
      </w:r>
      <w:r w:rsidRPr="006A537B">
        <w:t>, särskilt artikel 105,</w:t>
      </w:r>
    </w:p>
    <w:p w14:paraId="6C23709A" w14:textId="77777777" w:rsidR="0024145D" w:rsidRPr="006A537B" w:rsidRDefault="0024145D" w:rsidP="0024145D">
      <w:pPr>
        <w:pStyle w:val="NormalHanging12a"/>
      </w:pPr>
      <w:r w:rsidRPr="006A537B">
        <w:t>–</w:t>
      </w:r>
      <w:r w:rsidRPr="006A537B">
        <w:tab/>
        <w:t>med beaktande av artikel 100 och bilaga V i arbetsordningen,</w:t>
      </w:r>
    </w:p>
    <w:p w14:paraId="26A3A92D" w14:textId="77777777" w:rsidR="0024145D" w:rsidRPr="006A537B" w:rsidRDefault="0024145D" w:rsidP="0024145D">
      <w:pPr>
        <w:pStyle w:val="NormalHanging12a"/>
      </w:pPr>
      <w:r w:rsidRPr="006A537B">
        <w:t>–</w:t>
      </w:r>
      <w:r w:rsidRPr="006A537B">
        <w:tab/>
        <w:t>med beaktande av yttrandet från utskottet för miljö, folkhälsa och livsmedelssäkerhet,</w:t>
      </w:r>
    </w:p>
    <w:p w14:paraId="6F9DE61B" w14:textId="77777777" w:rsidR="0024145D" w:rsidRPr="006A537B" w:rsidRDefault="0024145D" w:rsidP="0024145D">
      <w:pPr>
        <w:pStyle w:val="NormalHanging12a"/>
      </w:pPr>
      <w:r w:rsidRPr="006A537B">
        <w:t>–</w:t>
      </w:r>
      <w:r w:rsidRPr="006A537B">
        <w:tab/>
        <w:t>med beaktande av betänkandet från budgetkontrollutskottet (A9-0133/2024).</w:t>
      </w:r>
    </w:p>
    <w:p w14:paraId="179193F2" w14:textId="77777777" w:rsidR="0024145D" w:rsidRPr="006A537B" w:rsidRDefault="0024145D" w:rsidP="0024145D">
      <w:pPr>
        <w:pStyle w:val="NormalHanging12a"/>
      </w:pPr>
      <w:r w:rsidRPr="006A537B">
        <w:t>1.</w:t>
      </w:r>
      <w:r w:rsidRPr="006A537B">
        <w:tab/>
        <w:t>Europaparlamentet beviljar verkställande direktören för Europeiska läkemedelsmyndigheten ansvarsfrihet för genomförandet av myndighetens budget för budgetåret 2022.</w:t>
      </w:r>
    </w:p>
    <w:p w14:paraId="46E56163" w14:textId="77777777" w:rsidR="0024145D" w:rsidRPr="006A537B" w:rsidRDefault="0024145D" w:rsidP="0024145D">
      <w:pPr>
        <w:pStyle w:val="NormalHanging12a"/>
      </w:pPr>
      <w:r w:rsidRPr="006A537B">
        <w:t>2.</w:t>
      </w:r>
      <w:r w:rsidRPr="006A537B">
        <w:tab/>
        <w:t>Europaparlamentet redovisar sina iakttagelser i resolutionen nedan.</w:t>
      </w:r>
    </w:p>
    <w:p w14:paraId="68D5EED3" w14:textId="77777777" w:rsidR="0024145D" w:rsidRPr="006A537B" w:rsidRDefault="0024145D" w:rsidP="0024145D">
      <w:pPr>
        <w:pStyle w:val="NormalHanging12a"/>
      </w:pPr>
      <w:r w:rsidRPr="006A537B">
        <w:t>3.</w:t>
      </w:r>
      <w:r w:rsidRPr="006A537B">
        <w:tab/>
        <w:t xml:space="preserve">Europaparlamentet uppdrar åt talmannen att översända detta beslut och den resolution som utgör en del av beslutet till verkställande direktören för Europeiska läkemedelsmyndigheten, rådet, kommissionen och revisionsrätten, och att se till att de offentliggörs i </w:t>
      </w:r>
      <w:r w:rsidRPr="006A537B">
        <w:rPr>
          <w:i/>
          <w:iCs/>
        </w:rPr>
        <w:t>Europeiska unionens officiella tidning</w:t>
      </w:r>
      <w:r w:rsidRPr="006A537B">
        <w:t xml:space="preserve"> (L-serien).</w:t>
      </w:r>
    </w:p>
    <w:p w14:paraId="72380903" w14:textId="77777777" w:rsidR="0024145D" w:rsidRPr="006A537B" w:rsidRDefault="0024145D" w:rsidP="0024145D"/>
    <w:p w14:paraId="6ABEBBA9" w14:textId="77777777" w:rsidR="0024145D" w:rsidRPr="006A537B" w:rsidRDefault="0024145D" w:rsidP="0024145D">
      <w:pPr>
        <w:widowControl/>
        <w:rPr>
          <w:rFonts w:ascii="Arial" w:hAnsi="Arial" w:cs="Arial"/>
          <w:b/>
        </w:rPr>
        <w:sectPr w:rsidR="0024145D" w:rsidRPr="006A537B" w:rsidSect="00F908A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32324119" w14:textId="77777777" w:rsidR="0024145D" w:rsidRPr="006A537B" w:rsidRDefault="006A034C" w:rsidP="006A034C">
      <w:pPr>
        <w:pStyle w:val="ATHeading3"/>
      </w:pPr>
      <w:bookmarkStart w:id="9" w:name="_Toc146810493"/>
      <w:bookmarkStart w:id="10" w:name="_Toc161734417"/>
      <w:bookmarkStart w:id="11" w:name="_Toc161911323"/>
      <w:r w:rsidRPr="006A537B">
        <w:lastRenderedPageBreak/>
        <w:t>2. Europaparlamentets beslut</w:t>
      </w:r>
      <w:bookmarkEnd w:id="9"/>
      <w:bookmarkEnd w:id="10"/>
      <w:bookmarkEnd w:id="11"/>
      <w:r w:rsidRPr="006A537B">
        <w:t xml:space="preserve"> av den 11 april 2024 </w:t>
      </w:r>
      <w:r w:rsidR="0024145D" w:rsidRPr="006A537B">
        <w:t>om avslutande av räkenskaperna för Europeiska läkemedelsmyndigheten för budgetåret 2022</w:t>
      </w:r>
      <w:r w:rsidRPr="006A537B">
        <w:t xml:space="preserve"> </w:t>
      </w:r>
      <w:r w:rsidR="0024145D" w:rsidRPr="006A537B">
        <w:t>(2023/2156(DEC))</w:t>
      </w:r>
    </w:p>
    <w:p w14:paraId="4CF83BD7" w14:textId="77777777" w:rsidR="0024145D" w:rsidRPr="006A537B" w:rsidRDefault="0024145D" w:rsidP="0024145D">
      <w:pPr>
        <w:pStyle w:val="EPComma"/>
      </w:pPr>
      <w:r w:rsidRPr="006A537B">
        <w:rPr>
          <w:i/>
          <w:iCs/>
        </w:rPr>
        <w:t>Europaparlamentet fattar detta beslut</w:t>
      </w:r>
    </w:p>
    <w:p w14:paraId="6A1C8630" w14:textId="77777777" w:rsidR="0024145D" w:rsidRPr="006A537B" w:rsidRDefault="0024145D" w:rsidP="0024145D">
      <w:pPr>
        <w:pStyle w:val="NormalHanging12a"/>
      </w:pPr>
      <w:r w:rsidRPr="006A537B">
        <w:t>–</w:t>
      </w:r>
      <w:r w:rsidRPr="006A537B">
        <w:tab/>
        <w:t>med beaktande av den slutliga årsredovisningen för Europeiska läkemedelsmyndigheten för budgetåret 2022,</w:t>
      </w:r>
    </w:p>
    <w:p w14:paraId="6354CC88" w14:textId="77777777" w:rsidR="0024145D" w:rsidRPr="006A537B" w:rsidRDefault="0024145D" w:rsidP="0024145D">
      <w:pPr>
        <w:pStyle w:val="NormalHanging12a"/>
      </w:pPr>
      <w:r w:rsidRPr="006A537B">
        <w:t>–</w:t>
      </w:r>
      <w:r w:rsidRPr="006A537B">
        <w:tab/>
        <w:t>med beaktande av revisionsrättens årsrapport om EU:s byråer för budgetåret 2022, med byråernas svar</w:t>
      </w:r>
      <w:r w:rsidRPr="006A537B">
        <w:rPr>
          <w:rStyle w:val="FootnoteReference"/>
        </w:rPr>
        <w:footnoteReference w:id="6"/>
      </w:r>
      <w:r w:rsidRPr="006A537B">
        <w:t>,</w:t>
      </w:r>
    </w:p>
    <w:p w14:paraId="4737693A" w14:textId="77777777" w:rsidR="0024145D" w:rsidRPr="006A537B" w:rsidRDefault="0024145D" w:rsidP="0024145D">
      <w:pPr>
        <w:pStyle w:val="NormalHanging12a"/>
      </w:pPr>
      <w:r w:rsidRPr="006A537B">
        <w:t>–</w:t>
      </w:r>
      <w:r w:rsidRPr="006A537B">
        <w:tab/>
        <w:t>med beaktande av förklaringen om räkenskapernas tillförlitlighet och de underliggande transaktionernas laglighet och korrekthet</w:t>
      </w:r>
      <w:r w:rsidRPr="006A537B">
        <w:rPr>
          <w:rStyle w:val="FootnoteReference"/>
        </w:rPr>
        <w:footnoteReference w:id="7"/>
      </w:r>
      <w:r w:rsidRPr="006A537B">
        <w:t>, som avgetts av revisionsrätten för budgetåret 2022 i enlighet med artikel 287 i fördraget om Europeiska unionens funktionssätt,</w:t>
      </w:r>
    </w:p>
    <w:p w14:paraId="33CCBE85" w14:textId="6BE92021" w:rsidR="0024145D" w:rsidRPr="006A537B" w:rsidRDefault="0024145D" w:rsidP="0024145D">
      <w:pPr>
        <w:pStyle w:val="NormalHanging12a"/>
      </w:pPr>
      <w:r w:rsidRPr="006A537B">
        <w:t>–</w:t>
      </w:r>
      <w:r w:rsidRPr="006A537B">
        <w:tab/>
        <w:t>med beaktande av rådets rekommendation av den 22 februari 2024 om att bevilja myndigheten ansvarsfrihet för genomförandet av budgeten för budgetåret 2022 (</w:t>
      </w:r>
      <w:r w:rsidR="00B61D73" w:rsidRPr="006A537B">
        <w:t>06180</w:t>
      </w:r>
      <w:r w:rsidRPr="006A537B">
        <w:t>/2024 – C9</w:t>
      </w:r>
      <w:r w:rsidRPr="006A537B">
        <w:noBreakHyphen/>
      </w:r>
      <w:r w:rsidR="00B61D73" w:rsidRPr="006A537B">
        <w:t>0094</w:t>
      </w:r>
      <w:r w:rsidRPr="006A537B">
        <w:t>/2024),</w:t>
      </w:r>
    </w:p>
    <w:p w14:paraId="50B5D619" w14:textId="77777777" w:rsidR="0024145D" w:rsidRPr="006A537B" w:rsidRDefault="0024145D" w:rsidP="0024145D">
      <w:pPr>
        <w:pStyle w:val="NormalHanging12a"/>
      </w:pPr>
      <w:r w:rsidRPr="006A537B">
        <w:t>–</w:t>
      </w:r>
      <w:r w:rsidRPr="006A537B">
        <w:tab/>
        <w:t>med beaktande av artikel 319 i fördraget om Europeiska unionens funktionssätt,</w:t>
      </w:r>
    </w:p>
    <w:p w14:paraId="6AE3587E" w14:textId="77777777" w:rsidR="0024145D" w:rsidRPr="006A537B" w:rsidRDefault="0024145D" w:rsidP="0024145D">
      <w:pPr>
        <w:pStyle w:val="NormalHanging12a"/>
      </w:pPr>
      <w:r w:rsidRPr="006A537B">
        <w:t>–</w:t>
      </w:r>
      <w:r w:rsidRPr="006A537B">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6A537B">
        <w:rPr>
          <w:rStyle w:val="FootnoteReference"/>
        </w:rPr>
        <w:footnoteReference w:id="8"/>
      </w:r>
      <w:r w:rsidRPr="006A537B">
        <w:t>, särskilt artikel 70,</w:t>
      </w:r>
    </w:p>
    <w:p w14:paraId="2EC6CAB1" w14:textId="77777777" w:rsidR="0024145D" w:rsidRPr="006A537B" w:rsidRDefault="0024145D" w:rsidP="0024145D">
      <w:pPr>
        <w:pStyle w:val="NormalHanging12a"/>
      </w:pPr>
      <w:r w:rsidRPr="006A537B">
        <w:t>–</w:t>
      </w:r>
      <w:r w:rsidRPr="006A537B">
        <w:tab/>
        <w:t>med beaktande av Europaparlamentets och rådets förordning (EG) nr 726/2004 av den 31 mars 2004 om inrättande av unionsförfaranden för godkännande av och tillsyn över humanläkemedel och om inrättande av en europeisk läkemedelsmyndighet</w:t>
      </w:r>
      <w:r w:rsidRPr="006A537B">
        <w:rPr>
          <w:rStyle w:val="FootnoteReference"/>
        </w:rPr>
        <w:footnoteReference w:id="9"/>
      </w:r>
      <w:r w:rsidRPr="006A537B">
        <w:t>, särskilt artikel 68,</w:t>
      </w:r>
    </w:p>
    <w:p w14:paraId="1B5AB7F4" w14:textId="77777777" w:rsidR="0024145D" w:rsidRPr="006A537B" w:rsidRDefault="0024145D" w:rsidP="0024145D">
      <w:pPr>
        <w:pStyle w:val="NormalHanging12a"/>
      </w:pPr>
      <w:r w:rsidRPr="006A537B">
        <w:t>–</w:t>
      </w:r>
      <w:r w:rsidRPr="006A537B">
        <w:tab/>
        <w:t>med beaktande av kommissionens delegerade förordning (EU) 2019/715 av den 18 december 2018 med rambudgetförordning för de organ som inrättats enligt EUF</w:t>
      </w:r>
      <w:r w:rsidRPr="006A537B">
        <w:noBreakHyphen/>
        <w:t>fördraget och Euratomfördraget och som avses i artikel 70 i Europaparlamentets och rådets förordning (EU, Euratom) 2018/1046</w:t>
      </w:r>
      <w:r w:rsidRPr="006A537B">
        <w:rPr>
          <w:rStyle w:val="FootnoteReference"/>
        </w:rPr>
        <w:footnoteReference w:id="10"/>
      </w:r>
      <w:r w:rsidRPr="006A537B">
        <w:t>, särskilt artikel 105,</w:t>
      </w:r>
    </w:p>
    <w:p w14:paraId="024FC258" w14:textId="77777777" w:rsidR="0024145D" w:rsidRPr="006A537B" w:rsidRDefault="0024145D" w:rsidP="0024145D">
      <w:pPr>
        <w:pStyle w:val="NormalHanging12a"/>
      </w:pPr>
      <w:r w:rsidRPr="006A537B">
        <w:t>–</w:t>
      </w:r>
      <w:r w:rsidRPr="006A537B">
        <w:tab/>
        <w:t>med beaktande av artikel 100 och bilaga V i arbetsordningen,</w:t>
      </w:r>
    </w:p>
    <w:p w14:paraId="48DF4E02" w14:textId="77777777" w:rsidR="0024145D" w:rsidRPr="006A537B" w:rsidRDefault="0024145D" w:rsidP="0024145D">
      <w:pPr>
        <w:pStyle w:val="NormalHanging12a"/>
      </w:pPr>
      <w:r w:rsidRPr="006A537B">
        <w:t>–</w:t>
      </w:r>
      <w:r w:rsidRPr="006A537B">
        <w:tab/>
        <w:t>med beaktande av yttrandet från utskottet för miljö, folkhälsa och livsmedelssäkerhet,</w:t>
      </w:r>
    </w:p>
    <w:p w14:paraId="39C08ABB" w14:textId="77777777" w:rsidR="0024145D" w:rsidRPr="006A537B" w:rsidRDefault="0024145D" w:rsidP="0024145D">
      <w:pPr>
        <w:pStyle w:val="NormalHanging12a"/>
      </w:pPr>
      <w:r w:rsidRPr="006A537B">
        <w:t>–</w:t>
      </w:r>
      <w:r w:rsidRPr="006A537B">
        <w:tab/>
        <w:t>med beaktande av betänkandet från budgetkontrollutskottet (A9-0133/2024).</w:t>
      </w:r>
    </w:p>
    <w:p w14:paraId="2A96F6E9" w14:textId="77777777" w:rsidR="0024145D" w:rsidRPr="006A537B" w:rsidRDefault="0024145D" w:rsidP="0024145D">
      <w:pPr>
        <w:pStyle w:val="NormalHanging12a"/>
      </w:pPr>
      <w:r w:rsidRPr="006A537B">
        <w:t>1.</w:t>
      </w:r>
      <w:r w:rsidRPr="006A537B">
        <w:tab/>
        <w:t xml:space="preserve">Europaparlamentet godkänner avslutandet av räkenskaperna för Europeiska </w:t>
      </w:r>
      <w:r w:rsidRPr="006A537B">
        <w:lastRenderedPageBreak/>
        <w:t>läkemedelsmyndigheten för budgetåret 2022.</w:t>
      </w:r>
    </w:p>
    <w:p w14:paraId="7C8B0D5A" w14:textId="77777777" w:rsidR="0024145D" w:rsidRPr="006A537B" w:rsidRDefault="0024145D" w:rsidP="0024145D">
      <w:pPr>
        <w:pStyle w:val="NormalHanging12a"/>
      </w:pPr>
      <w:r w:rsidRPr="006A537B">
        <w:t>2.</w:t>
      </w:r>
      <w:r w:rsidRPr="006A537B">
        <w:tab/>
        <w:t xml:space="preserve">Europaparlamentet uppdrar åt talmannen att översända detta beslut till verkställande direktören för Europeiska läkemedelsmyndigheten, rådet, kommissionen och revisionsrätten, och att se till att det offentliggörs i </w:t>
      </w:r>
      <w:r w:rsidRPr="006A537B">
        <w:rPr>
          <w:i/>
          <w:iCs/>
        </w:rPr>
        <w:t>Europeiska unionens officiella tidning</w:t>
      </w:r>
      <w:r w:rsidRPr="006A537B">
        <w:t xml:space="preserve"> (L-serien).</w:t>
      </w:r>
    </w:p>
    <w:p w14:paraId="7D8C252F" w14:textId="77777777" w:rsidR="0024145D" w:rsidRPr="006A537B" w:rsidRDefault="0024145D" w:rsidP="0024145D"/>
    <w:p w14:paraId="047B8712" w14:textId="77777777" w:rsidR="0024145D" w:rsidRPr="006A537B" w:rsidRDefault="0024145D" w:rsidP="0024145D">
      <w:pPr>
        <w:widowControl/>
        <w:rPr>
          <w:rFonts w:ascii="Arial" w:hAnsi="Arial" w:cs="Arial"/>
          <w:b/>
        </w:rPr>
        <w:sectPr w:rsidR="0024145D" w:rsidRPr="006A537B" w:rsidSect="00F908A8">
          <w:footnotePr>
            <w:numRestart w:val="eachPage"/>
          </w:footnotePr>
          <w:endnotePr>
            <w:numFmt w:val="decimal"/>
          </w:endnotePr>
          <w:pgSz w:w="11906" w:h="16838"/>
          <w:pgMar w:top="1134" w:right="1418" w:bottom="1418" w:left="1418" w:header="567" w:footer="567" w:gutter="0"/>
          <w:cols w:space="720"/>
          <w:docGrid w:linePitch="326"/>
        </w:sectPr>
      </w:pPr>
    </w:p>
    <w:p w14:paraId="11F96EEC" w14:textId="77777777" w:rsidR="0024145D" w:rsidRPr="006A537B" w:rsidRDefault="008644E9" w:rsidP="008644E9">
      <w:pPr>
        <w:pStyle w:val="ATHeading3"/>
      </w:pPr>
      <w:bookmarkStart w:id="12" w:name="_Toc146810494"/>
      <w:bookmarkStart w:id="13" w:name="_Toc161734418"/>
      <w:bookmarkStart w:id="14" w:name="_Toc161911324"/>
      <w:r w:rsidRPr="006A537B">
        <w:lastRenderedPageBreak/>
        <w:t>3. Europaparlamentets resolution</w:t>
      </w:r>
      <w:bookmarkEnd w:id="12"/>
      <w:bookmarkEnd w:id="13"/>
      <w:bookmarkEnd w:id="14"/>
      <w:r w:rsidRPr="006A537B">
        <w:t xml:space="preserve"> av den 11 april 2024 </w:t>
      </w:r>
      <w:r w:rsidR="0024145D" w:rsidRPr="006A537B">
        <w:t>med de iakttagelser som utgör en del av beslutet om ansvarsfrihet för genomförandet av budgeten för Europeiska läkemedelsmyndigheten för budgetåret 2022</w:t>
      </w:r>
      <w:r w:rsidRPr="006A537B">
        <w:t xml:space="preserve"> </w:t>
      </w:r>
      <w:r w:rsidR="0024145D" w:rsidRPr="006A537B">
        <w:t>(2023/2156(DEC))</w:t>
      </w:r>
    </w:p>
    <w:p w14:paraId="2920FBBF" w14:textId="77777777" w:rsidR="0024145D" w:rsidRPr="006A537B" w:rsidRDefault="0024145D" w:rsidP="0024145D">
      <w:pPr>
        <w:pStyle w:val="EPComma"/>
      </w:pPr>
      <w:r w:rsidRPr="006A537B">
        <w:rPr>
          <w:i/>
          <w:iCs/>
        </w:rPr>
        <w:t>Europaparlamentet utfärdar denna resolution</w:t>
      </w:r>
    </w:p>
    <w:p w14:paraId="7166A813" w14:textId="77777777" w:rsidR="0024145D" w:rsidRPr="006A537B" w:rsidRDefault="0024145D" w:rsidP="0024145D">
      <w:pPr>
        <w:pStyle w:val="NormalHanging12a"/>
      </w:pPr>
      <w:r w:rsidRPr="006A537B">
        <w:t>–</w:t>
      </w:r>
      <w:r w:rsidRPr="006A537B">
        <w:tab/>
        <w:t>med beaktande av sitt beslut om ansvarsfrihet för genomförandet av budgeten för Europeiska läkemedelsmyndigheten för budgetåret 2022,</w:t>
      </w:r>
    </w:p>
    <w:p w14:paraId="0A4ACB01" w14:textId="77777777" w:rsidR="0024145D" w:rsidRPr="006A537B" w:rsidRDefault="0024145D" w:rsidP="0024145D">
      <w:pPr>
        <w:pStyle w:val="NormalHanging12a"/>
      </w:pPr>
      <w:r w:rsidRPr="006A537B">
        <w:t>–</w:t>
      </w:r>
      <w:r w:rsidRPr="006A537B">
        <w:tab/>
        <w:t>med beaktande av artikel 100 och bilaga V i arbetsordningen,</w:t>
      </w:r>
    </w:p>
    <w:p w14:paraId="725AA0A1" w14:textId="77777777" w:rsidR="0024145D" w:rsidRPr="006A537B" w:rsidRDefault="0024145D" w:rsidP="0024145D">
      <w:pPr>
        <w:pStyle w:val="NormalHanging12a"/>
      </w:pPr>
      <w:r w:rsidRPr="006A537B">
        <w:t>–</w:t>
      </w:r>
      <w:r w:rsidRPr="006A537B">
        <w:tab/>
        <w:t>med beaktande av yttrandet från utskottet för miljö, folkhälsa och livsmedelssäkerhet,</w:t>
      </w:r>
    </w:p>
    <w:p w14:paraId="19D13455" w14:textId="77777777" w:rsidR="0024145D" w:rsidRPr="006A537B" w:rsidRDefault="0024145D" w:rsidP="0024145D">
      <w:pPr>
        <w:pStyle w:val="NormalHanging12a"/>
      </w:pPr>
      <w:r w:rsidRPr="006A537B">
        <w:t>–</w:t>
      </w:r>
      <w:r w:rsidRPr="006A537B">
        <w:tab/>
        <w:t>med beaktande av betänkandet från budgetkontrollutskottet (A9-0133/2024), och av följande skäl:</w:t>
      </w:r>
    </w:p>
    <w:p w14:paraId="09D14D77" w14:textId="77777777" w:rsidR="0024145D" w:rsidRPr="006A537B" w:rsidRDefault="0024145D" w:rsidP="0024145D">
      <w:pPr>
        <w:pStyle w:val="Normal12Hanging"/>
        <w:widowControl/>
        <w:rPr>
          <w:szCs w:val="24"/>
        </w:rPr>
      </w:pPr>
      <w:r w:rsidRPr="006A537B">
        <w:t>A.</w:t>
      </w:r>
      <w:r w:rsidRPr="006A537B">
        <w:tab/>
        <w:t>Enligt sammanställningen över inkomster och utgifter</w:t>
      </w:r>
      <w:r w:rsidRPr="006A537B">
        <w:rPr>
          <w:szCs w:val="24"/>
          <w:vertAlign w:val="superscript"/>
        </w:rPr>
        <w:footnoteReference w:id="11"/>
      </w:r>
      <w:r w:rsidRPr="006A537B">
        <w:t xml:space="preserve"> för Europeiska läkemedelsmyndigheten (</w:t>
      </w:r>
      <w:r w:rsidRPr="006A537B">
        <w:rPr>
          <w:i/>
          <w:iCs/>
        </w:rPr>
        <w:t>myndigheten</w:t>
      </w:r>
      <w:r w:rsidRPr="006A537B">
        <w:t>) uppgick den slutliga budgeten för budgetåret 2022 till 421 815 000 EUR, vilket är en ökning med 11,23 % jämfört med 2021. Myndigheten är avgiftsfinansierad och cirka 88 % av dess inkomster 2022 kom från avgifter som härrör från utvärderingen av läkemedel och annan företagsrelaterad verksamhet och 12 % kom från unionens budget och diverse inkomster.</w:t>
      </w:r>
    </w:p>
    <w:p w14:paraId="3D9584A1" w14:textId="77777777" w:rsidR="0024145D" w:rsidRPr="006A537B" w:rsidRDefault="0024145D" w:rsidP="0024145D">
      <w:pPr>
        <w:pStyle w:val="Normal12Hanging"/>
        <w:widowControl/>
        <w:rPr>
          <w:szCs w:val="24"/>
        </w:rPr>
      </w:pPr>
      <w:r w:rsidRPr="006A537B">
        <w:t>B.</w:t>
      </w:r>
      <w:r w:rsidRPr="006A537B">
        <w:tab/>
        <w:t>Revisionsrätten fastställer i sin rapport om årsredovisningen för myndigheten för budgetåret 2022 att man har uppnått en rimlig säkerhet om att myndighetens årliga räkenskaper är tillförlitliga och att de underliggande transaktionerna är lagliga och korrekta.</w:t>
      </w:r>
    </w:p>
    <w:p w14:paraId="2C0DE962" w14:textId="77777777" w:rsidR="0024145D" w:rsidRPr="006A537B" w:rsidRDefault="0024145D" w:rsidP="0024145D">
      <w:pPr>
        <w:pStyle w:val="Normal12Hanging"/>
        <w:rPr>
          <w:szCs w:val="24"/>
        </w:rPr>
      </w:pPr>
      <w:r w:rsidRPr="006A537B">
        <w:t>C.</w:t>
      </w:r>
      <w:r w:rsidRPr="006A537B">
        <w:tab/>
        <w:t>När det gäller myndighetens upphandlingssektor rapporterades inga problem som krävde korrigerande åtgärder för 2022, och det finns inte heller några pågående eller utestående korrigerande åtgärder från tidigare års revisioner och bedömningar.</w:t>
      </w:r>
    </w:p>
    <w:p w14:paraId="2CBF26B9" w14:textId="77777777" w:rsidR="0024145D" w:rsidRPr="006A537B" w:rsidRDefault="0024145D" w:rsidP="0024145D">
      <w:pPr>
        <w:pStyle w:val="Normal12Hanging"/>
        <w:widowControl/>
        <w:rPr>
          <w:b/>
          <w:i/>
          <w:szCs w:val="24"/>
        </w:rPr>
      </w:pPr>
      <w:r w:rsidRPr="006A537B">
        <w:rPr>
          <w:b/>
          <w:i/>
        </w:rPr>
        <w:t>Budgetförvaltning och ekonomisk förvaltning</w:t>
      </w:r>
    </w:p>
    <w:p w14:paraId="3C3D640B" w14:textId="77777777" w:rsidR="0024145D" w:rsidRPr="006A537B" w:rsidRDefault="0024145D" w:rsidP="0024145D">
      <w:pPr>
        <w:pStyle w:val="Normal12Hanging"/>
        <w:widowControl/>
      </w:pPr>
      <w:r w:rsidRPr="006A537B">
        <w:t>1.</w:t>
      </w:r>
      <w:r w:rsidRPr="006A537B">
        <w:tab/>
        <w:t>Europaparlamentet noterar att insatserna för budgetövervakning under budgetåret 2022 resulterade i ett budgetgenomförande av åtagandebemyndiganden under innevarande år på 96,80 %, vilket innebär en minskning med 0,42 % jämfört med 2021. Parlamentet beklagar att genomförandegraden för betalningsbemyndigandena under innevarande år var 71,48 %, vilket är en minskning med 0,88 % jämfört med 2021.</w:t>
      </w:r>
    </w:p>
    <w:p w14:paraId="1A33D5DC" w14:textId="77777777" w:rsidR="0024145D" w:rsidRPr="006A537B" w:rsidRDefault="0024145D" w:rsidP="0024145D">
      <w:pPr>
        <w:pStyle w:val="Normal12Hanging"/>
        <w:widowControl/>
      </w:pPr>
      <w:r w:rsidRPr="006A537B">
        <w:t>2.</w:t>
      </w:r>
      <w:r w:rsidRPr="006A537B">
        <w:tab/>
        <w:t>Europaparlamentet konstaterar att för en granskad betalning på 2 miljoner EUR godkände myndigheten det tillhörande budgetåtagandet först efter det att rättsliga åtagandet hade godtagits. Parlamentet påminner om att detta strider mot artikel 73.2 i myndighetens budgetförordning. Parlamentet uppmanar myndigheten att vidta omedelbara åtgärder för att se till att alla finansiella transaktioner stämmer överens med myndighetens budgetförordning.</w:t>
      </w:r>
    </w:p>
    <w:p w14:paraId="51A026EC" w14:textId="77777777" w:rsidR="0024145D" w:rsidRPr="006A537B" w:rsidRDefault="0024145D" w:rsidP="0024145D">
      <w:pPr>
        <w:pStyle w:val="NormalHanging12a"/>
      </w:pPr>
      <w:r w:rsidRPr="006A537B">
        <w:t>3.</w:t>
      </w:r>
      <w:r w:rsidRPr="006A537B">
        <w:tab/>
        <w:t xml:space="preserve">Europaparlamentet påminner om att eventuella förpliktelser, fram till 2039, till följd av hyran av myndighetens tidigare kontorslokaler i London fortfarande är ett olöst </w:t>
      </w:r>
      <w:r w:rsidRPr="006A537B">
        <w:lastRenderedPageBreak/>
        <w:t>problem. Parlamentet noterar med oro att den 31 december 2022 beräknades det sammanlagda utestående hyresbeloppet, tillhörande serviceavgifter och försäkringar som myndigheten skulle betala fram till slutet av hyresperioden uppgå till 366 miljoner EUR, vilket är ungefär 23 miljoner EUR per år. Parlamentet noterar att i juli 2019 kom myndigheten överens med hyresvärden och hyrde ut sina tidigare lokaler till en andrahandshyresgäst med verkan från och med juli 2019 enligt samma villkor som i huvudavtalet. Parlamentet konstaterar att villkoren för andrahandsuthyrningen gäller fram till det att myndighetens hyresavtal löper ut i juni 2039 och att, eftersom myndigheten fortsatt är kontraktspart i huvudavtalet kan myndigheten hållas ansvarig för betalningen av hela det belopp som återstår enligt förpliktelserna i huvudavtalet om andrahandshyresgästen inte fullgör sina skyldigheter. Parlamentet fäster även uppmärksamheten vid en annan fråga som tas upp i myndighetens räkenskaper, nämligen osäkerheten kring det ekonomiska resultatet för andrahandshyresgästens moderföretag, med anledning av dess försämrade kreditbetyg och nyligen genomförda skuldsanering, vilket ledde till att betalningarna stoppades. Parlamentet noterar att myndigheten och dess styrelse oroar sig över att myndigheten nu även måste förvalta en kommersiell fastighet i ett tredjeland och därmed avsätta personalresurser och ekonomiska resurser till detta i stället för att fullt ut fokusera på uppdraget att skydda och främja folkhälsan för unionsmedborgarna. Parlamentet är medvetet om att Europaparlamentets budgetutskott den 11 januari 2024 förde en diskussion med myndigheten om en eventuell ändring av myndighetens andrahandsuthyrning av myndighetens tidigare lokaler i London. Parlamentet insisterar på behovet av ett politiskt beslut för att säkra en långsiktig lösning i denna fråga. Parlamentet insisterar på att samtidigt som man försöker att hitta en långsiktig lösning bör en kortsiktig åtgärd hittas och användas för att ta itu med och begränsa problemet, med tanke på att andrahandshyresgästen fortsätter att inte betala sin hyra.</w:t>
      </w:r>
    </w:p>
    <w:p w14:paraId="080208F3" w14:textId="77777777" w:rsidR="0024145D" w:rsidRPr="006A537B" w:rsidRDefault="0024145D" w:rsidP="0024145D">
      <w:pPr>
        <w:pStyle w:val="Normal12Hanging"/>
        <w:widowControl/>
        <w:rPr>
          <w:b/>
          <w:i/>
          <w:szCs w:val="24"/>
        </w:rPr>
      </w:pPr>
      <w:r w:rsidRPr="006A537B">
        <w:rPr>
          <w:b/>
          <w:i/>
        </w:rPr>
        <w:t>Verksamhetsresultat</w:t>
      </w:r>
    </w:p>
    <w:p w14:paraId="511E0441" w14:textId="77777777" w:rsidR="0024145D" w:rsidRPr="006A537B" w:rsidRDefault="0024145D" w:rsidP="0024145D">
      <w:pPr>
        <w:pStyle w:val="Normal12Hanging"/>
        <w:widowControl/>
        <w:spacing w:after="120"/>
        <w:rPr>
          <w:szCs w:val="24"/>
        </w:rPr>
      </w:pPr>
      <w:r w:rsidRPr="006A537B">
        <w:t>4.</w:t>
      </w:r>
      <w:r w:rsidRPr="006A537B">
        <w:tab/>
        <w:t>Europaparlamentet noterar att myndigheten 2022 rapporterade om 41 prestationsindikator och uppskattade en genomförandegrad på 92,60 %. Parlamentet noterar att myndigheten under 2022 utnyttjade sin ställning som ordförande för det internationella samarbetsorganet för läkemedelsmyndigheter (ICMRA) för att göra framsteg i arbetet med harmoniseringen av internationella regleringssystem. Parlamentet konstaterar att myndigheten också har genomfört tre viktiga rättsakter (förordning (EU) nr 536/2014</w:t>
      </w:r>
      <w:r w:rsidRPr="006A537B">
        <w:rPr>
          <w:rStyle w:val="FootnoteReference"/>
          <w:szCs w:val="24"/>
        </w:rPr>
        <w:footnoteReference w:id="12"/>
      </w:r>
      <w:r w:rsidRPr="006A537B">
        <w:t>, förordning (EU) 2019/6</w:t>
      </w:r>
      <w:r w:rsidRPr="006A537B">
        <w:rPr>
          <w:rStyle w:val="FootnoteReference"/>
          <w:szCs w:val="24"/>
        </w:rPr>
        <w:footnoteReference w:id="13"/>
      </w:r>
      <w:r w:rsidRPr="006A537B">
        <w:t xml:space="preserve"> och det utvidgade mandatet i förordning (EU) 2022/123</w:t>
      </w:r>
      <w:r w:rsidRPr="006A537B">
        <w:rPr>
          <w:rStyle w:val="FootnoteReference"/>
          <w:szCs w:val="24"/>
        </w:rPr>
        <w:footnoteReference w:id="14"/>
      </w:r>
      <w:r w:rsidRPr="006A537B">
        <w:t>) och gjort framsteg i arbetet med dataförvaltning.</w:t>
      </w:r>
    </w:p>
    <w:p w14:paraId="07961160" w14:textId="77777777" w:rsidR="0024145D" w:rsidRPr="006A537B" w:rsidRDefault="0024145D" w:rsidP="0024145D">
      <w:pPr>
        <w:pStyle w:val="Normal12Hanging"/>
        <w:widowControl/>
        <w:rPr>
          <w:szCs w:val="24"/>
        </w:rPr>
      </w:pPr>
      <w:r w:rsidRPr="006A537B">
        <w:t>5.</w:t>
      </w:r>
      <w:r w:rsidRPr="006A537B">
        <w:tab/>
        <w:t xml:space="preserve">Europaparlamentet välkomnar att myndighetens mandat förlängdes den 1 mars 2022 i och med ikraftträdandet av förordning (EU) 2022/123, som stärkte dess roll när det gäller krisberedskap och hantering av läkemedel och medicintekniska produkter. </w:t>
      </w:r>
      <w:r w:rsidRPr="006A537B">
        <w:lastRenderedPageBreak/>
        <w:t>Parlamentet noterar att förordningen krävde att myndigheten inrättar nya organ, såsom styrgruppen för läkemedelsbrister och krisarbetsgruppen, och att myndigheten dessutom tog över förvaltningen av expertpanelerna för medicintekniska produkter, som överfördes till myndigheten från kommissionens gemensamma forskningscentrum. Parlamentet noterar vidare att myndigheten, inom ramen för förordning (EU) 2022/123, ansvarar för att övervaka händelser som kan leda till en kris, rapportera och samordna unionens insatser mot brister på kritiska läkemedel, medicintekniska produkter och in vitro-diagnostik under en kris.</w:t>
      </w:r>
    </w:p>
    <w:p w14:paraId="23254899" w14:textId="77777777" w:rsidR="0024145D" w:rsidRPr="006A537B" w:rsidRDefault="0024145D" w:rsidP="0024145D">
      <w:pPr>
        <w:pStyle w:val="Normal12Hanging"/>
        <w:widowControl/>
        <w:rPr>
          <w:szCs w:val="24"/>
        </w:rPr>
      </w:pPr>
      <w:r w:rsidRPr="006A537B">
        <w:t>6.</w:t>
      </w:r>
      <w:r w:rsidRPr="006A537B">
        <w:tab/>
        <w:t xml:space="preserve">Europaparlamentet betonar att andra viktiga resultat under 2022 är godkännandet av två nya vacciner och två covid-19-behandlingar, samt att krisarbetsgruppen rekommenderade tillfällig användning av det av USA godkända </w:t>
      </w:r>
      <w:proofErr w:type="spellStart"/>
      <w:r w:rsidRPr="006A537B">
        <w:t>apkoppsvaccinet</w:t>
      </w:r>
      <w:proofErr w:type="spellEnd"/>
      <w:r w:rsidRPr="006A537B">
        <w:t xml:space="preserve"> </w:t>
      </w:r>
      <w:proofErr w:type="spellStart"/>
      <w:r w:rsidRPr="006A537B">
        <w:t>Jynneos</w:t>
      </w:r>
      <w:proofErr w:type="spellEnd"/>
      <w:r w:rsidRPr="006A537B">
        <w:t xml:space="preserve"> för </w:t>
      </w:r>
      <w:proofErr w:type="spellStart"/>
      <w:r w:rsidRPr="006A537B">
        <w:t>apkoppor</w:t>
      </w:r>
      <w:proofErr w:type="spellEnd"/>
      <w:r w:rsidRPr="006A537B">
        <w:t xml:space="preserve"> för att stödja nationella EU-myndigheters vaccinationsinsatser, tillsammans med en utvidgning av användningen av </w:t>
      </w:r>
      <w:proofErr w:type="spellStart"/>
      <w:r w:rsidRPr="006A537B">
        <w:t>Imvanex</w:t>
      </w:r>
      <w:proofErr w:type="spellEnd"/>
      <w:r w:rsidRPr="006A537B">
        <w:t xml:space="preserve"> för att även skydda vuxna från </w:t>
      </w:r>
      <w:proofErr w:type="spellStart"/>
      <w:r w:rsidRPr="006A537B">
        <w:t>apkoppor</w:t>
      </w:r>
      <w:proofErr w:type="spellEnd"/>
      <w:r w:rsidRPr="006A537B">
        <w:t xml:space="preserve">. Parlamentet noterar att myndigheten dessutom samarbetade med Erasmusuniversitetets medicinska centrum i Rotterdam för att inrätta samordningscentrumet för nätverket DARWIN EU® (Data </w:t>
      </w:r>
      <w:proofErr w:type="spellStart"/>
      <w:r w:rsidRPr="006A537B">
        <w:t>Analysis</w:t>
      </w:r>
      <w:proofErr w:type="spellEnd"/>
      <w:r w:rsidRPr="006A537B">
        <w:t xml:space="preserve"> and Real-World </w:t>
      </w:r>
      <w:proofErr w:type="spellStart"/>
      <w:r w:rsidRPr="006A537B">
        <w:t>Interrogation</w:t>
      </w:r>
      <w:proofErr w:type="spellEnd"/>
      <w:r w:rsidRPr="006A537B">
        <w:t xml:space="preserve"> </w:t>
      </w:r>
      <w:proofErr w:type="spellStart"/>
      <w:r w:rsidRPr="006A537B">
        <w:t>Network</w:t>
      </w:r>
      <w:proofErr w:type="spellEnd"/>
      <w:r w:rsidRPr="006A537B">
        <w:t xml:space="preserve">), som fungerar som en vägvisare för den föreslagna förordningen om ett europeiskt hälsodataområde och som kopplar samman tjänster inom det europeiska hälsodataområdet för användning i läkemedelslagstiftning. Parlamentet noterar vidare att genomförandet av </w:t>
      </w:r>
      <w:proofErr w:type="spellStart"/>
      <w:r w:rsidRPr="006A537B">
        <w:t>Scaled</w:t>
      </w:r>
      <w:proofErr w:type="spellEnd"/>
      <w:r w:rsidRPr="006A537B">
        <w:t xml:space="preserve"> </w:t>
      </w:r>
      <w:proofErr w:type="spellStart"/>
      <w:r w:rsidRPr="006A537B">
        <w:t>Agile</w:t>
      </w:r>
      <w:proofErr w:type="spellEnd"/>
      <w:r w:rsidRPr="006A537B">
        <w:t xml:space="preserve"> </w:t>
      </w:r>
      <w:proofErr w:type="spellStart"/>
      <w:r w:rsidRPr="006A537B">
        <w:t>Framework</w:t>
      </w:r>
      <w:proofErr w:type="spellEnd"/>
      <w:r w:rsidRPr="006A537B">
        <w:t xml:space="preserve"> innebar en överföring av myndighetens it-portfölj till arbetsmetoden </w:t>
      </w:r>
      <w:proofErr w:type="spellStart"/>
      <w:r w:rsidRPr="006A537B">
        <w:t>Agile</w:t>
      </w:r>
      <w:proofErr w:type="spellEnd"/>
      <w:r w:rsidRPr="006A537B">
        <w:t>, genom att upprätta värdeflöden som är anpassade till dess huvuduppgift och operationalisera produktgrupper inom dem. Parlamentet uppmanar myndigheten att dra lärdom av dessa erfarenheter och att utifrån dem använda sig av bästa praxis i framtiden.</w:t>
      </w:r>
    </w:p>
    <w:p w14:paraId="685EDC50" w14:textId="77777777" w:rsidR="0024145D" w:rsidRPr="006A537B" w:rsidRDefault="0024145D" w:rsidP="0024145D">
      <w:pPr>
        <w:pStyle w:val="NormalHanging12a"/>
      </w:pPr>
      <w:r w:rsidRPr="006A537B">
        <w:t>7.</w:t>
      </w:r>
      <w:r w:rsidRPr="006A537B">
        <w:tab/>
        <w:t>Europaparlamentet framhåller på nytt läkemedelsmyndighetens viktiga roll när det gäller att skydda människors och djurs hälsa genom att utvärdera och övervaka humanläkemedel och veterinärmedicinska läkemedel och skydda folkhälsan genom att skapa ökad medvetenhet kring viktiga frågor som exempelvis antimikrobiell resistens och förebyggande av smittsamma sjukdomar genom vaccination.</w:t>
      </w:r>
    </w:p>
    <w:p w14:paraId="1A36D4E3" w14:textId="77777777" w:rsidR="0024145D" w:rsidRPr="006A537B" w:rsidRDefault="0024145D" w:rsidP="0024145D">
      <w:pPr>
        <w:pStyle w:val="NormalHanging12a"/>
      </w:pPr>
      <w:r w:rsidRPr="006A537B">
        <w:t>8.</w:t>
      </w:r>
      <w:r w:rsidRPr="006A537B">
        <w:tab/>
        <w:t>Europaparlamentet noterar dock att otillräckliga resurser för myndigheten kan undergräva myndighetens förmåga att fullgöra sitt uppdrag, och uppmanar kommissionen och rådet att anslå tillräckliga unionsmedel för att säkerställa att myndigheten har tillräckliga resurser för att utföra all sin verksamhet inom en rad regleringssystem, inbegripet att underlätta utveckling av och tillgång till läkemedel, stödja forskning och innovation och dess ansvar för att utan dröjsmål övervaka och minska potentiella eller faktiska brister på kritiska läkemedel.</w:t>
      </w:r>
    </w:p>
    <w:p w14:paraId="4491CA8D" w14:textId="77777777" w:rsidR="0024145D" w:rsidRPr="006A537B" w:rsidRDefault="0024145D" w:rsidP="0024145D">
      <w:pPr>
        <w:pStyle w:val="Normal12Hanging"/>
      </w:pPr>
      <w:r w:rsidRPr="006A537B">
        <w:t>9.</w:t>
      </w:r>
      <w:r w:rsidRPr="006A537B">
        <w:tab/>
        <w:t>Europaparlamentet konstaterar att 2022 fortfarande kännetecknades av en betydande nivå av covid-19-relaterad verksamhet, men att det skedde en övergång från verksamhet före godkännandet för försäljning och det ursprungliga godkännandet för försäljning till verksamhet efter godkännandet för försäljning.</w:t>
      </w:r>
    </w:p>
    <w:p w14:paraId="28146502" w14:textId="77777777" w:rsidR="0024145D" w:rsidRPr="006A537B" w:rsidRDefault="0024145D" w:rsidP="0024145D">
      <w:pPr>
        <w:pStyle w:val="NormalHanging12a"/>
      </w:pPr>
      <w:r w:rsidRPr="006A537B">
        <w:t>10.</w:t>
      </w:r>
      <w:r w:rsidRPr="006A537B">
        <w:tab/>
        <w:t>Europaparlamentet välkomnar att 52 % av de sökande som har fått ett positivt yttrande om sitt läkemedel fick vetenskaplig rådgivning eller protokollhjälp från myndigheten under sin produkts utvecklingsfas, och att andelen sökande för läkemedel med nya aktiva substanser ökade till 78 %. Parlamentet anser att tidig rådgivning har potential att avsevärt effektivisera godkännandeprocessen och leda till utveckling av säkra och effektiva läkemedel.</w:t>
      </w:r>
    </w:p>
    <w:p w14:paraId="3173B2C7" w14:textId="77777777" w:rsidR="0024145D" w:rsidRPr="006A537B" w:rsidRDefault="0024145D" w:rsidP="0024145D">
      <w:pPr>
        <w:pStyle w:val="Normal12Hanging"/>
        <w:widowControl/>
        <w:rPr>
          <w:b/>
          <w:i/>
          <w:szCs w:val="24"/>
        </w:rPr>
      </w:pPr>
      <w:r w:rsidRPr="006A537B">
        <w:rPr>
          <w:b/>
          <w:i/>
        </w:rPr>
        <w:lastRenderedPageBreak/>
        <w:t>Effektivitet och vinster</w:t>
      </w:r>
    </w:p>
    <w:p w14:paraId="3E9E46D9" w14:textId="77777777" w:rsidR="0024145D" w:rsidRPr="006A537B" w:rsidRDefault="0024145D" w:rsidP="0024145D">
      <w:pPr>
        <w:pStyle w:val="Normal12Hanging"/>
        <w:widowControl/>
        <w:rPr>
          <w:szCs w:val="24"/>
        </w:rPr>
      </w:pPr>
      <w:r w:rsidRPr="006A537B">
        <w:t>11.</w:t>
      </w:r>
      <w:r w:rsidRPr="006A537B">
        <w:tab/>
        <w:t>Europaparlamentet är medvetet om att myndigheten under 2022 fortsatte att genomföra sin strategi för att uppnå effektivitetsvinster, med fokus på processförbättring och digitalisering.</w:t>
      </w:r>
    </w:p>
    <w:p w14:paraId="5910C268" w14:textId="77777777" w:rsidR="0024145D" w:rsidRPr="006A537B" w:rsidRDefault="0024145D" w:rsidP="0024145D">
      <w:pPr>
        <w:pStyle w:val="Normal12Hanging"/>
        <w:widowControl/>
        <w:rPr>
          <w:szCs w:val="24"/>
        </w:rPr>
      </w:pPr>
      <w:r w:rsidRPr="006A537B">
        <w:t>12.</w:t>
      </w:r>
      <w:r w:rsidRPr="006A537B">
        <w:tab/>
        <w:t>Europaparlamentet noterar att myndigheten genom sitt digitala innovationslaboratorium (</w:t>
      </w:r>
      <w:proofErr w:type="spellStart"/>
      <w:r w:rsidRPr="006A537B">
        <w:t>DigiLab</w:t>
      </w:r>
      <w:proofErr w:type="spellEnd"/>
      <w:r w:rsidRPr="006A537B">
        <w:t xml:space="preserve">) utforskade möjligheterna att genomföra automatisering av administrativt arbete. Parlamentet konstaterar att </w:t>
      </w:r>
      <w:proofErr w:type="spellStart"/>
      <w:r w:rsidRPr="006A537B">
        <w:t>DigiLab</w:t>
      </w:r>
      <w:proofErr w:type="spellEnd"/>
      <w:r w:rsidRPr="006A537B">
        <w:t xml:space="preserve"> inledde 14 automatiseringsprojekt, som prioriterades och godkändes av ledningsteamet för digital acceleration (Digital Acceleration </w:t>
      </w:r>
      <w:proofErr w:type="spellStart"/>
      <w:r w:rsidRPr="006A537B">
        <w:t>Leadership</w:t>
      </w:r>
      <w:proofErr w:type="spellEnd"/>
      <w:r w:rsidRPr="006A537B">
        <w:t xml:space="preserve"> Team), tillsammans med kompetenscentrumet för analys (</w:t>
      </w:r>
      <w:proofErr w:type="spellStart"/>
      <w:r w:rsidRPr="006A537B">
        <w:t>Analytics</w:t>
      </w:r>
      <w:proofErr w:type="spellEnd"/>
      <w:r w:rsidRPr="006A537B">
        <w:t xml:space="preserve"> Center </w:t>
      </w:r>
      <w:proofErr w:type="spellStart"/>
      <w:r w:rsidRPr="006A537B">
        <w:t>of</w:t>
      </w:r>
      <w:proofErr w:type="spellEnd"/>
      <w:r w:rsidRPr="006A537B">
        <w:t xml:space="preserve"> </w:t>
      </w:r>
      <w:proofErr w:type="spellStart"/>
      <w:r w:rsidRPr="006A537B">
        <w:t>Excellence</w:t>
      </w:r>
      <w:proofErr w:type="spellEnd"/>
      <w:r w:rsidRPr="006A537B">
        <w:t xml:space="preserve">, ACE), inbegripet automatisering för kategorisering av e-post, generering av förteckningar över kliniska brytpunkter och en pilotdatabas för EU:s förteckning över referensdatum för effektivitetsvinster vid underhåll och publicering på myndighetens webbplats. Parlamentet noterar att </w:t>
      </w:r>
      <w:proofErr w:type="spellStart"/>
      <w:r w:rsidRPr="006A537B">
        <w:t>DigiLab</w:t>
      </w:r>
      <w:proofErr w:type="spellEnd"/>
      <w:r w:rsidRPr="006A537B">
        <w:t xml:space="preserve"> också samarbetade med ACE för att testa fem potentiella lösningar på verksamhetsutmaningar.</w:t>
      </w:r>
    </w:p>
    <w:p w14:paraId="72FEE5DF" w14:textId="77777777" w:rsidR="0024145D" w:rsidRPr="006A537B" w:rsidRDefault="0024145D" w:rsidP="0024145D">
      <w:pPr>
        <w:pStyle w:val="Normal12Hanging"/>
        <w:widowControl/>
        <w:rPr>
          <w:szCs w:val="24"/>
        </w:rPr>
      </w:pPr>
      <w:r w:rsidRPr="006A537B">
        <w:t>13.</w:t>
      </w:r>
      <w:r w:rsidRPr="006A537B">
        <w:tab/>
        <w:t xml:space="preserve">Europaparlamentet välkomnar att myndigheten, som en del av sina digitaliseringsinsatser under 2022, slutförde integreringen av inspektioner av god klinisk sed och god praxis för farmakovigilans i sin </w:t>
      </w:r>
      <w:proofErr w:type="spellStart"/>
      <w:r w:rsidRPr="006A537B">
        <w:t>it-plattform</w:t>
      </w:r>
      <w:proofErr w:type="spellEnd"/>
      <w:r w:rsidRPr="006A537B">
        <w:t xml:space="preserve"> IRIS, för att öka effektiviteten, transparensen och samarbetet i linje med myndighetens program för digital omvandling, som övervakar inspektioner av humanläkemedel och veterinärmedicinska läkemedel enligt det centraliserade förfarandet eller hänskjutningsförfarandet på begäran av kommittéerna för humanläkemedel eller veterinärmedicinska läkemedel. Parlamentet uppmanar myndigheten att hitta fler interna förfaranden som skulle kunna effektiviseras genom digitalisering.</w:t>
      </w:r>
    </w:p>
    <w:p w14:paraId="37C590E7" w14:textId="77777777" w:rsidR="0024145D" w:rsidRPr="006A537B" w:rsidRDefault="0024145D" w:rsidP="0024145D">
      <w:pPr>
        <w:pStyle w:val="Normal12Hanging"/>
        <w:widowControl/>
        <w:rPr>
          <w:szCs w:val="24"/>
        </w:rPr>
      </w:pPr>
      <w:r w:rsidRPr="006A537B">
        <w:t>14.</w:t>
      </w:r>
      <w:r w:rsidRPr="006A537B">
        <w:tab/>
        <w:t xml:space="preserve">Europaparlamentet noterar att myndigheten, som en del av processförbättringsdimensionerna, under 2022 arbetade med omvandlingen av </w:t>
      </w:r>
      <w:proofErr w:type="spellStart"/>
      <w:r w:rsidRPr="006A537B">
        <w:t>Agile</w:t>
      </w:r>
      <w:proofErr w:type="spellEnd"/>
      <w:r w:rsidRPr="006A537B">
        <w:t>, i syfte att tillhandahålla ökad transparens, minskad administrativ börda och tydligare ansvarsskyldighet, genom en ny styrningsmodell och ett nytt arbetssätt inom informationshantering/it.</w:t>
      </w:r>
    </w:p>
    <w:p w14:paraId="3154AF2F" w14:textId="77777777" w:rsidR="0024145D" w:rsidRPr="006A537B" w:rsidRDefault="0024145D" w:rsidP="0024145D">
      <w:pPr>
        <w:pStyle w:val="Normal12Hanging"/>
        <w:widowControl/>
        <w:rPr>
          <w:szCs w:val="24"/>
        </w:rPr>
      </w:pPr>
      <w:r w:rsidRPr="006A537B">
        <w:t>15.</w:t>
      </w:r>
      <w:r w:rsidRPr="006A537B">
        <w:tab/>
        <w:t>Europaparlamentet påpekar att myndigheten under 2022 gradvis återupptog verksamheten på plats i sin byggnad samtidigt som flexibla arbetsformer upprätthölls, med möjlighet att distansarbeta upp till 60 % per månad. Tillfälliga regler för affärsresor prioriterade virtuellt deltagande i konferenser, möten och utbildningar, och fysisk närvaro övervägdes för strategiskt mervärde, och ett beslut genomfördes om att växelvis hålla virtuella och fysiska möten i vetenskapliga kommittéer och arbetsgrupper för att hantera kapacitet på plats och bidra till kontroll av koldioxidavtrycket, vilket ledde till ett lägre koldioxidutsläpp än under åren före pandemin, trots återupptagandet av fysisk verksamhet.</w:t>
      </w:r>
    </w:p>
    <w:p w14:paraId="18D15992" w14:textId="77777777" w:rsidR="0024145D" w:rsidRPr="006A537B" w:rsidRDefault="0024145D" w:rsidP="0024145D">
      <w:pPr>
        <w:pStyle w:val="NormalHanging12a"/>
      </w:pPr>
      <w:r w:rsidRPr="006A537B">
        <w:t>16.</w:t>
      </w:r>
      <w:r w:rsidRPr="006A537B">
        <w:tab/>
        <w:t xml:space="preserve">Europaparlamentet påminner om vikten av att öka digitaliseringen av myndigheten när det gäller intern drift och förvaltning men också för att påskynda digitaliseringen av förfarandena. Parlamentet betonar att myndigheten måste fortsätta att vara proaktiv i detta avseende för att undvika en digital klyfta mellan byråerna. Parlamentet påpekar dock att alla nödvändiga säkerhetsåtgärder måste vidtas för att undvika att den behandlade informationens </w:t>
      </w:r>
      <w:proofErr w:type="spellStart"/>
      <w:r w:rsidRPr="006A537B">
        <w:t>onlinesäkerhet</w:t>
      </w:r>
      <w:proofErr w:type="spellEnd"/>
      <w:r w:rsidRPr="006A537B">
        <w:t xml:space="preserve"> äventyras. Parlamentet insisterar på behovet av att intensifiera insatserna mot cyberattacker eller infiltreringsförsök, särskilt från </w:t>
      </w:r>
      <w:r w:rsidRPr="006A537B">
        <w:lastRenderedPageBreak/>
        <w:t>Ryssland eller Kina.</w:t>
      </w:r>
    </w:p>
    <w:p w14:paraId="3265F20F" w14:textId="77777777" w:rsidR="0024145D" w:rsidRPr="006A537B" w:rsidRDefault="0024145D" w:rsidP="0024145D">
      <w:pPr>
        <w:pStyle w:val="NormalHanging12a"/>
      </w:pPr>
      <w:r w:rsidRPr="006A537B">
        <w:t>17.</w:t>
      </w:r>
      <w:r w:rsidRPr="006A537B">
        <w:tab/>
        <w:t>Europaparlamentet noterar med tillfredsställelse att myndigheten samarbetar med andra byråer, särskilt Europeiska centrumet för förebyggande och kontroll av sjukdomar och Europeiska myndigheten för livsmedelssäkerhet, bland annat i fråga om Europeiska vaccinationsinformationsportalen, för övervakning av vacciners säkerhet och rapportering av biverkningar, samt i fråga om förbrukning av antimikrobiella medel och antimikrobiell resistens.</w:t>
      </w:r>
    </w:p>
    <w:p w14:paraId="0C03EFE3" w14:textId="77777777" w:rsidR="0024145D" w:rsidRPr="006A537B" w:rsidRDefault="0024145D" w:rsidP="0024145D">
      <w:pPr>
        <w:pStyle w:val="NormalHanging12a"/>
      </w:pPr>
      <w:r w:rsidRPr="006A537B">
        <w:t>18.</w:t>
      </w:r>
      <w:r w:rsidRPr="006A537B">
        <w:tab/>
        <w:t>Europaparlamentet uppmanar myndigheten att fortsätta att främja samarbetet med andra unionsbyråer och internationella organisationer och att främja en dialog med berörda parter och medborgare.</w:t>
      </w:r>
    </w:p>
    <w:p w14:paraId="0E16810E" w14:textId="77777777" w:rsidR="0024145D" w:rsidRPr="006A537B" w:rsidRDefault="0024145D" w:rsidP="0024145D">
      <w:pPr>
        <w:pStyle w:val="Normal12Hanging"/>
        <w:widowControl/>
        <w:rPr>
          <w:b/>
          <w:i/>
          <w:szCs w:val="24"/>
        </w:rPr>
      </w:pPr>
      <w:r w:rsidRPr="006A537B">
        <w:rPr>
          <w:b/>
          <w:i/>
        </w:rPr>
        <w:t>Personalpolitik</w:t>
      </w:r>
    </w:p>
    <w:p w14:paraId="1061A24C" w14:textId="77777777" w:rsidR="0024145D" w:rsidRPr="006A537B" w:rsidRDefault="0024145D" w:rsidP="0024145D">
      <w:pPr>
        <w:pStyle w:val="Normal12Hanging"/>
        <w:widowControl/>
        <w:rPr>
          <w:szCs w:val="24"/>
        </w:rPr>
      </w:pPr>
      <w:r w:rsidRPr="006A537B">
        <w:t>19.</w:t>
      </w:r>
      <w:r w:rsidRPr="006A537B">
        <w:tab/>
        <w:t>Europaparlamentet noterar att 99,39 % av tjänsterna i tjänsteförteckningen var tillsatta den 31 december 2022 och att 658 av de 662 tjänster för tillfälligt anställda som får tillsättas enligt unionsbudgeten hade tillsatts (antalet tillåtna tjänster 2021 var 657). Parlamentet noterar dessutom att 192 kontraktsanställda, 25 utstationerade nationella experter och 114 </w:t>
      </w:r>
      <w:proofErr w:type="spellStart"/>
      <w:r w:rsidRPr="006A537B">
        <w:t>interimsanställda</w:t>
      </w:r>
      <w:proofErr w:type="spellEnd"/>
      <w:r w:rsidRPr="006A537B">
        <w:t xml:space="preserve"> arbetade för myndigheten 2022.</w:t>
      </w:r>
    </w:p>
    <w:p w14:paraId="0C9BF788" w14:textId="77777777" w:rsidR="0024145D" w:rsidRPr="006A537B" w:rsidRDefault="0024145D" w:rsidP="0024145D">
      <w:pPr>
        <w:pStyle w:val="NormalHanging12a"/>
      </w:pPr>
      <w:r w:rsidRPr="006A537B">
        <w:t>20.</w:t>
      </w:r>
      <w:r w:rsidRPr="006A537B">
        <w:tab/>
        <w:t>Europaparlamentet beklagar den ojämna könsfördelningen i myndighetens styrelse, där 36 av 67 (54 %) är män, medan kvinnor utgör 568 av 865 (66 %) av den totala personalen. Parlamentet beklagar dessutom att inom den högsta ledningen är 17 av 27 (63 %) män. Parlamentet är av den bestämda uppfattningen att könsfördelningen bland myndighetens högre chefer och mellanchefer och administrativa personal måste förbättras snabbare.</w:t>
      </w:r>
    </w:p>
    <w:p w14:paraId="5673DF8A" w14:textId="77777777" w:rsidR="0024145D" w:rsidRPr="006A537B" w:rsidRDefault="0024145D" w:rsidP="0024145D">
      <w:pPr>
        <w:pStyle w:val="NormalHanging12a"/>
      </w:pPr>
      <w:r w:rsidRPr="006A537B">
        <w:t>21.</w:t>
      </w:r>
      <w:r w:rsidRPr="006A537B">
        <w:tab/>
        <w:t>Europaparlamentet uttrycker oro över den geografiska balansen bland myndighetens högre chefer och chefer på mellannivå med endast en ledningsanställd från Central- och Östeuropa. Parlamentet insisterar på att förbättringar måste göras. Parlamentet uppmanar myndigheten att rapportera om detta till den ansvarsfrihetsbeviljande myndigheten.</w:t>
      </w:r>
    </w:p>
    <w:p w14:paraId="3653A7BF" w14:textId="77777777" w:rsidR="0024145D" w:rsidRPr="006A537B" w:rsidRDefault="0024145D" w:rsidP="0024145D">
      <w:pPr>
        <w:pStyle w:val="NormalHanging12a"/>
      </w:pPr>
      <w:r w:rsidRPr="006A537B">
        <w:t>22.</w:t>
      </w:r>
      <w:r w:rsidRPr="006A537B">
        <w:tab/>
        <w:t>Europaparlamentet påminner om vikten av att säkerställa en jämn könsfördelning och konstaterar i detta sammanhang att myndigheten genomför olika initiativ för att ta itu med könsklyftan inom den högsta ledningen, däribland ett program för utveckling av ledningen, möjligheter till intern rörlighet och inrättande av ledningsgrupper för att uppmuntra och stödja kvinnlig personal. Parlamentet noterar att en reserv med kontors- och avdelningschefer håller på att inrättas, med en successiv ökning av antalet kvinnliga chefer. Parlamentet noterar vidare att pensioneringen av manliga högre chefer skapar rekryteringsmöjligheter för kvinnor, vilket kompletteras med en förbättrad arbetsgivarvarumärkesstrategi, riktad marknadsföring när det gäller rekrytering, inrättande av en arbetsgrupp för mångfald och inkludering och godkännandet av stadgan för mångfald och inkludering i mars 2022.</w:t>
      </w:r>
    </w:p>
    <w:p w14:paraId="42571278" w14:textId="77777777" w:rsidR="0024145D" w:rsidRPr="006A537B" w:rsidRDefault="0024145D" w:rsidP="0024145D">
      <w:pPr>
        <w:pStyle w:val="NormalHanging12a"/>
      </w:pPr>
      <w:r w:rsidRPr="006A537B">
        <w:t>23.</w:t>
      </w:r>
      <w:r w:rsidRPr="006A537B">
        <w:tab/>
        <w:t xml:space="preserve">Europaparlamentet noterar att den övertid på 72 463 timmar som redovisades 2022 var 30 % lägre jämfört med de 102 912 timmar som rapporterades 2021. Parlamentet noterar vidare att den genomsnittliga övertiden 2022 var 4,3 % jämfört med de 6,3 % som rapporterades 2021, vilket är nära genomsnittet på 4,0 % under perioden 2016–2019. Parlamentet betonar vikten av en god balans mellan arbete och privatliv, flexibla </w:t>
      </w:r>
      <w:r w:rsidRPr="006A537B">
        <w:lastRenderedPageBreak/>
        <w:t>arbetstider, distansarbete och rätten att inte vara uppkopplad för att förbättra personalens välbefinnande.</w:t>
      </w:r>
    </w:p>
    <w:p w14:paraId="216C5565" w14:textId="77777777" w:rsidR="0024145D" w:rsidRPr="006A537B" w:rsidRDefault="0024145D" w:rsidP="0024145D">
      <w:pPr>
        <w:widowControl/>
        <w:spacing w:after="240"/>
        <w:ind w:left="567" w:hanging="567"/>
        <w:rPr>
          <w:szCs w:val="24"/>
        </w:rPr>
      </w:pPr>
      <w:r w:rsidRPr="006A537B">
        <w:t>24.</w:t>
      </w:r>
      <w:r w:rsidRPr="006A537B">
        <w:tab/>
        <w:t>Europaparlamentet välkomnar att myndigheten under 2022 genomförde en omfattande undersökning om välbefinnande, och att de därav följande rekommendationerna har integrerats i myndighetens personalstrategi för 2023–2025.</w:t>
      </w:r>
    </w:p>
    <w:p w14:paraId="5414C853" w14:textId="77777777" w:rsidR="0024145D" w:rsidRPr="006A537B" w:rsidRDefault="0024145D" w:rsidP="0024145D">
      <w:pPr>
        <w:pStyle w:val="NormalHanging12a"/>
      </w:pPr>
      <w:r w:rsidRPr="006A537B">
        <w:t>25.</w:t>
      </w:r>
      <w:r w:rsidRPr="006A537B">
        <w:tab/>
        <w:t>Europaparlamentet noterar att myndigheten har en policy för skydd av individens värdighet och förebyggande av psykiska och sexuella trakasserier, och att myndigheten ingår i arbetsgruppen för konfidentiella rådgivare mellan byråerna. Parlamentet ser fram emot deras rapport och rekommendationer. Parlamentet noterar att inga fall av trakasserier rapporterades under 2022 och uppmuntrar myndigheten att vidareutveckla arbetet för att förebygga fall även i framtiden.</w:t>
      </w:r>
    </w:p>
    <w:p w14:paraId="3C5600AE" w14:textId="77777777" w:rsidR="0024145D" w:rsidRPr="006A537B" w:rsidRDefault="0024145D" w:rsidP="0024145D">
      <w:pPr>
        <w:pStyle w:val="NormalHanging12a"/>
        <w:rPr>
          <w:b/>
          <w:i/>
        </w:rPr>
      </w:pPr>
      <w:r w:rsidRPr="006A537B">
        <w:rPr>
          <w:b/>
          <w:i/>
        </w:rPr>
        <w:t>Förebyggande och hantering av intressekonflikter samt transparens</w:t>
      </w:r>
    </w:p>
    <w:p w14:paraId="4A64D599" w14:textId="77777777" w:rsidR="0024145D" w:rsidRPr="006A537B" w:rsidRDefault="0024145D" w:rsidP="0024145D">
      <w:pPr>
        <w:pStyle w:val="NormalHanging12a"/>
      </w:pPr>
      <w:r w:rsidRPr="006A537B">
        <w:t>26.</w:t>
      </w:r>
      <w:r w:rsidRPr="006A537B">
        <w:tab/>
        <w:t>Europaparlamentet noterar att myndigheten, för att upprätthålla opartiskhet och objektivitet i sin verksamhet, regelbundet justerar politikens tillämpningsområde och genomförandeprocesser i förhållande till framväxande risker som härrör från ny verksamhet och/eller interaktion med nya kategorier av intressenter. Parlamentet noterar att till följd av myndighetens nya ansvarsområden på området för medicintekniska produkter och medicintekniska produkter för in vitro-diagnostik samt ansvarsområden inom ramen för det utvidgade mandatet, har policyn för konkurrerande intressen för styrelseledamöterna, policyn för konkurrerande intressen för experter och genomförandebestämmelserna för hantering av anställdas och kandidaters intresseförklaringar före rekrytering setts över under 2022.</w:t>
      </w:r>
    </w:p>
    <w:p w14:paraId="196325E0" w14:textId="0B25CD48" w:rsidR="0024145D" w:rsidRPr="006A537B" w:rsidRDefault="0024145D" w:rsidP="0024145D">
      <w:pPr>
        <w:pStyle w:val="NormalHanging12a"/>
      </w:pPr>
      <w:r w:rsidRPr="006A537B">
        <w:t>27.</w:t>
      </w:r>
      <w:r w:rsidRPr="006A537B">
        <w:tab/>
        <w:t xml:space="preserve">Europaparlamentet noterar att myndigheten har inrättat ett förfarande </w:t>
      </w:r>
      <w:r w:rsidR="00A5561C" w:rsidRPr="006A537B">
        <w:t>vid trolöshet</w:t>
      </w:r>
      <w:r w:rsidRPr="006A537B">
        <w:t>, som anger hur den hanterar felaktiga eller ofullständiga e-intresseförklaringar från experter och kommittéledamöter samt röjande av konfidentiell information. Parlamentet konstaterar att förfarandet för missbruk av förtroende sågs över i december 2022. Parlamentet betonar att det i det reviderade förfarandet för missbruk av förtroende anges att det även gäller för andra organ som har inrättats inom myndigheten inom ramen för det utvidgade mandatet (t.ex. Krisarbetsgruppen och båda styrgrupperna för brister).</w:t>
      </w:r>
    </w:p>
    <w:p w14:paraId="0BB0CD4F" w14:textId="444102C5" w:rsidR="0024145D" w:rsidRPr="006A537B" w:rsidRDefault="0024145D" w:rsidP="0024145D">
      <w:pPr>
        <w:pStyle w:val="NormalHanging12a"/>
      </w:pPr>
      <w:r w:rsidRPr="006A537B">
        <w:t>28.</w:t>
      </w:r>
      <w:r w:rsidRPr="006A537B">
        <w:tab/>
        <w:t xml:space="preserve">Europaparlamentet konstaterar att två förfaranden </w:t>
      </w:r>
      <w:r w:rsidR="00A5561C" w:rsidRPr="006A537B">
        <w:t xml:space="preserve">vid </w:t>
      </w:r>
      <w:r w:rsidRPr="006A537B">
        <w:t>trolöshet inleddes för experter under 2022. Parlamentet noterar att ett fall gällde en kommittéledamot som inte deklarerade ett arvode för en konferens, vilket ledde till reviderade förklaringar och en treårig begränsning, och det andra fallet gällde en kommittéledamot som inte deklarerade en nära familjemedlems intressen, vilket ledde till en begränsning att under nio månader delta i myndighetens verksamhet.</w:t>
      </w:r>
    </w:p>
    <w:p w14:paraId="18C0F564" w14:textId="77777777" w:rsidR="0024145D" w:rsidRPr="006A537B" w:rsidRDefault="0024145D" w:rsidP="0024145D">
      <w:pPr>
        <w:pStyle w:val="NormalHanging12a"/>
      </w:pPr>
      <w:r w:rsidRPr="006A537B">
        <w:t>29.</w:t>
      </w:r>
      <w:r w:rsidRPr="006A537B">
        <w:tab/>
        <w:t>Europaparlamentet betonar att avgående myndighetspersonal sökte tillstånd för tjänster efter avslutad anställning, med 22 ansökningar under 2022, vilket resulterade i olika tillstånd, inbegripet både obegränsade och begränsade fall. Parlamentet konstaterar att myndigheten sedan december 2020 på sin webbplats har offentliggjort beslut om högre tjänstemän som lämnat organisationen, vilket i hög grad har bidragit till transparens i hanteringen av konkurrerande intressen.</w:t>
      </w:r>
    </w:p>
    <w:p w14:paraId="3D92BED1" w14:textId="77777777" w:rsidR="0024145D" w:rsidRPr="006A537B" w:rsidRDefault="0024145D" w:rsidP="0024145D">
      <w:pPr>
        <w:pStyle w:val="NormalHanging12a"/>
      </w:pPr>
      <w:r w:rsidRPr="006A537B">
        <w:t>30.</w:t>
      </w:r>
      <w:r w:rsidRPr="006A537B">
        <w:tab/>
        <w:t xml:space="preserve">Europaparlamentet noterar med tillfredsställelse att rapporten från kommissionens tjänst för internrevision, som offentliggjordes 2022 och som fokuserade på personalfrågor, </w:t>
      </w:r>
      <w:r w:rsidRPr="006A537B">
        <w:lastRenderedPageBreak/>
        <w:t>bekräftade det befintliga systemets robusthet på grundval av en mycket hög medvetenhet bland personalen om de inneboende riskerna och de interna kontrollernas kapacitet att hantera potentiella intressekonflikter.</w:t>
      </w:r>
    </w:p>
    <w:p w14:paraId="41AF2853" w14:textId="77777777" w:rsidR="0024145D" w:rsidRPr="006A537B" w:rsidRDefault="0024145D" w:rsidP="0024145D">
      <w:pPr>
        <w:pStyle w:val="NormalHanging12a"/>
      </w:pPr>
      <w:r w:rsidRPr="006A537B">
        <w:t>31.</w:t>
      </w:r>
      <w:r w:rsidRPr="006A537B">
        <w:tab/>
        <w:t>Europaparlamentet noterar att myndigheten, som ett tekniskt och vetenskapligt unionsorgan, inte formellt samarbetar med eller träffar lobbyister, men att myndigheten samarbetar med och träffar intressenter i enlighet med sina formella ramar för intressenter. Parlamentet noterar vidare att möten med externa intressenter är offentliga och att detaljerna offentliggörs på evenemangssidan på myndighetens webbplats.</w:t>
      </w:r>
    </w:p>
    <w:p w14:paraId="77AACE2B" w14:textId="77777777" w:rsidR="0024145D" w:rsidRPr="006A537B" w:rsidRDefault="0024145D" w:rsidP="0024145D">
      <w:pPr>
        <w:pStyle w:val="NormalHanging12a"/>
      </w:pPr>
      <w:r w:rsidRPr="006A537B">
        <w:t>32.</w:t>
      </w:r>
      <w:r w:rsidRPr="006A537B">
        <w:tab/>
        <w:t>Europaparlamentet noterar den synlighet som myndigheten har uppnått. Parlamentet anser att det fortfarande finns utrymme för att uppnå större synlighet i medier, internet och sociala medier för att göra dess arbete och farorna för vår miljö kända för medborgarna.</w:t>
      </w:r>
    </w:p>
    <w:p w14:paraId="6EB4358A" w14:textId="77777777" w:rsidR="0024145D" w:rsidRPr="006A537B" w:rsidRDefault="0024145D" w:rsidP="0024145D">
      <w:pPr>
        <w:pStyle w:val="NormalHanging12a"/>
      </w:pPr>
      <w:r w:rsidRPr="006A537B">
        <w:t>33.</w:t>
      </w:r>
      <w:r w:rsidRPr="006A537B">
        <w:tab/>
        <w:t xml:space="preserve">Europaparlamentet noterar att myndigheten under 2022 tog emot 676 ansökningar om tillgång till handlingar, vilket var färre än antalet ansökningar under 2019 (783 ansökningar) eller 2021 (710 ansökningar) och offentliggjorde 216 666 sidor, vilket var fler än de 165 943 sidorna under 2021, men betydligt färre än de 318 013 sidorna under 2019. Parlamentet noterar att myndigheten tillämpar en </w:t>
      </w:r>
      <w:proofErr w:type="spellStart"/>
      <w:r w:rsidRPr="006A537B">
        <w:t>kömekanism</w:t>
      </w:r>
      <w:proofErr w:type="spellEnd"/>
      <w:r w:rsidRPr="006A537B">
        <w:t xml:space="preserve"> för att hantera handläggningen av flera ansökningar om tillgång till handlingar från en och samma sökande, vilket utgör en flaskhals för snabb tillgång till de handlingar som myndigheten innehar, och avskräcker sökande från att lämna in nya ansökningar. Parlamentet uppmanar myndigheten att lämna detaljerad information om hur många ansökningar om tillgång till handlingar som fortfarande är inaktiverade i kösystemet och om den genomsnittliga väntetiden i kösystemet innan de behandlas. Parlamentet efterlyser en revision av myndighetens regler för handläggning av ansökningar om tillgång till handlingar, </w:t>
      </w:r>
      <w:proofErr w:type="spellStart"/>
      <w:r w:rsidRPr="006A537B">
        <w:t>kömekanismen</w:t>
      </w:r>
      <w:proofErr w:type="spellEnd"/>
      <w:r w:rsidRPr="006A537B">
        <w:t>, utvecklingen av ansökningar över tid och konsekvenserna för de sökande.</w:t>
      </w:r>
    </w:p>
    <w:p w14:paraId="1276DAF5" w14:textId="77777777" w:rsidR="0024145D" w:rsidRPr="006A537B" w:rsidRDefault="0024145D" w:rsidP="0024145D">
      <w:pPr>
        <w:pStyle w:val="NormalHanging12a"/>
      </w:pPr>
      <w:r w:rsidRPr="006A537B">
        <w:t>34.</w:t>
      </w:r>
      <w:r w:rsidRPr="006A537B">
        <w:tab/>
        <w:t>Europaparlamentet uppmanar kommissionen att säkerställa att myndigheten får tillräckliga resurser för att genomföra de uppgifter som myndigheten tilldelats genom antagandet av förordning (EU) nr 536/2014 och för att undvika personalbrist som kommer att inverka negativt på myndighetens transparenspolicy, bland annat när det gäller offentliggörande i tid av kliniska data, mötesprotokoll och snabba svar på ansökningar om tillgång till handlingar.</w:t>
      </w:r>
    </w:p>
    <w:p w14:paraId="74BAAB2A" w14:textId="77777777" w:rsidR="0024145D" w:rsidRPr="006A537B" w:rsidRDefault="0024145D" w:rsidP="0024145D">
      <w:pPr>
        <w:pStyle w:val="Normal12Hanging"/>
        <w:widowControl/>
        <w:rPr>
          <w:szCs w:val="24"/>
          <w:u w:val="single"/>
        </w:rPr>
      </w:pPr>
      <w:r w:rsidRPr="006A537B">
        <w:rPr>
          <w:b/>
          <w:i/>
        </w:rPr>
        <w:t>Internkontroll</w:t>
      </w:r>
    </w:p>
    <w:p w14:paraId="38455302" w14:textId="77777777" w:rsidR="0024145D" w:rsidRPr="006A537B" w:rsidRDefault="0024145D" w:rsidP="0024145D">
      <w:pPr>
        <w:pStyle w:val="Normal12Hanging"/>
        <w:widowControl/>
        <w:rPr>
          <w:szCs w:val="24"/>
        </w:rPr>
      </w:pPr>
      <w:r w:rsidRPr="006A537B">
        <w:t>35.</w:t>
      </w:r>
      <w:r w:rsidRPr="006A537B">
        <w:tab/>
        <w:t>Europaparlamentet konstaterar att ett frågeformulär utarbetades för att bedöma genomförandet, funktionen och förbättringen av de 17 principerna inom ramen för internkontroll. Parlamentet noterar att chefer och personal med ansvar för specifika principer eller aspekter fick frågeformuläret, och att intervjuer genomfördes för ytterligare klargöranden. Parlamentet noterar vidare att den övergripande slutsatsen är att det interna kontrollsystemet anses vara ändamålsenligt och effektivt, att dess komponenter och principer i allmänhet har inrättats och fungerar relativt väl, medan vissa principer skulle kunna gynnas av mindre förtydliganden eller ytterligare information, och justeringar och förbättringar föreslås.</w:t>
      </w:r>
    </w:p>
    <w:p w14:paraId="568E4B2B" w14:textId="77777777" w:rsidR="0024145D" w:rsidRPr="006A537B" w:rsidRDefault="0024145D" w:rsidP="0024145D">
      <w:pPr>
        <w:pStyle w:val="Normal12Hanging"/>
        <w:widowControl/>
        <w:rPr>
          <w:szCs w:val="24"/>
        </w:rPr>
      </w:pPr>
      <w:r w:rsidRPr="006A537B">
        <w:t>36.</w:t>
      </w:r>
      <w:r w:rsidRPr="006A537B">
        <w:tab/>
        <w:t xml:space="preserve">Europaparlamentet uppmärksammar att till följd av flytten till nya lokaler 2019 hyrde myndigheten en fastighet i Amsterdam som anpassades och möblerades fullt ut med </w:t>
      </w:r>
      <w:r w:rsidRPr="006A537B">
        <w:lastRenderedPageBreak/>
        <w:t>hjälp av ett incitamentsbidrag från den nederländska staten på 15 miljoner EUR, inklusive donerade möbler och donerad restaurangutrustning. Parlamentet noterar att revisionsrätten konstaterade att myndigheten inte hade märkt (till exempel med streckkodsetiketter) en del av dessa tillgångar, framför allt möbler. Parlamentet noterade också att fyra inventeringar som myndigheten hade utfört efter flytten upprepade gånger visade på avvikelser (som med tiden minskade från 534 331 till 15 000 EUR) mellan listan över tillgångar som donerats av den nederländska staten, myndighetens register över tillgångar och de tillgångar som fanns i lokalerna. Parlamentet betonar att avsaknaden av en fullständig och uppdaterad inventarieförteckning som anger var materiella tillgångar finns strider mot artikel 87 i budgetförordningen och inverkar negativt på myndighetens förmåga att säkerställa skyddet av sina tillgångar. Parlamentet välkomnar att i syfte att fortlöpande förbättra sina processer kommer myndigheten att offentliggöra en uppdaterad intern vägledning för förvaltningen av sin tillgångsinventering, anta en riskbaserad strategi för märkning av möbler och offentliggöra en rullande fysisk kontrollplan för att fortlöpande bekräfta att inventarieförteckningen är korrekt.</w:t>
      </w:r>
    </w:p>
    <w:p w14:paraId="2BE6897D" w14:textId="77777777" w:rsidR="0024145D" w:rsidRPr="006A537B" w:rsidRDefault="0024145D" w:rsidP="0024145D">
      <w:pPr>
        <w:pStyle w:val="Normal12Hanging"/>
        <w:widowControl/>
        <w:rPr>
          <w:szCs w:val="24"/>
        </w:rPr>
      </w:pPr>
      <w:r w:rsidRPr="006A537B">
        <w:t>37.</w:t>
      </w:r>
      <w:r w:rsidRPr="006A537B">
        <w:tab/>
        <w:t>Europaparlamentet noterar iakttagelsen i revisionsrättens rapport om myndighetens bidrag till vissa typer av barnomsorgskostnader för personalen, såsom barnomsorg före och efter skolan i Nederländerna. Parlamentet noterar att när det gäller skolmåltider fann revisionsrätten att myndigheten inte kunde tillhandahålla fullständiga bevis från de kontroller som myndigheten hade gjort för att försäkra sig om att kostnader för skolmåltider inte hade räknats med, och ifrågasatte därför om sådana kontroller hade utförts systematiskt. Parlamentet noterar utifrån myndighetens svar att måltidskostnader inte ingår i skolavgifterna och att myndigheten kommer att lägga fram bevis för att kostnaderna för skolmåltider inte ingår i beräkningen av bidraget.</w:t>
      </w:r>
    </w:p>
    <w:p w14:paraId="46354438" w14:textId="77777777" w:rsidR="0024145D" w:rsidRPr="006A537B" w:rsidRDefault="0024145D" w:rsidP="0024145D">
      <w:pPr>
        <w:pStyle w:val="Normal12Hanging"/>
        <w:widowControl/>
        <w:rPr>
          <w:szCs w:val="24"/>
        </w:rPr>
      </w:pPr>
      <w:r w:rsidRPr="006A537B">
        <w:t>38.</w:t>
      </w:r>
      <w:r w:rsidRPr="006A537B">
        <w:tab/>
        <w:t>Europaparlamentet noterar resultatet av den verksamhet som utförts av myndighetens internrevisionsfunktion, med 6 kritiska och 19 mycket viktiga rekommendationer som utfärdades under 2022. Parlamentet uppmanar myndigheten att ta itu med de 14 viktiga rekommendationer som väntar på en förbättringsplan från och med den 31 december 2022 och att rapportera tillbaka till den ansvarsfrihetsbeviljande myndigheten om utvecklingen i detta avseende.</w:t>
      </w:r>
    </w:p>
    <w:p w14:paraId="048700F3" w14:textId="77777777" w:rsidR="0024145D" w:rsidRPr="006A537B" w:rsidRDefault="0024145D" w:rsidP="0024145D">
      <w:pPr>
        <w:pStyle w:val="Normal12Hanging"/>
        <w:widowControl/>
        <w:rPr>
          <w:szCs w:val="24"/>
        </w:rPr>
      </w:pPr>
      <w:r w:rsidRPr="006A537B">
        <w:rPr>
          <w:b/>
          <w:i/>
        </w:rPr>
        <w:t>Övriga kommentarer</w:t>
      </w:r>
    </w:p>
    <w:p w14:paraId="4A3C0D45" w14:textId="77777777" w:rsidR="0024145D" w:rsidRPr="006A537B" w:rsidRDefault="0024145D" w:rsidP="0024145D">
      <w:pPr>
        <w:pStyle w:val="NormalHanging12a"/>
        <w:widowControl/>
        <w:rPr>
          <w:szCs w:val="24"/>
        </w:rPr>
      </w:pPr>
      <w:r w:rsidRPr="006A537B">
        <w:t>39.</w:t>
      </w:r>
      <w:r w:rsidRPr="006A537B">
        <w:tab/>
        <w:t>Europaparlamentet välkomnar att myndigheten anpassade sina långsiktiga klimatmål till målet i förordning (EU) 2021/1119</w:t>
      </w:r>
      <w:r w:rsidRPr="006A537B">
        <w:rPr>
          <w:rStyle w:val="FootnoteReference"/>
          <w:szCs w:val="24"/>
        </w:rPr>
        <w:footnoteReference w:id="15"/>
      </w:r>
      <w:r w:rsidRPr="006A537B">
        <w:t xml:space="preserve"> om en nettominskning av växthusgasutsläppen med 55 % fram till 2030 (jämfört med 1990 års nivåer) och uppnående av klimatneutralitet senast 2050. Parlamentet noterar att när det gäller energi- och vattenförbrukning omvandlade myndigheten dessa mål till en minskning med 15 % per kvadratmeter kontorsutrymme från 2012 till 2021. Parlamentet noterar att i målet beaktades myndighetens tillväxt under den aktuella perioden och det faktum att den hade flyttat till en större men också energieffektivare byggnad i samband med flytten från London till Amsterdam. Parlamentet noterar att målet överträffades för såväl energi- som </w:t>
      </w:r>
      <w:r w:rsidRPr="006A537B">
        <w:lastRenderedPageBreak/>
        <w:t>vattenförbrukningen eftersom myndigheten minskade energiförbrukningen med 45 % och vattenförbrukningen med 63 % per kvadratmeter.</w:t>
      </w:r>
    </w:p>
    <w:p w14:paraId="7CD5E33C" w14:textId="77777777" w:rsidR="0024145D" w:rsidRPr="006A537B" w:rsidRDefault="0024145D" w:rsidP="0024145D">
      <w:pPr>
        <w:pStyle w:val="NormalHanging12a"/>
        <w:widowControl/>
        <w:rPr>
          <w:szCs w:val="24"/>
        </w:rPr>
      </w:pPr>
      <w:r w:rsidRPr="006A537B">
        <w:t>40.</w:t>
      </w:r>
      <w:r w:rsidRPr="006A537B">
        <w:tab/>
        <w:t>Europaparlamentet noterar att myndigheten förbereder certifieringen från miljölednings- och miljörevisionsordningen.</w:t>
      </w:r>
    </w:p>
    <w:p w14:paraId="347B6677" w14:textId="77777777" w:rsidR="0024145D" w:rsidRPr="006A537B" w:rsidRDefault="0024145D" w:rsidP="0024145D">
      <w:pPr>
        <w:pStyle w:val="NormalHanging12a"/>
        <w:widowControl/>
        <w:rPr>
          <w:szCs w:val="24"/>
        </w:rPr>
      </w:pPr>
      <w:r w:rsidRPr="006A537B">
        <w:t>41.</w:t>
      </w:r>
      <w:r w:rsidRPr="006A537B">
        <w:tab/>
        <w:t xml:space="preserve">Europaparlamentet välkomnar att myndigheten 2022, för att öka </w:t>
      </w:r>
      <w:proofErr w:type="spellStart"/>
      <w:r w:rsidRPr="006A537B">
        <w:t>it-säkerheten</w:t>
      </w:r>
      <w:proofErr w:type="spellEnd"/>
      <w:r w:rsidRPr="006A537B">
        <w:t>, antog strategin för informationssäkerhet och den tillhörande genomförandeplanen i syfte att förbättra de befintliga skydds- och säkerhetsprocesserna för att skydda myndighetens informationstillgångar och samtidigt stödja nya verksamhetsmässiga och tekniska utmaningar. Parlamentet noterar att andra viktiga åtgärder också genomfördes under 2022, bland annat inrättandet av programmet för säkerhetsutbildning och medvetenhet och genomförandet av säkerhetscentrumet, som syftar till att kontinuerligt övervaka och förbättra myndighetens säkerhetsställning och samtidigt förebygga, upptäcka, analysera och reagera på it-säkerhetsincidenter. Parlamentet noterar vidare att myndigheten har samarbetat nära med cybersäkerhetstjänsten för unionens institutioner, organ och byråer och Europeiska unionens cybersäkerhetsbyrå om många aspekter av informationssäkerhets- och it-säkerhetsområdena, inbegripet diskussioner och regelbundna uppdateringar om den kommande it-säkerhetsförordningen för unionens institutioner, byråer och organ.</w:t>
      </w:r>
    </w:p>
    <w:p w14:paraId="7D16ABD5" w14:textId="77777777" w:rsidR="0024145D" w:rsidRPr="006A537B" w:rsidRDefault="0024145D" w:rsidP="0024145D">
      <w:pPr>
        <w:pStyle w:val="NormalHanging12a"/>
        <w:widowControl/>
        <w:rPr>
          <w:szCs w:val="24"/>
        </w:rPr>
      </w:pPr>
      <w:r w:rsidRPr="006A537B">
        <w:t>42.</w:t>
      </w:r>
      <w:r w:rsidRPr="006A537B">
        <w:tab/>
        <w:t>Europaparlamentet lovordar myndigheten för att ha utfärdat inledande råd till sponsorer om hur man ska hantera genomförandet av kliniska prövningar i samband med de störningar som orsakats av den ryska invasionen av Ukraina.</w:t>
      </w:r>
    </w:p>
    <w:p w14:paraId="69CB0AF4" w14:textId="77777777" w:rsidR="0024145D" w:rsidRPr="006A537B" w:rsidRDefault="0024145D" w:rsidP="0024145D">
      <w:pPr>
        <w:pStyle w:val="NormalCenter12a"/>
      </w:pPr>
      <w:r w:rsidRPr="006A537B">
        <w:t>°</w:t>
      </w:r>
    </w:p>
    <w:p w14:paraId="2D702728" w14:textId="77777777" w:rsidR="0024145D" w:rsidRPr="006A537B" w:rsidRDefault="0024145D" w:rsidP="0024145D">
      <w:pPr>
        <w:pStyle w:val="NormalCenter12a"/>
      </w:pPr>
      <w:r w:rsidRPr="006A537B">
        <w:t>°</w:t>
      </w:r>
      <w:r w:rsidRPr="006A537B">
        <w:tab/>
        <w:t>°</w:t>
      </w:r>
    </w:p>
    <w:p w14:paraId="429AEE51" w14:textId="0D142193" w:rsidR="0024145D" w:rsidRPr="00F908A8" w:rsidRDefault="0024145D" w:rsidP="0024145D">
      <w:pPr>
        <w:pStyle w:val="NormalHanging12a"/>
        <w:widowControl/>
      </w:pPr>
      <w:r w:rsidRPr="006A537B">
        <w:t>43.</w:t>
      </w:r>
      <w:r w:rsidRPr="006A537B">
        <w:tab/>
        <w:t xml:space="preserve">När det gäller andra övergripande iakttagelser som utgör en del av beslutet om ansvarsfrihet hänvisar Europaparlamentet till sin resolution av den </w:t>
      </w:r>
      <w:r w:rsidR="00B61D73" w:rsidRPr="006A537B">
        <w:t>11 april 2024</w:t>
      </w:r>
      <w:r w:rsidRPr="006A537B">
        <w:rPr>
          <w:vertAlign w:val="superscript"/>
        </w:rPr>
        <w:footnoteReference w:id="16"/>
      </w:r>
      <w:r w:rsidRPr="006A537B">
        <w:t xml:space="preserve"> om byråernas verksamhetsresultat, ekonomiska förvaltning och kontroll.</w:t>
      </w:r>
    </w:p>
    <w:sectPr w:rsidR="0024145D" w:rsidRPr="00F908A8" w:rsidSect="00F908A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C90F8" w14:textId="77777777" w:rsidR="00F739D5" w:rsidRPr="00F908A8" w:rsidRDefault="00F739D5">
      <w:r w:rsidRPr="00F908A8">
        <w:separator/>
      </w:r>
    </w:p>
  </w:endnote>
  <w:endnote w:type="continuationSeparator" w:id="0">
    <w:p w14:paraId="5173544D" w14:textId="77777777" w:rsidR="00F739D5" w:rsidRPr="00F908A8" w:rsidRDefault="00F739D5">
      <w:r w:rsidRPr="00F908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CE427" w14:textId="77777777" w:rsidR="0024145D" w:rsidRPr="00F908A8" w:rsidRDefault="0024145D" w:rsidP="00D149D1">
    <w:pPr>
      <w:pStyle w:val="EPFooter"/>
    </w:pPr>
    <w:r w:rsidRPr="00F908A8">
      <w:t>PE</w:t>
    </w:r>
    <w:r w:rsidRPr="00F908A8">
      <w:rPr>
        <w:rStyle w:val="HideTWBExt"/>
      </w:rPr>
      <w:t>&lt;</w:t>
    </w:r>
    <w:proofErr w:type="spellStart"/>
    <w:r w:rsidRPr="00F908A8">
      <w:rPr>
        <w:rStyle w:val="HideTWBExt"/>
      </w:rPr>
      <w:t>NoPE</w:t>
    </w:r>
    <w:proofErr w:type="spellEnd"/>
    <w:r w:rsidRPr="00F908A8">
      <w:rPr>
        <w:rStyle w:val="HideTWBExt"/>
      </w:rPr>
      <w:t>&gt;</w:t>
    </w:r>
    <w:r w:rsidRPr="00F908A8">
      <w:t>753.524</w:t>
    </w:r>
    <w:r w:rsidRPr="00F908A8">
      <w:rPr>
        <w:rStyle w:val="HideTWBExt"/>
      </w:rPr>
      <w:t>&lt;/</w:t>
    </w:r>
    <w:proofErr w:type="spellStart"/>
    <w:r w:rsidRPr="00F908A8">
      <w:rPr>
        <w:rStyle w:val="HideTWBExt"/>
      </w:rPr>
      <w:t>NoPE</w:t>
    </w:r>
    <w:proofErr w:type="spellEnd"/>
    <w:r w:rsidRPr="00F908A8">
      <w:rPr>
        <w:rStyle w:val="HideTWBExt"/>
      </w:rPr>
      <w:t>&gt;&lt;Version&gt;</w:t>
    </w:r>
    <w:r w:rsidRPr="00F908A8">
      <w:t>v02-00</w:t>
    </w:r>
    <w:r w:rsidRPr="00F908A8">
      <w:rPr>
        <w:rStyle w:val="HideTWBExt"/>
      </w:rPr>
      <w:t>&lt;/Version&gt;</w:t>
    </w:r>
    <w:r w:rsidRPr="00F908A8">
      <w:tab/>
    </w:r>
    <w:r w:rsidRPr="00F908A8">
      <w:fldChar w:fldCharType="begin"/>
    </w:r>
    <w:r w:rsidRPr="00F908A8">
      <w:instrText xml:space="preserve"> PAGE  \* MERGEFORMAT </w:instrText>
    </w:r>
    <w:r w:rsidRPr="00F908A8">
      <w:fldChar w:fldCharType="separate"/>
    </w:r>
    <w:r w:rsidRPr="00F908A8">
      <w:rPr>
        <w:noProof/>
      </w:rPr>
      <w:t>14</w:t>
    </w:r>
    <w:r w:rsidRPr="00F908A8">
      <w:fldChar w:fldCharType="end"/>
    </w:r>
    <w:r w:rsidRPr="00F908A8">
      <w:t>/</w:t>
    </w:r>
    <w:fldSimple w:instr=" NUMPAGES  \* MERGEFORMAT ">
      <w:r w:rsidRPr="00F908A8">
        <w:rPr>
          <w:noProof/>
        </w:rPr>
        <w:t>14</w:t>
      </w:r>
    </w:fldSimple>
    <w:r w:rsidRPr="00F908A8">
      <w:tab/>
    </w:r>
    <w:r w:rsidRPr="00F908A8">
      <w:rPr>
        <w:rStyle w:val="HideTWBExt"/>
      </w:rPr>
      <w:t>&lt;PathFdR&gt;</w:t>
    </w:r>
    <w:r w:rsidRPr="00F908A8">
      <w:t>RR\1299241SV.docx</w:t>
    </w:r>
    <w:r w:rsidRPr="00F908A8">
      <w:rPr>
        <w:rStyle w:val="HideTWBExt"/>
      </w:rPr>
      <w:t>&lt;/</w:t>
    </w:r>
    <w:proofErr w:type="spellStart"/>
    <w:r w:rsidRPr="00F908A8">
      <w:rPr>
        <w:rStyle w:val="HideTWBExt"/>
      </w:rPr>
      <w:t>PathFdR</w:t>
    </w:r>
    <w:proofErr w:type="spellEnd"/>
    <w:r w:rsidRPr="00F908A8">
      <w:rPr>
        <w:rStyle w:val="HideTWBExt"/>
      </w:rPr>
      <w:t>&gt;</w:t>
    </w:r>
  </w:p>
  <w:p w14:paraId="417986AE" w14:textId="77777777" w:rsidR="0024145D" w:rsidRPr="00F908A8" w:rsidRDefault="0024145D" w:rsidP="00D149D1">
    <w:pPr>
      <w:pStyle w:val="EPFooter2"/>
    </w:pPr>
    <w:r w:rsidRPr="00F908A8">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F775" w14:textId="77777777" w:rsidR="0024145D" w:rsidRPr="00F908A8" w:rsidRDefault="0024145D" w:rsidP="00D149D1">
    <w:pPr>
      <w:pStyle w:val="EPFooter"/>
    </w:pPr>
    <w:r w:rsidRPr="00F908A8">
      <w:rPr>
        <w:rStyle w:val="HideTWBExt"/>
      </w:rPr>
      <w:t>&lt;PathFdR&gt;</w:t>
    </w:r>
    <w:r w:rsidRPr="00F908A8">
      <w:t>RR\1299241SV.docx</w:t>
    </w:r>
    <w:r w:rsidRPr="00F908A8">
      <w:rPr>
        <w:rStyle w:val="HideTWBExt"/>
      </w:rPr>
      <w:t>&lt;/</w:t>
    </w:r>
    <w:proofErr w:type="spellStart"/>
    <w:r w:rsidRPr="00F908A8">
      <w:rPr>
        <w:rStyle w:val="HideTWBExt"/>
      </w:rPr>
      <w:t>PathFdR</w:t>
    </w:r>
    <w:proofErr w:type="spellEnd"/>
    <w:r w:rsidRPr="00F908A8">
      <w:rPr>
        <w:rStyle w:val="HideTWBExt"/>
      </w:rPr>
      <w:t>&gt;</w:t>
    </w:r>
    <w:r w:rsidRPr="00F908A8">
      <w:tab/>
    </w:r>
    <w:r w:rsidRPr="00F908A8">
      <w:tab/>
      <w:t>PE</w:t>
    </w:r>
    <w:r w:rsidRPr="00F908A8">
      <w:rPr>
        <w:rStyle w:val="HideTWBExt"/>
      </w:rPr>
      <w:t>&lt;</w:t>
    </w:r>
    <w:proofErr w:type="spellStart"/>
    <w:r w:rsidRPr="00F908A8">
      <w:rPr>
        <w:rStyle w:val="HideTWBExt"/>
      </w:rPr>
      <w:t>NoPE</w:t>
    </w:r>
    <w:proofErr w:type="spellEnd"/>
    <w:r w:rsidRPr="00F908A8">
      <w:rPr>
        <w:rStyle w:val="HideTWBExt"/>
      </w:rPr>
      <w:t>&gt;</w:t>
    </w:r>
    <w:r w:rsidRPr="00F908A8">
      <w:t>753.524</w:t>
    </w:r>
    <w:r w:rsidRPr="00F908A8">
      <w:rPr>
        <w:rStyle w:val="HideTWBExt"/>
      </w:rPr>
      <w:t>&lt;/</w:t>
    </w:r>
    <w:proofErr w:type="spellStart"/>
    <w:r w:rsidRPr="00F908A8">
      <w:rPr>
        <w:rStyle w:val="HideTWBExt"/>
      </w:rPr>
      <w:t>NoPE</w:t>
    </w:r>
    <w:proofErr w:type="spellEnd"/>
    <w:r w:rsidRPr="00F908A8">
      <w:rPr>
        <w:rStyle w:val="HideTWBExt"/>
      </w:rPr>
      <w:t>&gt;&lt;Version&gt;</w:t>
    </w:r>
    <w:r w:rsidRPr="00F908A8">
      <w:t>v02-00</w:t>
    </w:r>
    <w:r w:rsidRPr="00F908A8">
      <w:rPr>
        <w:rStyle w:val="HideTWBExt"/>
      </w:rPr>
      <w:t>&lt;/Version&gt;</w:t>
    </w:r>
  </w:p>
  <w:p w14:paraId="37933B9D" w14:textId="77777777" w:rsidR="0024145D" w:rsidRPr="00F908A8" w:rsidRDefault="0024145D" w:rsidP="00D149D1">
    <w:pPr>
      <w:pStyle w:val="EPFooter2"/>
    </w:pPr>
    <w:r w:rsidRPr="00F908A8">
      <w:t>SV</w:t>
    </w:r>
    <w:r w:rsidRPr="00F908A8">
      <w:tab/>
    </w:r>
    <w:r w:rsidRPr="00F908A8">
      <w:rPr>
        <w:b w:val="0"/>
        <w:i/>
        <w:color w:val="C0C0C0"/>
        <w:sz w:val="22"/>
      </w:rPr>
      <w:t>Förenade i mångfalden</w:t>
    </w:r>
    <w:r w:rsidRPr="00F908A8">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A43E" w14:textId="77777777" w:rsidR="00064002" w:rsidRPr="00F908A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51F17" w14:textId="77777777" w:rsidR="00064002" w:rsidRPr="00F908A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EE155" w14:textId="77777777" w:rsidR="00064002" w:rsidRPr="00F908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7A11E" w14:textId="77777777" w:rsidR="00F739D5" w:rsidRPr="00F908A8" w:rsidRDefault="00F739D5">
      <w:r w:rsidRPr="00F908A8">
        <w:separator/>
      </w:r>
    </w:p>
  </w:footnote>
  <w:footnote w:type="continuationSeparator" w:id="0">
    <w:p w14:paraId="0B6ECE0F" w14:textId="77777777" w:rsidR="00F739D5" w:rsidRPr="00F908A8" w:rsidRDefault="00F739D5">
      <w:r w:rsidRPr="00F908A8">
        <w:continuationSeparator/>
      </w:r>
    </w:p>
  </w:footnote>
  <w:footnote w:id="1">
    <w:p w14:paraId="3B14F7BF"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C, C/2023/594, 27.10.2023.</w:t>
      </w:r>
    </w:p>
  </w:footnote>
  <w:footnote w:id="2">
    <w:p w14:paraId="2E7123BE"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C, C/2023/112, 12.10.2023.</w:t>
      </w:r>
    </w:p>
  </w:footnote>
  <w:footnote w:id="3">
    <w:p w14:paraId="45750332"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L 193, 30.7.2018, s. 1.</w:t>
      </w:r>
    </w:p>
  </w:footnote>
  <w:footnote w:id="4">
    <w:p w14:paraId="35086078"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L 136, 30.4.2004, s. 1.</w:t>
      </w:r>
    </w:p>
  </w:footnote>
  <w:footnote w:id="5">
    <w:p w14:paraId="1D69A420" w14:textId="77777777" w:rsidR="0024145D" w:rsidRPr="00E95156" w:rsidRDefault="0024145D" w:rsidP="00F908A8">
      <w:pPr>
        <w:pStyle w:val="FootnoteText"/>
        <w:ind w:left="567" w:hanging="567"/>
        <w:rPr>
          <w:sz w:val="24"/>
          <w:szCs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L 122, 10.5.2019, s. 1.</w:t>
      </w:r>
    </w:p>
  </w:footnote>
  <w:footnote w:id="6">
    <w:p w14:paraId="78CA32DE"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C, C/2023/594, 27.10.2023.</w:t>
      </w:r>
    </w:p>
  </w:footnote>
  <w:footnote w:id="7">
    <w:p w14:paraId="000E674A"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C, C/2023/112, 12.10.2023.</w:t>
      </w:r>
    </w:p>
  </w:footnote>
  <w:footnote w:id="8">
    <w:p w14:paraId="439D2014"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L 193, 30.7.2018, s. 1.</w:t>
      </w:r>
    </w:p>
  </w:footnote>
  <w:footnote w:id="9">
    <w:p w14:paraId="7DE480D2" w14:textId="77777777" w:rsidR="0024145D" w:rsidRPr="00E95156" w:rsidRDefault="0024145D" w:rsidP="00F908A8">
      <w:pPr>
        <w:pStyle w:val="FootnoteText"/>
        <w:ind w:left="567" w:hanging="567"/>
        <w:rPr>
          <w:sz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L 136, 30.4.2004, s. 1.</w:t>
      </w:r>
    </w:p>
  </w:footnote>
  <w:footnote w:id="10">
    <w:p w14:paraId="422EF2CC" w14:textId="77777777" w:rsidR="0024145D" w:rsidRPr="00E95156" w:rsidRDefault="0024145D" w:rsidP="00F908A8">
      <w:pPr>
        <w:pStyle w:val="FootnoteText"/>
        <w:ind w:left="567" w:hanging="567"/>
        <w:rPr>
          <w:sz w:val="24"/>
          <w:szCs w:val="24"/>
        </w:rPr>
      </w:pPr>
      <w:r w:rsidRPr="00E95156">
        <w:rPr>
          <w:rStyle w:val="FootnoteReference"/>
          <w:sz w:val="24"/>
          <w:lang w:val="sv-SE"/>
        </w:rPr>
        <w:footnoteRef/>
      </w:r>
      <w:r w:rsidR="00F908A8" w:rsidRPr="00E95156">
        <w:rPr>
          <w:sz w:val="24"/>
        </w:rPr>
        <w:t xml:space="preserve"> </w:t>
      </w:r>
      <w:r w:rsidR="00F908A8" w:rsidRPr="00E95156">
        <w:rPr>
          <w:sz w:val="24"/>
        </w:rPr>
        <w:tab/>
      </w:r>
      <w:r w:rsidRPr="00E95156">
        <w:rPr>
          <w:sz w:val="24"/>
        </w:rPr>
        <w:t>EUT L 122, 10.5.2019, s. 1.</w:t>
      </w:r>
    </w:p>
  </w:footnote>
  <w:footnote w:id="11">
    <w:p w14:paraId="1E25555A" w14:textId="77777777" w:rsidR="0024145D" w:rsidRPr="00E95156" w:rsidRDefault="0024145D" w:rsidP="00F908A8">
      <w:pPr>
        <w:pStyle w:val="FootnoteText"/>
        <w:ind w:left="567" w:hanging="567"/>
        <w:rPr>
          <w:sz w:val="24"/>
          <w:lang w:val="sv-SE"/>
        </w:rPr>
      </w:pPr>
      <w:r w:rsidRPr="00E95156">
        <w:rPr>
          <w:sz w:val="24"/>
          <w:vertAlign w:val="superscript"/>
          <w:lang w:val="sv-SE"/>
        </w:rPr>
        <w:footnoteRef/>
      </w:r>
      <w:r w:rsidR="00F908A8" w:rsidRPr="00E95156">
        <w:rPr>
          <w:sz w:val="24"/>
          <w:lang w:val="sv-SE"/>
        </w:rPr>
        <w:t xml:space="preserve"> </w:t>
      </w:r>
      <w:r w:rsidR="00F908A8" w:rsidRPr="00E95156">
        <w:rPr>
          <w:sz w:val="24"/>
          <w:lang w:val="sv-SE"/>
        </w:rPr>
        <w:tab/>
      </w:r>
      <w:r w:rsidRPr="00E95156">
        <w:rPr>
          <w:sz w:val="24"/>
          <w:lang w:val="sv-SE"/>
        </w:rPr>
        <w:t>EUT C 489, 22.12.2022, s. 7.</w:t>
      </w:r>
    </w:p>
  </w:footnote>
  <w:footnote w:id="12">
    <w:p w14:paraId="19481DFD" w14:textId="77777777" w:rsidR="0024145D" w:rsidRPr="00E95156" w:rsidRDefault="0024145D" w:rsidP="00F908A8">
      <w:pPr>
        <w:pStyle w:val="FootnoteText"/>
        <w:ind w:left="567" w:hanging="567"/>
        <w:rPr>
          <w:sz w:val="24"/>
          <w:lang w:val="sv-SE"/>
        </w:rPr>
      </w:pPr>
      <w:r w:rsidRPr="00E95156">
        <w:rPr>
          <w:rStyle w:val="FootnoteReference"/>
          <w:sz w:val="24"/>
          <w:lang w:val="sv-SE"/>
        </w:rPr>
        <w:footnoteRef/>
      </w:r>
      <w:r w:rsidR="00F908A8" w:rsidRPr="00E95156">
        <w:rPr>
          <w:sz w:val="24"/>
          <w:lang w:val="sv-SE"/>
        </w:rPr>
        <w:t xml:space="preserve"> </w:t>
      </w:r>
      <w:r w:rsidR="00F908A8" w:rsidRPr="00E95156">
        <w:rPr>
          <w:sz w:val="24"/>
          <w:lang w:val="sv-SE"/>
        </w:rPr>
        <w:tab/>
      </w:r>
      <w:r w:rsidRPr="00E95156">
        <w:rPr>
          <w:sz w:val="24"/>
          <w:lang w:val="sv-SE"/>
        </w:rPr>
        <w:t>Europaparlamentets och rådets förordning (EU) nr 536/2014 av den 16 april 2014 om kliniska prövningar av humanläkemedel och om upphävande av direktiv 2001/20/EG (EUT L 158, 27.5.2014, s. 1).</w:t>
      </w:r>
    </w:p>
  </w:footnote>
  <w:footnote w:id="13">
    <w:p w14:paraId="7EB3208A" w14:textId="77777777" w:rsidR="0024145D" w:rsidRPr="00E95156" w:rsidRDefault="0024145D" w:rsidP="00F908A8">
      <w:pPr>
        <w:pStyle w:val="FootnoteText"/>
        <w:ind w:left="567" w:hanging="567"/>
        <w:rPr>
          <w:sz w:val="24"/>
          <w:lang w:val="sv-SE"/>
        </w:rPr>
      </w:pPr>
      <w:r w:rsidRPr="00E95156">
        <w:rPr>
          <w:rStyle w:val="FootnoteReference"/>
          <w:sz w:val="24"/>
          <w:lang w:val="sv-SE"/>
        </w:rPr>
        <w:footnoteRef/>
      </w:r>
      <w:r w:rsidR="00F908A8" w:rsidRPr="00E95156">
        <w:rPr>
          <w:sz w:val="24"/>
          <w:lang w:val="sv-SE"/>
        </w:rPr>
        <w:t xml:space="preserve"> </w:t>
      </w:r>
      <w:r w:rsidR="00F908A8" w:rsidRPr="00E95156">
        <w:rPr>
          <w:sz w:val="24"/>
          <w:lang w:val="sv-SE"/>
        </w:rPr>
        <w:tab/>
      </w:r>
      <w:r w:rsidRPr="00E95156">
        <w:rPr>
          <w:sz w:val="24"/>
          <w:lang w:val="sv-SE"/>
        </w:rPr>
        <w:t>Europaparlamentets och rådets förordning (EU) 2019/6 av den 11 december 2018 om veterinärmedicinska läkemedel och om upphävande av direktiv 2001/82/EG (EUT L 4, 7.1.2019, s. 43).</w:t>
      </w:r>
    </w:p>
  </w:footnote>
  <w:footnote w:id="14">
    <w:p w14:paraId="38F43FBA" w14:textId="77777777" w:rsidR="0024145D" w:rsidRPr="00E95156" w:rsidRDefault="0024145D" w:rsidP="00F908A8">
      <w:pPr>
        <w:pStyle w:val="FootnoteText"/>
        <w:ind w:left="567" w:hanging="567"/>
        <w:rPr>
          <w:sz w:val="24"/>
          <w:lang w:val="sv-SE"/>
        </w:rPr>
      </w:pPr>
      <w:r w:rsidRPr="00E95156">
        <w:rPr>
          <w:rStyle w:val="FootnoteReference"/>
          <w:sz w:val="24"/>
          <w:lang w:val="sv-SE"/>
        </w:rPr>
        <w:footnoteRef/>
      </w:r>
      <w:r w:rsidR="00F908A8" w:rsidRPr="00E95156">
        <w:rPr>
          <w:sz w:val="24"/>
          <w:lang w:val="sv-SE"/>
        </w:rPr>
        <w:t xml:space="preserve"> </w:t>
      </w:r>
      <w:r w:rsidR="00F908A8" w:rsidRPr="00E95156">
        <w:rPr>
          <w:sz w:val="24"/>
          <w:lang w:val="sv-SE"/>
        </w:rPr>
        <w:tab/>
      </w:r>
      <w:r w:rsidRPr="00E95156">
        <w:rPr>
          <w:sz w:val="24"/>
          <w:lang w:val="sv-SE"/>
        </w:rPr>
        <w:t>Europaparlamentets och rådets förordning (EU) 2022/123 av den 25 januari 2022 om en förstärkt roll för Europeiska läkemedelsmyndigheten vid krisberedskap och krishantering avseende läkemedel och medicintekniska produkter (EUT L 20, 31.1.2022, s. 1).</w:t>
      </w:r>
    </w:p>
  </w:footnote>
  <w:footnote w:id="15">
    <w:p w14:paraId="0D3D8423" w14:textId="77777777" w:rsidR="0024145D" w:rsidRPr="00E95156" w:rsidRDefault="0024145D" w:rsidP="00F908A8">
      <w:pPr>
        <w:pStyle w:val="FootnoteText"/>
        <w:ind w:left="567" w:hanging="567"/>
        <w:rPr>
          <w:sz w:val="24"/>
          <w:szCs w:val="24"/>
          <w:lang w:val="sv-SE"/>
        </w:rPr>
      </w:pPr>
      <w:r w:rsidRPr="00E95156">
        <w:rPr>
          <w:rStyle w:val="FootnoteReference"/>
          <w:sz w:val="24"/>
          <w:lang w:val="sv-SE"/>
        </w:rPr>
        <w:footnoteRef/>
      </w:r>
      <w:r w:rsidR="00F908A8" w:rsidRPr="00E95156">
        <w:rPr>
          <w:sz w:val="24"/>
          <w:lang w:val="sv-SE"/>
        </w:rPr>
        <w:t xml:space="preserve"> </w:t>
      </w:r>
      <w:r w:rsidR="00F908A8" w:rsidRPr="00E95156">
        <w:rPr>
          <w:sz w:val="24"/>
          <w:lang w:val="sv-SE"/>
        </w:rPr>
        <w:tab/>
      </w:r>
      <w:r w:rsidRPr="00E95156">
        <w:rPr>
          <w:sz w:val="24"/>
          <w:lang w:val="sv-SE"/>
        </w:rPr>
        <w:t>Europaparlamentets och rådets förordning (EU) 2021/1119 av den 30 juni 2021 om inrättande av en ram för att uppnå klimatneutralitet och om ändring av förordningarna (EG) nr 401/2009 och (EU) 2018/1999 (europeisk klimatlag) (EUT L 243, 9.7.2021, s. 1).</w:t>
      </w:r>
    </w:p>
  </w:footnote>
  <w:footnote w:id="16">
    <w:p w14:paraId="0C02E3B9" w14:textId="424BD43D" w:rsidR="0024145D" w:rsidRPr="00F908A8" w:rsidRDefault="0024145D" w:rsidP="00F908A8">
      <w:pPr>
        <w:pStyle w:val="FootnoteText"/>
        <w:ind w:left="567" w:hanging="567"/>
        <w:rPr>
          <w:sz w:val="24"/>
          <w:lang w:val="sv-SE"/>
        </w:rPr>
      </w:pPr>
      <w:r w:rsidRPr="00E95156">
        <w:rPr>
          <w:rStyle w:val="FootnoteReference"/>
          <w:sz w:val="24"/>
          <w:lang w:val="sv-SE"/>
        </w:rPr>
        <w:footnoteRef/>
      </w:r>
      <w:r w:rsidR="00F908A8" w:rsidRPr="00E95156">
        <w:rPr>
          <w:sz w:val="24"/>
          <w:lang w:val="sv-SE"/>
        </w:rPr>
        <w:t xml:space="preserve"> </w:t>
      </w:r>
      <w:r w:rsidR="00F908A8" w:rsidRPr="00E95156">
        <w:rPr>
          <w:sz w:val="24"/>
          <w:lang w:val="sv-SE"/>
        </w:rPr>
        <w:tab/>
      </w:r>
      <w:r w:rsidRPr="00E95156">
        <w:rPr>
          <w:sz w:val="24"/>
          <w:lang w:val="sv-SE"/>
        </w:rPr>
        <w:t>Antagna texter, P9_TA(2024)0</w:t>
      </w:r>
      <w:r w:rsidR="00E95156" w:rsidRPr="00E95156">
        <w:rPr>
          <w:sz w:val="24"/>
          <w:lang w:val="sv-SE"/>
        </w:rPr>
        <w:t>280</w:t>
      </w:r>
      <w:r w:rsidRPr="00E9515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7AACC" w14:textId="77777777" w:rsidR="00064002" w:rsidRPr="00F908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18C9E" w14:textId="77777777" w:rsidR="00064002" w:rsidRPr="00F908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D5268" w14:textId="77777777" w:rsidR="00064002" w:rsidRPr="00F908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SV"/>
    <w:docVar w:name="dvnumam" w:val="0"/>
    <w:docVar w:name="dvpe" w:val="753.524"/>
    <w:docVar w:name="dvrapporteur" w:val="Föredragande: "/>
    <w:docVar w:name="dvtitre" w:val="Europaparlamentets beslut av den xx xx 2024 om ansvarsfrihet för genomförandet av budgeten för Europeiska läkemedelsmyndigheten för budgetåret 2022(2023/2156(DEC))"/>
  </w:docVars>
  <w:rsids>
    <w:rsidRoot w:val="00F739D5"/>
    <w:rsid w:val="00002272"/>
    <w:rsid w:val="00064002"/>
    <w:rsid w:val="000677B9"/>
    <w:rsid w:val="000831BA"/>
    <w:rsid w:val="000A42CC"/>
    <w:rsid w:val="000E7DD9"/>
    <w:rsid w:val="0010095E"/>
    <w:rsid w:val="00125B37"/>
    <w:rsid w:val="00134107"/>
    <w:rsid w:val="00187494"/>
    <w:rsid w:val="001F32AE"/>
    <w:rsid w:val="0024145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B76"/>
    <w:rsid w:val="0050519A"/>
    <w:rsid w:val="005072A1"/>
    <w:rsid w:val="00514517"/>
    <w:rsid w:val="00545827"/>
    <w:rsid w:val="00560270"/>
    <w:rsid w:val="005C2568"/>
    <w:rsid w:val="006037C0"/>
    <w:rsid w:val="006631B6"/>
    <w:rsid w:val="00680577"/>
    <w:rsid w:val="006A034C"/>
    <w:rsid w:val="006A537B"/>
    <w:rsid w:val="006F74FA"/>
    <w:rsid w:val="00731ADD"/>
    <w:rsid w:val="00734777"/>
    <w:rsid w:val="00747932"/>
    <w:rsid w:val="00751A4A"/>
    <w:rsid w:val="00756632"/>
    <w:rsid w:val="00762C74"/>
    <w:rsid w:val="00786EC0"/>
    <w:rsid w:val="007D1690"/>
    <w:rsid w:val="007D7DC8"/>
    <w:rsid w:val="007E22AD"/>
    <w:rsid w:val="00817416"/>
    <w:rsid w:val="00842779"/>
    <w:rsid w:val="008644E9"/>
    <w:rsid w:val="00865F67"/>
    <w:rsid w:val="00881A7B"/>
    <w:rsid w:val="008840E5"/>
    <w:rsid w:val="00887B3E"/>
    <w:rsid w:val="008C2AC6"/>
    <w:rsid w:val="00930C23"/>
    <w:rsid w:val="0093193B"/>
    <w:rsid w:val="009509D8"/>
    <w:rsid w:val="00950B64"/>
    <w:rsid w:val="00981893"/>
    <w:rsid w:val="00A1687D"/>
    <w:rsid w:val="00A43E52"/>
    <w:rsid w:val="00A4678D"/>
    <w:rsid w:val="00A5561C"/>
    <w:rsid w:val="00A778C7"/>
    <w:rsid w:val="00AB441E"/>
    <w:rsid w:val="00AB6293"/>
    <w:rsid w:val="00AE0928"/>
    <w:rsid w:val="00AF3B82"/>
    <w:rsid w:val="00B12E95"/>
    <w:rsid w:val="00B22876"/>
    <w:rsid w:val="00B558F0"/>
    <w:rsid w:val="00B61D73"/>
    <w:rsid w:val="00BD48FE"/>
    <w:rsid w:val="00BD7BD8"/>
    <w:rsid w:val="00BE23FF"/>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156"/>
    <w:rsid w:val="00EB006A"/>
    <w:rsid w:val="00EB4772"/>
    <w:rsid w:val="00ED169E"/>
    <w:rsid w:val="00ED4235"/>
    <w:rsid w:val="00F04346"/>
    <w:rsid w:val="00F05C3C"/>
    <w:rsid w:val="00F075DC"/>
    <w:rsid w:val="00F149E9"/>
    <w:rsid w:val="00F5134D"/>
    <w:rsid w:val="00F739D5"/>
    <w:rsid w:val="00F74202"/>
    <w:rsid w:val="00F87713"/>
    <w:rsid w:val="00F908A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EABDD"/>
  <w15:chartTrackingRefBased/>
  <w15:docId w15:val="{EBAA0ABA-5416-4F69-8EB0-B35756C47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4145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145D"/>
    <w:pPr>
      <w:spacing w:before="480" w:after="240"/>
    </w:pPr>
  </w:style>
  <w:style w:type="paragraph" w:customStyle="1" w:styleId="PageHeading">
    <w:name w:val="PageHeading"/>
    <w:basedOn w:val="Normal"/>
    <w:rsid w:val="0024145D"/>
    <w:pPr>
      <w:keepNext/>
      <w:spacing w:after="480"/>
      <w:jc w:val="center"/>
    </w:pPr>
    <w:rPr>
      <w:rFonts w:ascii="Arial" w:hAnsi="Arial" w:cs="Arial"/>
      <w:b/>
    </w:rPr>
  </w:style>
  <w:style w:type="paragraph" w:customStyle="1" w:styleId="NormalBold">
    <w:name w:val="NormalBold"/>
    <w:basedOn w:val="Normal"/>
    <w:rsid w:val="0024145D"/>
    <w:rPr>
      <w:b/>
    </w:rPr>
  </w:style>
  <w:style w:type="paragraph" w:customStyle="1" w:styleId="NormalHanging12a">
    <w:name w:val="NormalHanging12a"/>
    <w:basedOn w:val="Normal"/>
    <w:link w:val="NormalHanging12aChar"/>
    <w:rsid w:val="0024145D"/>
    <w:pPr>
      <w:spacing w:after="240"/>
      <w:ind w:left="567" w:hanging="567"/>
    </w:pPr>
  </w:style>
  <w:style w:type="paragraph" w:customStyle="1" w:styleId="NormalCenter12a">
    <w:name w:val="NormalCenter12a"/>
    <w:basedOn w:val="Normal"/>
    <w:rsid w:val="0024145D"/>
    <w:pPr>
      <w:spacing w:after="240"/>
      <w:jc w:val="center"/>
    </w:pPr>
  </w:style>
  <w:style w:type="paragraph" w:styleId="Header">
    <w:name w:val="header"/>
    <w:basedOn w:val="Normal"/>
    <w:link w:val="HeaderChar"/>
    <w:rsid w:val="0024145D"/>
    <w:pPr>
      <w:tabs>
        <w:tab w:val="center" w:pos="4513"/>
        <w:tab w:val="right" w:pos="9026"/>
      </w:tabs>
    </w:pPr>
  </w:style>
  <w:style w:type="character" w:customStyle="1" w:styleId="HeaderChar">
    <w:name w:val="Header Char"/>
    <w:basedOn w:val="DefaultParagraphFont"/>
    <w:link w:val="Header"/>
    <w:rsid w:val="0024145D"/>
    <w:rPr>
      <w:sz w:val="24"/>
      <w:lang w:val="sv-SE"/>
    </w:rPr>
  </w:style>
  <w:style w:type="paragraph" w:customStyle="1" w:styleId="EPFooter">
    <w:name w:val="EPFooter"/>
    <w:basedOn w:val="Normal"/>
    <w:rsid w:val="0024145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4145D"/>
    <w:rPr>
      <w:sz w:val="24"/>
      <w:lang w:val="sv-SE"/>
    </w:rPr>
  </w:style>
  <w:style w:type="paragraph" w:customStyle="1" w:styleId="Normal12Hanging">
    <w:name w:val="Normal12Hanging"/>
    <w:basedOn w:val="Normal"/>
    <w:rsid w:val="0024145D"/>
    <w:pPr>
      <w:spacing w:after="240"/>
      <w:ind w:left="567" w:hanging="567"/>
    </w:pPr>
  </w:style>
  <w:style w:type="paragraph" w:styleId="BalloonText">
    <w:name w:val="Balloon Text"/>
    <w:basedOn w:val="Normal"/>
    <w:link w:val="BalloonTextChar"/>
    <w:rsid w:val="006A034C"/>
    <w:rPr>
      <w:rFonts w:ascii="Segoe UI" w:hAnsi="Segoe UI" w:cs="Segoe UI"/>
      <w:sz w:val="18"/>
      <w:szCs w:val="18"/>
    </w:rPr>
  </w:style>
  <w:style w:type="character" w:customStyle="1" w:styleId="BalloonTextChar">
    <w:name w:val="Balloon Text Char"/>
    <w:basedOn w:val="DefaultParagraphFont"/>
    <w:link w:val="BalloonText"/>
    <w:rsid w:val="006A034C"/>
    <w:rPr>
      <w:rFonts w:ascii="Segoe UI" w:hAnsi="Segoe UI" w:cs="Segoe UI"/>
      <w:sz w:val="18"/>
      <w:szCs w:val="18"/>
      <w:lang w:val="sv-SE"/>
    </w:rPr>
  </w:style>
  <w:style w:type="character" w:styleId="CommentReference">
    <w:name w:val="annotation reference"/>
    <w:basedOn w:val="DefaultParagraphFont"/>
    <w:rsid w:val="00B61D73"/>
    <w:rPr>
      <w:sz w:val="16"/>
      <w:szCs w:val="16"/>
    </w:rPr>
  </w:style>
  <w:style w:type="paragraph" w:styleId="CommentText">
    <w:name w:val="annotation text"/>
    <w:basedOn w:val="Normal"/>
    <w:link w:val="CommentTextChar"/>
    <w:rsid w:val="00B61D73"/>
    <w:rPr>
      <w:sz w:val="20"/>
    </w:rPr>
  </w:style>
  <w:style w:type="character" w:customStyle="1" w:styleId="CommentTextChar">
    <w:name w:val="Comment Text Char"/>
    <w:basedOn w:val="DefaultParagraphFont"/>
    <w:link w:val="CommentText"/>
    <w:rsid w:val="00B61D73"/>
    <w:rPr>
      <w:lang w:val="sv-SE"/>
    </w:rPr>
  </w:style>
  <w:style w:type="paragraph" w:styleId="CommentSubject">
    <w:name w:val="annotation subject"/>
    <w:basedOn w:val="CommentText"/>
    <w:next w:val="CommentText"/>
    <w:link w:val="CommentSubjectChar"/>
    <w:rsid w:val="00B61D73"/>
    <w:rPr>
      <w:b/>
      <w:bCs/>
    </w:rPr>
  </w:style>
  <w:style w:type="character" w:customStyle="1" w:styleId="CommentSubjectChar">
    <w:name w:val="Comment Subject Char"/>
    <w:basedOn w:val="CommentTextChar"/>
    <w:link w:val="CommentSubject"/>
    <w:rsid w:val="00B61D7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DDAA-D897-4A33-A9DE-7A7FAF354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4307</Words>
  <Characters>28855</Characters>
  <Application>Microsoft Office Word</Application>
  <DocSecurity>0</DocSecurity>
  <Lines>588</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2024-04-11T16:55:00Z</dcterms:created>
  <dcterms:modified xsi:type="dcterms:W3CDTF">2024-04-11T16:55:00Z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P9_TA-PROV(2024)0000_A9-0133_2024_SV_r</vt:lpwstr>
  </property>
  <property fmtid="{D5CDD505-2E9C-101B-9397-08002B2CF9AE}" pid="4" name="&lt;Type&gt;">
    <vt:lpwstr>RR</vt:lpwstr>
  </property>
</Properties>
</file>