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7852" w:rsidTr="0010095E">
        <w:trPr>
          <w:trHeight w:hRule="exact" w:val="1418"/>
        </w:trPr>
        <w:tc>
          <w:tcPr>
            <w:tcW w:w="6804" w:type="dxa"/>
            <w:shd w:val="clear" w:color="auto" w:fill="auto"/>
            <w:vAlign w:val="center"/>
          </w:tcPr>
          <w:p w:rsidR="00751A4A" w:rsidRPr="00987852" w:rsidRDefault="00C61E46" w:rsidP="0010095E">
            <w:pPr>
              <w:pStyle w:val="EPName"/>
            </w:pPr>
            <w:r>
              <w:t>Е</w:t>
            </w:r>
            <w:r w:rsidRPr="00987852">
              <w:t>вропейски</w:t>
            </w:r>
            <w:r w:rsidR="00A9390D" w:rsidRPr="00987852">
              <w:t xml:space="preserve"> парламент</w:t>
            </w:r>
          </w:p>
          <w:p w:rsidR="00751A4A" w:rsidRPr="00987852" w:rsidRDefault="00C61E46" w:rsidP="00756632">
            <w:pPr>
              <w:pStyle w:val="EPTerm"/>
              <w:rPr>
                <w:rStyle w:val="HideTWBExt"/>
                <w:noProof w:val="0"/>
                <w:vanish w:val="0"/>
                <w:color w:val="auto"/>
              </w:rPr>
            </w:pPr>
            <w:r>
              <w:t>2019 – </w:t>
            </w:r>
            <w:r w:rsidR="00817416" w:rsidRPr="00987852">
              <w:t>2024</w:t>
            </w:r>
          </w:p>
        </w:tc>
        <w:tc>
          <w:tcPr>
            <w:tcW w:w="2268" w:type="dxa"/>
            <w:shd w:val="clear" w:color="auto" w:fill="auto"/>
          </w:tcPr>
          <w:p w:rsidR="00751A4A" w:rsidRPr="00987852" w:rsidRDefault="00187494" w:rsidP="0010095E">
            <w:pPr>
              <w:pStyle w:val="EPLogo"/>
            </w:pPr>
            <w:r w:rsidRPr="009878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7852" w:rsidRDefault="00D058B8" w:rsidP="004C5D52">
      <w:pPr>
        <w:pStyle w:val="LineTop"/>
      </w:pPr>
    </w:p>
    <w:p w:rsidR="00680577" w:rsidRPr="00987852" w:rsidRDefault="00A9390D" w:rsidP="00680577">
      <w:pPr>
        <w:pStyle w:val="EPBodyTA1"/>
      </w:pPr>
      <w:r w:rsidRPr="00987852">
        <w:t>ПРИЕТИ ТЕКСТОВЕ</w:t>
      </w:r>
    </w:p>
    <w:p w:rsidR="00D058B8" w:rsidRPr="00987852" w:rsidRDefault="00D058B8" w:rsidP="00D058B8">
      <w:pPr>
        <w:pStyle w:val="LineBottom"/>
      </w:pPr>
    </w:p>
    <w:p w:rsidR="00A9390D" w:rsidRPr="00987852" w:rsidRDefault="00A9390D" w:rsidP="00A9390D">
      <w:pPr>
        <w:pStyle w:val="ATHeading1"/>
      </w:pPr>
      <w:bookmarkStart w:id="0" w:name="TANumber"/>
      <w:r w:rsidRPr="00987852">
        <w:t>P9_TA(2024)0</w:t>
      </w:r>
      <w:r w:rsidR="00227D0D">
        <w:rPr>
          <w:lang w:val="en-GB"/>
        </w:rPr>
        <w:t>246</w:t>
      </w:r>
      <w:bookmarkStart w:id="1" w:name="_GoBack"/>
      <w:bookmarkEnd w:id="0"/>
      <w:bookmarkEnd w:id="1"/>
    </w:p>
    <w:p w:rsidR="00A9390D" w:rsidRPr="00987852" w:rsidRDefault="00A9390D" w:rsidP="00A9390D">
      <w:pPr>
        <w:pStyle w:val="ATHeading2"/>
      </w:pPr>
      <w:bookmarkStart w:id="2" w:name="title"/>
      <w:r w:rsidRPr="00987852">
        <w:t>Освобождаване от отговорност във връзка с изпълнението на бюджета за 2022 г.: Агенция на Европейския съюз за сътрудничество в областта на наказателното правосъдие (Евроюст)</w:t>
      </w:r>
      <w:bookmarkEnd w:id="2"/>
    </w:p>
    <w:p w:rsidR="00A9390D" w:rsidRPr="00987852" w:rsidRDefault="00A9390D" w:rsidP="00A9390D">
      <w:pPr>
        <w:rPr>
          <w:i/>
          <w:vanish/>
        </w:rPr>
      </w:pPr>
      <w:r w:rsidRPr="00987852">
        <w:rPr>
          <w:i/>
        </w:rPr>
        <w:fldChar w:fldCharType="begin"/>
      </w:r>
      <w:r w:rsidRPr="00987852">
        <w:rPr>
          <w:i/>
        </w:rPr>
        <w:instrText xml:space="preserve"> TC"(</w:instrText>
      </w:r>
      <w:bookmarkStart w:id="3" w:name="DocNumber"/>
      <w:r w:rsidRPr="00987852">
        <w:rPr>
          <w:i/>
        </w:rPr>
        <w:instrText>A9-0099/2024</w:instrText>
      </w:r>
      <w:bookmarkEnd w:id="3"/>
      <w:r w:rsidRPr="00987852">
        <w:rPr>
          <w:i/>
        </w:rPr>
        <w:instrText xml:space="preserve"> - Докладчик: </w:instrText>
      </w:r>
      <w:proofErr w:type="spellStart"/>
      <w:r w:rsidRPr="00987852">
        <w:rPr>
          <w:i/>
        </w:rPr>
        <w:instrText>Петри</w:instrText>
      </w:r>
      <w:proofErr w:type="spellEnd"/>
      <w:r w:rsidRPr="00987852">
        <w:rPr>
          <w:i/>
        </w:rPr>
        <w:instrText xml:space="preserve"> </w:instrText>
      </w:r>
      <w:proofErr w:type="spellStart"/>
      <w:r w:rsidRPr="00987852">
        <w:rPr>
          <w:i/>
        </w:rPr>
        <w:instrText>Сарвама</w:instrText>
      </w:r>
      <w:proofErr w:type="spellEnd"/>
      <w:r w:rsidRPr="00987852">
        <w:rPr>
          <w:i/>
        </w:rPr>
        <w:instrText xml:space="preserve">)"\l3 \n&gt; \* MERGEFORMAT </w:instrText>
      </w:r>
      <w:r w:rsidRPr="00987852">
        <w:rPr>
          <w:i/>
        </w:rPr>
        <w:fldChar w:fldCharType="end"/>
      </w:r>
    </w:p>
    <w:p w:rsidR="00A9390D" w:rsidRPr="00987852" w:rsidRDefault="00A9390D" w:rsidP="00A9390D">
      <w:pPr>
        <w:rPr>
          <w:vanish/>
        </w:rPr>
      </w:pPr>
      <w:bookmarkStart w:id="4" w:name="Commission"/>
      <w:r w:rsidRPr="00987852">
        <w:rPr>
          <w:vanish/>
        </w:rPr>
        <w:t>Комисия по бюджетен контрол</w:t>
      </w:r>
      <w:bookmarkEnd w:id="4"/>
    </w:p>
    <w:p w:rsidR="00A9390D" w:rsidRPr="00987852" w:rsidRDefault="00A9390D" w:rsidP="00A9390D">
      <w:pPr>
        <w:rPr>
          <w:vanish/>
        </w:rPr>
      </w:pPr>
      <w:bookmarkStart w:id="5" w:name="PE"/>
      <w:r w:rsidRPr="00987852">
        <w:rPr>
          <w:vanish/>
        </w:rPr>
        <w:t>PE753.539</w:t>
      </w:r>
      <w:bookmarkEnd w:id="5"/>
    </w:p>
    <w:p w:rsidR="00A9390D" w:rsidRPr="00987852" w:rsidRDefault="00C61E46" w:rsidP="00C61E46">
      <w:pPr>
        <w:pStyle w:val="ATHeading3"/>
      </w:pPr>
      <w:bookmarkStart w:id="6" w:name="Sujet"/>
      <w:r>
        <w:t xml:space="preserve">1. </w:t>
      </w:r>
      <w:r w:rsidR="00A9390D" w:rsidRPr="00987852">
        <w:t xml:space="preserve">Решение на Европейския парламент от </w:t>
      </w:r>
      <w:r w:rsidR="00140BC4">
        <w:t>11 април</w:t>
      </w:r>
      <w:r w:rsidR="00140BC4" w:rsidRPr="00987852">
        <w:t xml:space="preserve"> </w:t>
      </w:r>
      <w:r w:rsidR="00A9390D" w:rsidRPr="00987852">
        <w:t>2024 г. относно освобождаването от отговорност във връзка с изпълнението на бюджета на Агенцията на Европейския съюз за сътрудничество в областта на наказателното правосъдие (Евроюст) за финансовата 2022 година</w:t>
      </w:r>
      <w:bookmarkEnd w:id="6"/>
      <w:r w:rsidR="00A9390D" w:rsidRPr="00987852">
        <w:t xml:space="preserve"> </w:t>
      </w:r>
      <w:bookmarkStart w:id="7" w:name="References"/>
      <w:r w:rsidR="00A9390D" w:rsidRPr="00987852">
        <w:t>(2023/2168(DEC))</w:t>
      </w:r>
      <w:bookmarkEnd w:id="7"/>
    </w:p>
    <w:p w:rsidR="00B36FFD" w:rsidRPr="00987852" w:rsidRDefault="00B36FFD" w:rsidP="00B36FFD">
      <w:pPr>
        <w:pStyle w:val="EPComma"/>
        <w:widowControl/>
      </w:pPr>
      <w:bookmarkStart w:id="8" w:name="TextBodyBegin"/>
      <w:bookmarkEnd w:id="8"/>
      <w:r w:rsidRPr="00987852">
        <w:rPr>
          <w:i/>
        </w:rPr>
        <w:t>Европейският парламент</w:t>
      </w:r>
      <w:r w:rsidRPr="00987852">
        <w:t>,</w:t>
      </w:r>
    </w:p>
    <w:p w:rsidR="00B36FFD" w:rsidRPr="00987852" w:rsidRDefault="00C61E46" w:rsidP="00B36FFD">
      <w:pPr>
        <w:pStyle w:val="NormalHanging12a"/>
        <w:widowControl/>
      </w:pPr>
      <w:r>
        <w:t>–</w:t>
      </w:r>
      <w:r>
        <w:tab/>
      </w:r>
      <w:r w:rsidR="00B36FFD" w:rsidRPr="00987852">
        <w:t>като взе предвид окончателните годишни отчети на Агенцията на Европейския съюз за сътрудничество в областта на наказателното правосъдие (Евроюст) за финансовата 2022 година,</w:t>
      </w:r>
    </w:p>
    <w:p w:rsidR="00B36FFD" w:rsidRPr="00987852" w:rsidRDefault="00C61E46" w:rsidP="00B36FFD">
      <w:pPr>
        <w:pStyle w:val="NormalHanging12a"/>
        <w:widowControl/>
      </w:pPr>
      <w:r>
        <w:t>–</w:t>
      </w:r>
      <w:r>
        <w:tab/>
      </w:r>
      <w:r w:rsidR="00B36FFD" w:rsidRPr="00987852">
        <w:t>като взе предвид годишния доклад на Сметната палата относно агенциите на ЕС за финансовата 2022 година, придружен от отговорите на агенциите</w:t>
      </w:r>
      <w:r w:rsidR="00B36FFD" w:rsidRPr="00987852">
        <w:rPr>
          <w:rStyle w:val="FootnoteReference"/>
        </w:rPr>
        <w:footnoteReference w:id="1"/>
      </w:r>
      <w:r w:rsidR="00B36FFD" w:rsidRPr="00987852">
        <w:t>,</w:t>
      </w:r>
    </w:p>
    <w:p w:rsidR="00B36FFD" w:rsidRPr="00987852" w:rsidRDefault="00C61E46" w:rsidP="00B36FFD">
      <w:pPr>
        <w:pStyle w:val="NormalHanging12a"/>
        <w:widowControl/>
      </w:pPr>
      <w:r>
        <w:t>–</w:t>
      </w:r>
      <w:r>
        <w:tab/>
      </w:r>
      <w:r w:rsidR="00B36FFD" w:rsidRPr="00987852">
        <w:t>като взе предвид декларацията за достоверност</w:t>
      </w:r>
      <w:r w:rsidR="00B36FFD" w:rsidRPr="00987852">
        <w:rPr>
          <w:rStyle w:val="FootnoteReference"/>
        </w:rPr>
        <w:footnoteReference w:id="2"/>
      </w:r>
      <w:r w:rsidR="00B36FFD" w:rsidRPr="0098785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B36FFD" w:rsidRPr="00987852" w:rsidRDefault="00C61E46" w:rsidP="00B36FFD">
      <w:pPr>
        <w:pStyle w:val="NormalHanging12a"/>
        <w:widowControl/>
      </w:pPr>
      <w:r>
        <w:t>–</w:t>
      </w:r>
      <w:r>
        <w:tab/>
      </w:r>
      <w:r w:rsidR="00B36FFD" w:rsidRPr="00987852">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35698B" w:rsidRPr="0035698B">
        <w:t>06180</w:t>
      </w:r>
      <w:r w:rsidR="00B36FFD" w:rsidRPr="00987852">
        <w:t>/2024 – C9</w:t>
      </w:r>
      <w:r w:rsidR="00B36FFD" w:rsidRPr="00987852">
        <w:noBreakHyphen/>
      </w:r>
      <w:r w:rsidR="0035698B" w:rsidRPr="0035698B">
        <w:t>0106</w:t>
      </w:r>
      <w:r w:rsidR="00B36FFD" w:rsidRPr="00987852">
        <w:t>/2024),</w:t>
      </w:r>
    </w:p>
    <w:p w:rsidR="00B36FFD" w:rsidRPr="00987852" w:rsidRDefault="00C61E46" w:rsidP="00B36FFD">
      <w:pPr>
        <w:pStyle w:val="NormalHanging12a"/>
        <w:widowControl/>
      </w:pPr>
      <w:r>
        <w:t>–</w:t>
      </w:r>
      <w:r>
        <w:tab/>
      </w:r>
      <w:r w:rsidR="00B36FFD" w:rsidRPr="00987852">
        <w:t>като взе предвид член 319 от Договора за функционирането на Европейския съюз,</w:t>
      </w:r>
    </w:p>
    <w:p w:rsidR="00B36FFD" w:rsidRPr="00987852" w:rsidRDefault="00C61E46" w:rsidP="00B36FFD">
      <w:pPr>
        <w:pStyle w:val="NormalHanging12a"/>
        <w:widowControl/>
      </w:pPr>
      <w:r>
        <w:t>–</w:t>
      </w:r>
      <w:r>
        <w:tab/>
      </w:r>
      <w:r w:rsidR="00B36FFD" w:rsidRPr="00987852">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00B36FFD" w:rsidRPr="00987852">
        <w:lastRenderedPageBreak/>
        <w:t>за отмяна на Регламент (ЕС, Евратом) № 966/2012</w:t>
      </w:r>
      <w:r w:rsidR="00B36FFD" w:rsidRPr="00987852">
        <w:rPr>
          <w:rStyle w:val="FootnoteReference"/>
        </w:rPr>
        <w:footnoteReference w:id="3"/>
      </w:r>
      <w:r w:rsidR="00B36FFD" w:rsidRPr="00987852">
        <w:t>, и по-специално член 70 от него,</w:t>
      </w:r>
    </w:p>
    <w:p w:rsidR="00B36FFD" w:rsidRPr="00987852" w:rsidRDefault="00C61E46" w:rsidP="00B36FFD">
      <w:pPr>
        <w:pStyle w:val="NormalHanging12a"/>
        <w:widowControl/>
      </w:pPr>
      <w:r>
        <w:t>–</w:t>
      </w:r>
      <w:r>
        <w:tab/>
      </w:r>
      <w:r w:rsidR="00B36FFD" w:rsidRPr="00987852">
        <w:t>като взе предвид 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 на Съвета</w:t>
      </w:r>
      <w:r w:rsidR="00B36FFD" w:rsidRPr="00987852">
        <w:rPr>
          <w:rStyle w:val="FootnoteReference"/>
        </w:rPr>
        <w:footnoteReference w:id="4"/>
      </w:r>
      <w:r w:rsidR="00B36FFD" w:rsidRPr="00987852">
        <w:t>, и по-специално член 63 от него,</w:t>
      </w:r>
    </w:p>
    <w:p w:rsidR="00B36FFD" w:rsidRPr="00987852" w:rsidRDefault="00C61E46" w:rsidP="00B36FFD">
      <w:pPr>
        <w:pStyle w:val="NormalHanging12a"/>
        <w:widowControl/>
      </w:pPr>
      <w:r>
        <w:t>–</w:t>
      </w:r>
      <w:r>
        <w:tab/>
      </w:r>
      <w:r w:rsidR="00B36FFD" w:rsidRPr="00987852">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00B36FFD" w:rsidRPr="00987852">
        <w:rPr>
          <w:rStyle w:val="FootnoteReference"/>
        </w:rPr>
        <w:footnoteReference w:id="5"/>
      </w:r>
      <w:r w:rsidR="00B36FFD" w:rsidRPr="00987852">
        <w:t>, и по-специално член 105 от него,</w:t>
      </w:r>
    </w:p>
    <w:p w:rsidR="00B36FFD" w:rsidRPr="00987852" w:rsidRDefault="00C61E46" w:rsidP="00B36FFD">
      <w:pPr>
        <w:pStyle w:val="NormalHanging12a"/>
        <w:widowControl/>
      </w:pPr>
      <w:r>
        <w:t>–</w:t>
      </w:r>
      <w:r>
        <w:tab/>
      </w:r>
      <w:r w:rsidR="00B36FFD" w:rsidRPr="00987852">
        <w:t>като взе предвид член 100 и приложение V към своя Правилник за дейността,</w:t>
      </w:r>
    </w:p>
    <w:p w:rsidR="00B36FFD" w:rsidRPr="00987852" w:rsidRDefault="00C61E46" w:rsidP="00B36FFD">
      <w:pPr>
        <w:pStyle w:val="NormalHanging12a"/>
        <w:widowControl/>
      </w:pPr>
      <w:r>
        <w:t>–</w:t>
      </w:r>
      <w:r>
        <w:tab/>
      </w:r>
      <w:r w:rsidR="00B36FFD" w:rsidRPr="00987852">
        <w:t>като взе предвид становището на комисията по граждански свободи, правосъдие и вътрешни работи,</w:t>
      </w:r>
    </w:p>
    <w:p w:rsidR="00B36FFD" w:rsidRPr="00987852" w:rsidRDefault="00C61E46" w:rsidP="00B36FFD">
      <w:pPr>
        <w:pStyle w:val="NormalHanging12a"/>
        <w:widowControl/>
      </w:pPr>
      <w:r>
        <w:t>–</w:t>
      </w:r>
      <w:r>
        <w:tab/>
      </w:r>
      <w:r w:rsidR="00B36FFD" w:rsidRPr="00987852">
        <w:t>като взе предвид доклада на комисията по бюджетен контрол (A9-0099/2024),</w:t>
      </w:r>
    </w:p>
    <w:p w:rsidR="00B36FFD" w:rsidRPr="00987852" w:rsidRDefault="00B36FFD" w:rsidP="00B36FFD">
      <w:pPr>
        <w:pStyle w:val="NormalHanging12a"/>
        <w:widowControl/>
      </w:pPr>
      <w:r w:rsidRPr="00987852">
        <w:t>1.</w:t>
      </w:r>
      <w:r w:rsidRPr="00987852">
        <w:tab/>
        <w:t xml:space="preserve">освобождава от отговорност административния директор на Агенцията на Европейския съюз за сътрудничество в областта на наказателното правосъдие (Евроюст) във връзка с изпълнението на бюджета на агенцията за финансовата 2022 година; </w:t>
      </w:r>
    </w:p>
    <w:p w:rsidR="00B36FFD" w:rsidRPr="00987852" w:rsidRDefault="00B36FFD" w:rsidP="00B36FFD">
      <w:pPr>
        <w:pStyle w:val="NormalHanging12a"/>
        <w:widowControl/>
      </w:pPr>
      <w:r w:rsidRPr="00987852">
        <w:t>2.</w:t>
      </w:r>
      <w:r w:rsidRPr="00987852">
        <w:tab/>
        <w:t>представя своите забележки в резолюцията по-долу;</w:t>
      </w:r>
    </w:p>
    <w:p w:rsidR="00B36FFD" w:rsidRPr="00987852" w:rsidRDefault="00B36FFD" w:rsidP="00B36FFD">
      <w:pPr>
        <w:pStyle w:val="NormalHanging12a"/>
        <w:widowControl/>
      </w:pPr>
      <w:r w:rsidRPr="00987852">
        <w:t>3.</w:t>
      </w:r>
      <w:r w:rsidRPr="00987852">
        <w:tab/>
        <w:t xml:space="preserve">възлага на своя председател да предаде настоящото решение, както и резолюцията, която е неразделна част от него, съответно на административния директор на Агенцията на Европейския съюз за сътрудничество в областта на наказателното правосъдие (Евроюст), на Съвета, на Комисията и на Сметната палата и да осигури публикуването им в </w:t>
      </w:r>
      <w:r w:rsidRPr="00987852">
        <w:rPr>
          <w:i/>
        </w:rPr>
        <w:t>Официален вестник на Европейския съюз</w:t>
      </w:r>
      <w:r w:rsidRPr="00987852">
        <w:t xml:space="preserve"> (серия L).</w:t>
      </w:r>
    </w:p>
    <w:p w:rsidR="00B36FFD" w:rsidRPr="00987852" w:rsidRDefault="00B36FFD" w:rsidP="00B36FFD">
      <w:pPr>
        <w:widowControl/>
      </w:pPr>
    </w:p>
    <w:p w:rsidR="00B36FFD" w:rsidRPr="00987852" w:rsidRDefault="00B36FFD" w:rsidP="00B36FFD">
      <w:pPr>
        <w:widowControl/>
        <w:rPr>
          <w:rFonts w:ascii="Arial" w:hAnsi="Arial" w:cs="Arial"/>
          <w:b/>
        </w:rPr>
        <w:sectPr w:rsidR="00B36FFD" w:rsidRPr="00987852" w:rsidSect="0098785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36FFD" w:rsidRPr="00987852" w:rsidRDefault="00B36FFD" w:rsidP="00C61E46">
      <w:pPr>
        <w:pStyle w:val="ATHeading3"/>
      </w:pPr>
      <w:bookmarkStart w:id="9" w:name="_Toc146794380"/>
      <w:bookmarkStart w:id="10" w:name="_Toc161760970"/>
      <w:r w:rsidRPr="00987852">
        <w:lastRenderedPageBreak/>
        <w:t xml:space="preserve">2. </w:t>
      </w:r>
      <w:r w:rsidR="00C61E46" w:rsidRPr="00987852">
        <w:t>Решение на Европейския парламент</w:t>
      </w:r>
      <w:bookmarkEnd w:id="9"/>
      <w:bookmarkEnd w:id="10"/>
      <w:r w:rsidR="00140BC4" w:rsidRPr="00987852">
        <w:t xml:space="preserve"> от </w:t>
      </w:r>
      <w:r w:rsidR="00140BC4">
        <w:t>11 април</w:t>
      </w:r>
      <w:r w:rsidR="00140BC4" w:rsidRPr="00987852">
        <w:t xml:space="preserve"> 2024 г.</w:t>
      </w:r>
      <w:r w:rsidR="00C61E46">
        <w:t xml:space="preserve"> </w:t>
      </w:r>
      <w:r w:rsidRPr="00987852">
        <w:t>относно приключването на сметките на Агенцията на Европейския съюз за сътрудничество в областта на наказателното правосъдие (Евроюст) за финансовата 2022 година</w:t>
      </w:r>
      <w:r w:rsidR="00C61E46">
        <w:t xml:space="preserve"> </w:t>
      </w:r>
      <w:r w:rsidRPr="00987852">
        <w:t>(2023/2168(DEC))</w:t>
      </w:r>
    </w:p>
    <w:p w:rsidR="00B36FFD" w:rsidRPr="00987852" w:rsidRDefault="00B36FFD" w:rsidP="00B36FFD">
      <w:pPr>
        <w:pStyle w:val="EPComma"/>
        <w:widowControl/>
      </w:pPr>
      <w:r w:rsidRPr="00987852">
        <w:rPr>
          <w:i/>
        </w:rPr>
        <w:t>Европейският парламент</w:t>
      </w:r>
      <w:r w:rsidRPr="00987852">
        <w:t>,</w:t>
      </w:r>
    </w:p>
    <w:p w:rsidR="00B36FFD" w:rsidRPr="00987852" w:rsidRDefault="00C61E46" w:rsidP="00B36FFD">
      <w:pPr>
        <w:pStyle w:val="NormalHanging12a"/>
        <w:widowControl/>
      </w:pPr>
      <w:r>
        <w:t>–</w:t>
      </w:r>
      <w:r>
        <w:tab/>
      </w:r>
      <w:r w:rsidR="00B36FFD" w:rsidRPr="00987852">
        <w:t>като взе предвид окончателните годишни отчети на Агенцията на Европейския съюз за сътрудничество в областта на наказателното правосъдие (Евроюст) за финансовата 2022 година,</w:t>
      </w:r>
    </w:p>
    <w:p w:rsidR="00B36FFD" w:rsidRPr="00987852" w:rsidRDefault="00C61E46" w:rsidP="00B36FFD">
      <w:pPr>
        <w:pStyle w:val="NormalHanging12a"/>
        <w:widowControl/>
      </w:pPr>
      <w:r>
        <w:t>–</w:t>
      </w:r>
      <w:r>
        <w:tab/>
      </w:r>
      <w:r w:rsidR="00B36FFD" w:rsidRPr="00987852">
        <w:t>като взе предвид годишния доклад на Сметната палата относно агенциите на ЕС за финансовата 2022 година, придружен от отговорите на агенциите</w:t>
      </w:r>
      <w:r w:rsidR="00B36FFD" w:rsidRPr="00987852">
        <w:rPr>
          <w:rStyle w:val="FootnoteReference"/>
        </w:rPr>
        <w:footnoteReference w:id="6"/>
      </w:r>
      <w:r w:rsidR="00B36FFD" w:rsidRPr="00987852">
        <w:t>,</w:t>
      </w:r>
    </w:p>
    <w:p w:rsidR="00B36FFD" w:rsidRPr="00987852" w:rsidRDefault="00C61E46" w:rsidP="00B36FFD">
      <w:pPr>
        <w:pStyle w:val="NormalHanging12a"/>
        <w:widowControl/>
      </w:pPr>
      <w:r>
        <w:t>–</w:t>
      </w:r>
      <w:r>
        <w:tab/>
      </w:r>
      <w:r w:rsidR="00B36FFD" w:rsidRPr="00987852">
        <w:t>като взе предвид декларацията за достоверност</w:t>
      </w:r>
      <w:r w:rsidR="00B36FFD" w:rsidRPr="00987852">
        <w:rPr>
          <w:rStyle w:val="FootnoteReference"/>
        </w:rPr>
        <w:footnoteReference w:id="7"/>
      </w:r>
      <w:r w:rsidR="00B36FFD" w:rsidRPr="0098785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B36FFD" w:rsidRPr="00987852" w:rsidRDefault="00C61E46" w:rsidP="00B36FFD">
      <w:pPr>
        <w:pStyle w:val="NormalHanging12a"/>
        <w:widowControl/>
      </w:pPr>
      <w:r>
        <w:t>–</w:t>
      </w:r>
      <w:r>
        <w:tab/>
      </w:r>
      <w:r w:rsidR="00B36FFD" w:rsidRPr="00987852">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35698B" w:rsidRPr="0035698B">
        <w:t>06180</w:t>
      </w:r>
      <w:r w:rsidR="00B36FFD" w:rsidRPr="00987852">
        <w:t>/2024 – C9</w:t>
      </w:r>
      <w:r w:rsidR="00B36FFD" w:rsidRPr="00987852">
        <w:noBreakHyphen/>
      </w:r>
      <w:r w:rsidR="0035698B" w:rsidRPr="0035698B">
        <w:t>0106</w:t>
      </w:r>
      <w:r w:rsidR="00B36FFD" w:rsidRPr="00987852">
        <w:t>/2024),</w:t>
      </w:r>
    </w:p>
    <w:p w:rsidR="00B36FFD" w:rsidRPr="00987852" w:rsidRDefault="00C61E46" w:rsidP="00B36FFD">
      <w:pPr>
        <w:pStyle w:val="NormalHanging12a"/>
        <w:widowControl/>
      </w:pPr>
      <w:r>
        <w:t>–</w:t>
      </w:r>
      <w:r>
        <w:tab/>
      </w:r>
      <w:r w:rsidR="00B36FFD" w:rsidRPr="00987852">
        <w:t>като взе предвид член 319 от Договора за функционирането на Европейския съюз,</w:t>
      </w:r>
    </w:p>
    <w:p w:rsidR="00B36FFD" w:rsidRPr="00987852" w:rsidRDefault="00C61E46" w:rsidP="00B36FFD">
      <w:pPr>
        <w:pStyle w:val="NormalHanging12a"/>
        <w:widowControl/>
      </w:pPr>
      <w:r>
        <w:t>–</w:t>
      </w:r>
      <w:r>
        <w:tab/>
      </w:r>
      <w:r w:rsidR="00B36FFD" w:rsidRPr="00987852">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00B36FFD" w:rsidRPr="00987852">
        <w:rPr>
          <w:rStyle w:val="FootnoteReference"/>
        </w:rPr>
        <w:footnoteReference w:id="8"/>
      </w:r>
      <w:r w:rsidR="00B36FFD" w:rsidRPr="00987852">
        <w:t>, и по-специално член 70 от него,</w:t>
      </w:r>
    </w:p>
    <w:p w:rsidR="00B36FFD" w:rsidRPr="00987852" w:rsidRDefault="00C61E46" w:rsidP="00B36FFD">
      <w:pPr>
        <w:pStyle w:val="NormalHanging12a"/>
        <w:widowControl/>
      </w:pPr>
      <w:r>
        <w:t>–</w:t>
      </w:r>
      <w:r>
        <w:tab/>
      </w:r>
      <w:r w:rsidR="00B36FFD" w:rsidRPr="00987852">
        <w:t>като взе предвид 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 на Съвета</w:t>
      </w:r>
      <w:r w:rsidR="00B36FFD" w:rsidRPr="00987852">
        <w:rPr>
          <w:rStyle w:val="FootnoteReference"/>
        </w:rPr>
        <w:footnoteReference w:id="9"/>
      </w:r>
      <w:r w:rsidR="00B36FFD" w:rsidRPr="00987852">
        <w:t>, и по-специално член 63 от него,</w:t>
      </w:r>
    </w:p>
    <w:p w:rsidR="00B36FFD" w:rsidRPr="00987852" w:rsidRDefault="00C61E46" w:rsidP="00B36FFD">
      <w:pPr>
        <w:pStyle w:val="NormalHanging12a"/>
        <w:widowControl/>
      </w:pPr>
      <w:r>
        <w:t>–</w:t>
      </w:r>
      <w:r>
        <w:tab/>
      </w:r>
      <w:r w:rsidR="00B36FFD" w:rsidRPr="00987852">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00B36FFD" w:rsidRPr="00987852">
        <w:rPr>
          <w:rStyle w:val="FootnoteReference"/>
        </w:rPr>
        <w:footnoteReference w:id="10"/>
      </w:r>
      <w:r w:rsidR="00B36FFD" w:rsidRPr="00987852">
        <w:t>, и по-специално член 105 от него,</w:t>
      </w:r>
    </w:p>
    <w:p w:rsidR="00B36FFD" w:rsidRPr="00987852" w:rsidRDefault="00C61E46" w:rsidP="00B36FFD">
      <w:pPr>
        <w:pStyle w:val="NormalHanging12a"/>
        <w:widowControl/>
      </w:pPr>
      <w:r>
        <w:t>–</w:t>
      </w:r>
      <w:r>
        <w:tab/>
      </w:r>
      <w:r w:rsidR="00B36FFD" w:rsidRPr="00987852">
        <w:t>като взе предвид член 100 и приложение V към своя Правилник за дейността,</w:t>
      </w:r>
    </w:p>
    <w:p w:rsidR="00B36FFD" w:rsidRPr="00987852" w:rsidRDefault="00C61E46" w:rsidP="00B36FFD">
      <w:pPr>
        <w:pStyle w:val="NormalHanging12a"/>
        <w:widowControl/>
      </w:pPr>
      <w:r>
        <w:lastRenderedPageBreak/>
        <w:t>–</w:t>
      </w:r>
      <w:r>
        <w:tab/>
      </w:r>
      <w:r w:rsidR="00B36FFD" w:rsidRPr="00987852">
        <w:t>като взе предвид становището на комисията по граждански свободи, правосъдие и вътрешни работи,</w:t>
      </w:r>
    </w:p>
    <w:p w:rsidR="00B36FFD" w:rsidRPr="00987852" w:rsidRDefault="00C61E46" w:rsidP="00B36FFD">
      <w:pPr>
        <w:pStyle w:val="NormalHanging12a"/>
        <w:widowControl/>
      </w:pPr>
      <w:r>
        <w:t>–</w:t>
      </w:r>
      <w:r>
        <w:tab/>
      </w:r>
      <w:r w:rsidR="00B36FFD" w:rsidRPr="00987852">
        <w:t>като взе предвид доклада на комисията по бюджетен контрол (A9-0099/2024),</w:t>
      </w:r>
    </w:p>
    <w:p w:rsidR="00B36FFD" w:rsidRPr="00987852" w:rsidRDefault="00B36FFD" w:rsidP="00B36FFD">
      <w:pPr>
        <w:pStyle w:val="NormalHanging12a"/>
        <w:widowControl/>
      </w:pPr>
      <w:r w:rsidRPr="00987852">
        <w:t>1.</w:t>
      </w:r>
      <w:r w:rsidRPr="00987852">
        <w:tab/>
        <w:t>одобрява приключването на сметките на Агенцията на Европейския съюз за сътрудничество в областта на наказателното правосъдие (Евроюст) за финансовата 2022 година,</w:t>
      </w:r>
    </w:p>
    <w:p w:rsidR="00B36FFD" w:rsidRPr="00987852" w:rsidRDefault="00B36FFD" w:rsidP="00B36FFD">
      <w:pPr>
        <w:pStyle w:val="NormalHanging12a"/>
        <w:widowControl/>
      </w:pPr>
      <w:r w:rsidRPr="00987852">
        <w:t>2.</w:t>
      </w:r>
      <w:r w:rsidRPr="00987852">
        <w:tab/>
        <w:t xml:space="preserve">възлага на своя председател да предаде настоящото решение съответно на административния директор на Агенцията на Европейския съюз за сътрудничество в областта на наказателното правосъдие (Евроюст), на Съвета, на Комисията и на Сметната палата и да осигури публикуването му в </w:t>
      </w:r>
      <w:r w:rsidRPr="00987852">
        <w:rPr>
          <w:i/>
        </w:rPr>
        <w:t>Официален вестник на Европейския съюз</w:t>
      </w:r>
      <w:r w:rsidRPr="00987852">
        <w:t xml:space="preserve"> (серия L).</w:t>
      </w:r>
    </w:p>
    <w:p w:rsidR="00B36FFD" w:rsidRPr="00987852" w:rsidRDefault="00B36FFD" w:rsidP="00B36FFD">
      <w:pPr>
        <w:widowControl/>
      </w:pPr>
    </w:p>
    <w:p w:rsidR="00B36FFD" w:rsidRPr="00987852" w:rsidRDefault="00B36FFD" w:rsidP="00B36FFD">
      <w:pPr>
        <w:widowControl/>
        <w:rPr>
          <w:rFonts w:ascii="Arial" w:hAnsi="Arial" w:cs="Arial"/>
          <w:b/>
        </w:rPr>
        <w:sectPr w:rsidR="00B36FFD" w:rsidRPr="00987852" w:rsidSect="00987852">
          <w:footnotePr>
            <w:numRestart w:val="eachPage"/>
          </w:footnotePr>
          <w:endnotePr>
            <w:numFmt w:val="decimal"/>
          </w:endnotePr>
          <w:pgSz w:w="11906" w:h="16838"/>
          <w:pgMar w:top="1134" w:right="1418" w:bottom="1418" w:left="1418" w:header="567" w:footer="567" w:gutter="0"/>
          <w:cols w:space="720"/>
          <w:docGrid w:linePitch="326"/>
        </w:sectPr>
      </w:pPr>
    </w:p>
    <w:p w:rsidR="00B36FFD" w:rsidRPr="00987852" w:rsidRDefault="00B36FFD" w:rsidP="00C61E46">
      <w:pPr>
        <w:pStyle w:val="ATHeading3"/>
      </w:pPr>
      <w:bookmarkStart w:id="11" w:name="_Toc146794381"/>
      <w:bookmarkStart w:id="12" w:name="_Toc161760971"/>
      <w:r w:rsidRPr="00987852">
        <w:lastRenderedPageBreak/>
        <w:t xml:space="preserve">3. </w:t>
      </w:r>
      <w:r w:rsidR="00C61E46" w:rsidRPr="00987852">
        <w:t>Резолюция на Европейския парламент</w:t>
      </w:r>
      <w:r w:rsidR="00140BC4" w:rsidRPr="00987852">
        <w:t xml:space="preserve"> от </w:t>
      </w:r>
      <w:r w:rsidR="00140BC4">
        <w:t>11 април</w:t>
      </w:r>
      <w:r w:rsidR="00140BC4" w:rsidRPr="00987852">
        <w:t xml:space="preserve"> 2024 г.</w:t>
      </w:r>
      <w:r w:rsidRPr="00987852">
        <w:t>,</w:t>
      </w:r>
      <w:bookmarkEnd w:id="11"/>
      <w:bookmarkEnd w:id="12"/>
      <w:r w:rsidR="00C61E46">
        <w:t xml:space="preserve"> </w:t>
      </w:r>
      <w:r w:rsidRPr="00987852">
        <w:t>съдържащ</w:t>
      </w:r>
      <w:r w:rsidR="00140BC4">
        <w:t>а</w:t>
      </w:r>
      <w:r w:rsidRPr="00987852">
        <w:t xml:space="preserve"> забележките, които са неразделна част от решението за освобождаване от отговорност във връзка с изпълнението на бюджета на Агенцията на Европейския съюз за сътрудничество в областта на наказателното правосъдие (Евроюст)</w:t>
      </w:r>
      <w:r w:rsidR="00C61E46">
        <w:t xml:space="preserve"> </w:t>
      </w:r>
      <w:r w:rsidRPr="00987852">
        <w:t>(2023/2168(DEC))</w:t>
      </w:r>
    </w:p>
    <w:p w:rsidR="00B36FFD" w:rsidRPr="00987852" w:rsidRDefault="00B36FFD" w:rsidP="00B36FFD">
      <w:pPr>
        <w:pStyle w:val="EPComma"/>
        <w:widowControl/>
      </w:pPr>
      <w:r w:rsidRPr="00987852">
        <w:rPr>
          <w:i/>
        </w:rPr>
        <w:t>Европейският парламент</w:t>
      </w:r>
      <w:r w:rsidRPr="00987852">
        <w:t>,</w:t>
      </w:r>
    </w:p>
    <w:p w:rsidR="00B36FFD" w:rsidRPr="00987852" w:rsidRDefault="00C61E46" w:rsidP="00B36FFD">
      <w:pPr>
        <w:pStyle w:val="NormalHanging12a"/>
        <w:widowControl/>
      </w:pPr>
      <w:r>
        <w:t>–</w:t>
      </w:r>
      <w:r>
        <w:tab/>
      </w:r>
      <w:r w:rsidR="00B36FFD" w:rsidRPr="00987852">
        <w:t>като взе предвид своето решение относно освобождаването от отговорност във връзка с изпълнението на бюджета на Агенцията на Европейския съюз за сътрудничество в областта на наказателното правосъдие (Евроюст) за финансовата 2022 година,</w:t>
      </w:r>
    </w:p>
    <w:p w:rsidR="00B36FFD" w:rsidRPr="00987852" w:rsidRDefault="00C61E46" w:rsidP="00B36FFD">
      <w:pPr>
        <w:pStyle w:val="NormalHanging12a"/>
        <w:widowControl/>
      </w:pPr>
      <w:r>
        <w:t>–</w:t>
      </w:r>
      <w:r>
        <w:tab/>
      </w:r>
      <w:r w:rsidR="00B36FFD" w:rsidRPr="00987852">
        <w:t>като взе предвид член 100 и приложение V към своя Правилник за дейността,</w:t>
      </w:r>
    </w:p>
    <w:p w:rsidR="00B36FFD" w:rsidRPr="00987852" w:rsidRDefault="00C61E46" w:rsidP="00B36FFD">
      <w:pPr>
        <w:pStyle w:val="NormalHanging12a"/>
        <w:widowControl/>
      </w:pPr>
      <w:r>
        <w:t>–</w:t>
      </w:r>
      <w:r>
        <w:tab/>
      </w:r>
      <w:r w:rsidR="00B36FFD" w:rsidRPr="00987852">
        <w:t>като взе предвид становището на комисията по граждански свободи, правосъдие и вътрешни работи,</w:t>
      </w:r>
    </w:p>
    <w:p w:rsidR="00B36FFD" w:rsidRPr="00987852" w:rsidRDefault="00C61E46" w:rsidP="00B36FFD">
      <w:pPr>
        <w:pStyle w:val="NormalHanging12a"/>
        <w:widowControl/>
      </w:pPr>
      <w:r>
        <w:t>–</w:t>
      </w:r>
      <w:r>
        <w:tab/>
      </w:r>
      <w:r w:rsidR="00B36FFD" w:rsidRPr="00987852">
        <w:t>като взе предвид доклада на комисията по бюджетен контрол (A9-0099/2024),</w:t>
      </w:r>
    </w:p>
    <w:p w:rsidR="00B36FFD" w:rsidRPr="00987852" w:rsidRDefault="00B36FFD" w:rsidP="00B36FFD">
      <w:pPr>
        <w:pStyle w:val="Normal12Hanging"/>
        <w:widowControl/>
        <w:rPr>
          <w:szCs w:val="24"/>
          <w:lang w:val="bg-BG"/>
        </w:rPr>
      </w:pPr>
      <w:r w:rsidRPr="00987852">
        <w:rPr>
          <w:lang w:val="bg-BG"/>
        </w:rPr>
        <w:t>А.</w:t>
      </w:r>
      <w:r w:rsidRPr="00987852">
        <w:rPr>
          <w:lang w:val="bg-BG"/>
        </w:rPr>
        <w:tab/>
        <w:t>като има предвид, че според нейния отчет за приходите и разходите</w:t>
      </w:r>
      <w:r w:rsidRPr="00987852">
        <w:rPr>
          <w:rStyle w:val="FootnoteReference"/>
          <w:szCs w:val="24"/>
          <w:lang w:val="bg-BG"/>
        </w:rPr>
        <w:footnoteReference w:id="11"/>
      </w:r>
      <w:r w:rsidRPr="00987852">
        <w:rPr>
          <w:lang w:val="bg-BG"/>
        </w:rPr>
        <w:t xml:space="preserve"> окончателният бюджет на Агенцията на Европейския съюз за сътрудничество в областта на наказателното правосъдие (Евроюст) („Агенцията“) за финансовата 2022 година възлиза на 50 183 522 EUR, което представлява намаление с 5,84% спрямо 2021 г.; като има предвид, че бюджетът на Агенцията се осигурява почти единствено от бюджета на Съюза;</w:t>
      </w:r>
    </w:p>
    <w:p w:rsidR="00B36FFD" w:rsidRPr="00987852" w:rsidRDefault="00B36FFD" w:rsidP="00B36FFD">
      <w:pPr>
        <w:pStyle w:val="Normal12Hanging"/>
        <w:widowControl/>
        <w:rPr>
          <w:szCs w:val="24"/>
          <w:lang w:val="bg-BG"/>
        </w:rPr>
      </w:pPr>
      <w:r w:rsidRPr="00987852">
        <w:rPr>
          <w:lang w:val="bg-BG"/>
        </w:rPr>
        <w:t>Б.</w:t>
      </w:r>
      <w:r w:rsidRPr="00987852">
        <w:rPr>
          <w:lang w:val="bg-BG"/>
        </w:rPr>
        <w:tab/>
        <w:t>като има предвид, че в своя доклад относно годишните отчети на Агенцията за финансовата 2022 година („доклада на Палатата“) Сметната палата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B36FFD" w:rsidRPr="00987852" w:rsidRDefault="00B36FFD" w:rsidP="00B36FFD">
      <w:pPr>
        <w:pStyle w:val="Normal12Hanging"/>
        <w:widowControl/>
        <w:rPr>
          <w:b/>
          <w:i/>
          <w:szCs w:val="24"/>
          <w:lang w:val="bg-BG"/>
        </w:rPr>
      </w:pPr>
      <w:r w:rsidRPr="00987852">
        <w:rPr>
          <w:b/>
          <w:i/>
          <w:lang w:val="bg-BG"/>
        </w:rPr>
        <w:t>Бюджетно и финансово управление</w:t>
      </w:r>
    </w:p>
    <w:p w:rsidR="00B36FFD" w:rsidRPr="00987852" w:rsidRDefault="00B36FFD" w:rsidP="00B36FFD">
      <w:pPr>
        <w:pStyle w:val="Normal12Hanging"/>
        <w:widowControl/>
        <w:rPr>
          <w:szCs w:val="24"/>
          <w:lang w:val="bg-BG"/>
        </w:rPr>
      </w:pPr>
      <w:r w:rsidRPr="00987852">
        <w:rPr>
          <w:lang w:val="bg-BG"/>
        </w:rPr>
        <w:t>1.</w:t>
      </w:r>
      <w:r w:rsidRPr="00987852">
        <w:rPr>
          <w:lang w:val="bg-BG"/>
        </w:rPr>
        <w:tab/>
        <w:t>отбелязва със задоволство, че усилията за контрол на бюджета са довели до степен на изпълнение на бюджета от 99,93% за бюджетните кредити за поети задължения за 2022 г.; отбелязва, че степента на изпълнение на бюджетните кредити за плащания за текущата година е била 89,22%, което представлява увеличение с 4,64% спрямо 2021 г.;</w:t>
      </w:r>
    </w:p>
    <w:p w:rsidR="00B36FFD" w:rsidRPr="00987852" w:rsidRDefault="00B36FFD" w:rsidP="00B36FFD">
      <w:pPr>
        <w:pStyle w:val="Normal12Hanging"/>
        <w:widowControl/>
        <w:rPr>
          <w:szCs w:val="24"/>
          <w:lang w:val="bg-BG"/>
        </w:rPr>
      </w:pPr>
      <w:r w:rsidRPr="00987852">
        <w:rPr>
          <w:lang w:val="bg-BG"/>
        </w:rPr>
        <w:t>2.</w:t>
      </w:r>
      <w:r w:rsidRPr="00987852">
        <w:rPr>
          <w:lang w:val="bg-BG"/>
        </w:rPr>
        <w:tab/>
        <w:t>отбелязва, че през 2022 г. възникнаха различни нови потребности от финансиране, включително във връзка с инфраструктурата за новата деловодна система, укрепването, свързано с</w:t>
      </w:r>
      <w:r w:rsidR="0035698B">
        <w:rPr>
          <w:lang w:val="bg-BG"/>
        </w:rPr>
        <w:t>ъс</w:t>
      </w:r>
      <w:r w:rsidRPr="00987852">
        <w:rPr>
          <w:lang w:val="bg-BG"/>
        </w:rPr>
        <w:t xml:space="preserve"> задачи</w:t>
      </w:r>
      <w:r w:rsidR="0035698B">
        <w:rPr>
          <w:lang w:val="bg-BG"/>
        </w:rPr>
        <w:t>те</w:t>
      </w:r>
      <w:r w:rsidRPr="00987852">
        <w:rPr>
          <w:lang w:val="bg-BG"/>
        </w:rPr>
        <w:t xml:space="preserve"> на </w:t>
      </w:r>
      <w:r w:rsidR="0035698B">
        <w:rPr>
          <w:lang w:val="bg-BG"/>
        </w:rPr>
        <w:t xml:space="preserve">новата </w:t>
      </w:r>
      <w:r w:rsidRPr="00987852">
        <w:rPr>
          <w:lang w:val="bg-BG"/>
        </w:rPr>
        <w:t>централна база данни за доказателства за международни престъпления</w:t>
      </w:r>
      <w:r w:rsidR="0035698B">
        <w:rPr>
          <w:lang w:val="bg-BG"/>
        </w:rPr>
        <w:t xml:space="preserve"> (</w:t>
      </w:r>
      <w:r w:rsidR="0035698B" w:rsidRPr="00987852">
        <w:rPr>
          <w:lang w:val="bg-BG"/>
        </w:rPr>
        <w:t>CICED</w:t>
      </w:r>
      <w:r w:rsidRPr="00987852">
        <w:rPr>
          <w:lang w:val="bg-BG"/>
        </w:rPr>
        <w:t>) и увеличаването на заплатите поради високата инфлация; отбелязва, че тези потребности от финансиране са покрити чрез два коригиращи бюджета (от общо 5,7 милиона евро) и няколко бюджетни трансфера;</w:t>
      </w:r>
    </w:p>
    <w:p w:rsidR="00B36FFD" w:rsidRPr="00987852" w:rsidRDefault="00B36FFD" w:rsidP="00B36FFD">
      <w:pPr>
        <w:pStyle w:val="Normal12Hanging"/>
        <w:widowControl/>
        <w:rPr>
          <w:szCs w:val="24"/>
          <w:lang w:val="bg-BG"/>
        </w:rPr>
      </w:pPr>
      <w:r w:rsidRPr="00987852">
        <w:rPr>
          <w:lang w:val="bg-BG"/>
        </w:rPr>
        <w:lastRenderedPageBreak/>
        <w:t>3.</w:t>
      </w:r>
      <w:r w:rsidRPr="00987852">
        <w:rPr>
          <w:lang w:val="bg-BG"/>
        </w:rPr>
        <w:tab/>
        <w:t>отбелязва въвеждането от Агенцията през 2022 г. на новата система на Комисията за финансово управление и счетоводство (SUMMA) и свързаните с нея технически въпроси, които са оказали въздействие върху изпълнението и докладването на бюджета на Агенцията; отбелязва по-специално становището на Агенцията, че тези въпроси са повлияли и на високия процент плащания, които не са извършени навреме (52,9%), и са усложнили мониторинга на области с високо колебание на разходите, като например координационните срещи; отбелязва в този контекст забележката от доклада на Палатата, че Агенцията, в нарушение на някои от разпоредбите на Финансовия регламент, не е актуализирала своята стратегия за управление и контрол на риска, за да покрие рисковете, свързани с прилагането на SUMMA, нито своите финансови потоци и стратегията си за предварителни и последващи проверки, и не проверява конкретно правата, предоставени на потребител в тази система, което представлява риск потребителските роли в SUMMA да не бъдат правилно разпределени и актуализирани;</w:t>
      </w:r>
    </w:p>
    <w:p w:rsidR="00B36FFD" w:rsidRPr="00987852" w:rsidRDefault="00B36FFD" w:rsidP="00B36FFD">
      <w:pPr>
        <w:pStyle w:val="NormalHanging12a"/>
        <w:widowControl/>
      </w:pPr>
      <w:r w:rsidRPr="00987852">
        <w:t>4.</w:t>
      </w:r>
      <w:r w:rsidRPr="00987852">
        <w:tab/>
        <w:t>отбелязва със загриженост забележката от доклада на Палатата, че Агенцията не е спазила сроковете за плащане, предвидени във Финансовия регламент, при 1222 от общо 2 308 плащания (52,9%); припомня и подчертава, че в 720 от всички случаи (31,5%) плащанията са били забавени с повече от 30 дни; отбелязва, че Агенцията приписва този недостатък, който според Палатата излага Агенцията на финансов риск и риск за репутацията ѝ и противоречи на принципа на икономичност, на прилагането на SUMMA; отбелязва отговора на Агенцията, че SUMMA е в пилотна фаза и че са налице забавяния и технически трудности при обработката на операциите, които са оказали въздействие върху обучението на персонала и са създали някои предизвикателства по отношение на управлението на бюджета; най-накрая отбелязва, че въпреки нарасналия размер на просрочените плащания Агенцията не е заплатила никаква лихва за забава; призовава Агенцията да разгледа изцяло тази констатация, като се справи с техническите трудности при обработката на операциите, и да докладва на органа по освобождаване от отговорност относно постигнатия напредък;</w:t>
      </w:r>
    </w:p>
    <w:p w:rsidR="00B36FFD" w:rsidRPr="00987852" w:rsidRDefault="00B36FFD" w:rsidP="00B36FFD">
      <w:pPr>
        <w:pStyle w:val="Normal12Hanging"/>
        <w:widowControl/>
        <w:rPr>
          <w:b/>
          <w:i/>
          <w:szCs w:val="24"/>
          <w:lang w:val="bg-BG"/>
        </w:rPr>
      </w:pPr>
      <w:r w:rsidRPr="00987852">
        <w:rPr>
          <w:b/>
          <w:i/>
          <w:lang w:val="bg-BG"/>
        </w:rPr>
        <w:t>Резултати от дейността</w:t>
      </w:r>
    </w:p>
    <w:p w:rsidR="00B36FFD" w:rsidRPr="00987852" w:rsidRDefault="00B36FFD" w:rsidP="00B36FFD">
      <w:pPr>
        <w:pStyle w:val="NormalHanging12a"/>
        <w:widowControl/>
        <w:rPr>
          <w:szCs w:val="24"/>
        </w:rPr>
      </w:pPr>
      <w:r w:rsidRPr="00987852">
        <w:t>5.</w:t>
      </w:r>
      <w:r w:rsidRPr="00987852">
        <w:tab/>
        <w:t>отбелязва, че Агенцията използва ключови показатели за ефективност (КПЕ), за да оцени добавената стойност, създавана от нейните дейности, и за да подобри управлението на своя бюджет; подчертава новата многогодишна стратегия на Агенцията за периода 2022—2024 г., която определя пет цели, всяка от които обхваща редица стратегически области на действие; отбелязва, че Агенцията е определила 67 КПЕ в годишния си работен план за 2022 г. и 14 многогодишни КПЕ за многогодишната стратегия; отбелязва, че с изключение на КПЕ, считани за неизмерими или неподходящи, Агенцията е постигнала целите за 47 от 59 КПЕ (88%), което представлява увеличение в сравнение с 2021 г. (73%); отбелязва, че през 2022 г. Агенцията е отбелязала стабилен напредък в постигането на своите многогодишни КПЕ, като 10 от тях (72%) са на път да постигнат своята цел, а три (21%) се нуждаят от допълнително внимание, като окончателните резултати за КПЕ по многогодишната стратегия ще бъдат докладвани в края на 2024 г.;</w:t>
      </w:r>
    </w:p>
    <w:p w:rsidR="00B36FFD" w:rsidRPr="00987852" w:rsidRDefault="00B36FFD" w:rsidP="00B36FFD">
      <w:pPr>
        <w:pStyle w:val="NormalHanging12a"/>
        <w:widowControl/>
      </w:pPr>
      <w:r w:rsidRPr="00987852">
        <w:t>6.</w:t>
      </w:r>
      <w:r w:rsidRPr="00987852">
        <w:tab/>
        <w:t xml:space="preserve">отбелязва, че броят на случаите, отнесени до Агенцията от държавите членки, е продължил да нараства, като през 2022 г. са разгледани общо 11 544 случая (от които 5 227 са новообразувани), което представлява увеличение с 14% </w:t>
      </w:r>
      <w:r w:rsidRPr="00987852">
        <w:lastRenderedPageBreak/>
        <w:t>в сравнение с 2021 г.; приветства в този контекст приноса на Агенцията за предоставянето на правни консултации, анализи и оперативна помощ, довели до 941 оперативни резултата в подкрепа на 528 случая, включително по отношение на сложни случаи, довели до арестуването на контрабандисти на хора (включително мигранти), както и премахването и противодействието на престъпни мрежи в области като изпирането на пари, сексуалната експлоатация, инвестиционните измами онлайн или трафика на наркотици; отбелязва освен това със задоволство, че през 2022 г. Агенцията е подкрепила 265 съвместни екипа за разследване (СЕР) (от които 78 новосъздадени СЕР), организирала е 528 координационни срещи и 22 координационни центъра, улеснила е изпълнението на 1 262 европейски заповеди за арест (от които 504 са нови случаи) и е дала възможност за използването на 5 415 европейски заповеди за разследване (около половината от които са по новообразувани случаи); отбелязва, че Агенцията поддържа отношения на сътрудничество с OLAF с цел засилване на борбата срещу престъпленията, засягащи финансовите интереси на С</w:t>
      </w:r>
      <w:r w:rsidR="0035698B">
        <w:t>ъюза</w:t>
      </w:r>
      <w:r w:rsidRPr="00987852">
        <w:t>;</w:t>
      </w:r>
    </w:p>
    <w:p w:rsidR="00B36FFD" w:rsidRPr="00987852" w:rsidRDefault="00B36FFD" w:rsidP="00B36FFD">
      <w:pPr>
        <w:pStyle w:val="NormalHanging12a"/>
        <w:widowControl/>
        <w:rPr>
          <w:szCs w:val="24"/>
        </w:rPr>
      </w:pPr>
      <w:r w:rsidRPr="00987852">
        <w:t>7.</w:t>
      </w:r>
      <w:r w:rsidRPr="00987852">
        <w:tab/>
        <w:t>приветства Агенцията за действията, предприети в отговор на незаконното и</w:t>
      </w:r>
      <w:r w:rsidR="00C61E46">
        <w:t xml:space="preserve"> </w:t>
      </w:r>
      <w:proofErr w:type="spellStart"/>
      <w:r w:rsidRPr="00987852">
        <w:t>непровокирано</w:t>
      </w:r>
      <w:proofErr w:type="spellEnd"/>
      <w:r w:rsidRPr="00987852">
        <w:t xml:space="preserve"> руско нашествие в Украйна през 2022 г.; отбелязва, че три седмици след началото на войната Агенцията подкрепи създаването на съвместни екипи за разследването на предполагаеми основни международни престъпления, извършени в Украйна, с цел да се улеснят разследванията и наказателното преследване в съответните държави; отбелязва, че Агенцията е предоставила правна и оперативна подкрепа на националните бюра, свързана с разширяването на обхвата на споразумението за СЕР с включването на нови страни (Естония, Латвия, Румъния и Словакия), както и правни анализи и становища, свързани с участието на Международния наказателен съд в СЕР; отбелязва освен това, че Агенцията предоставя оперативна подкрепа на Работната група на ЕС за замразяване и изземване на активи, създадена от Комисията в рамките на координирането на прилагането от държавите членки на санкциите на Съюза със средствата на наказателното право, която се осъществява чрез няколко действия, като например редовна кръстосана проверка на списъка на лицата и дружествата, санкционирани от Съюза, спрямо данните на Агенцията относно съществуващите случаи, разглеждани от Агенцията, и събиране на съответната информация на национално равнище относно минали и текущи разследвания, свързани с тези, изброени в списъка със санкции, с цел улесняване на наказателните производства;</w:t>
      </w:r>
    </w:p>
    <w:p w:rsidR="00B36FFD" w:rsidRPr="00987852" w:rsidRDefault="00B36FFD" w:rsidP="00B36FFD">
      <w:pPr>
        <w:pStyle w:val="NormalHanging12a"/>
        <w:widowControl/>
      </w:pPr>
      <w:r w:rsidRPr="00987852">
        <w:t>8.</w:t>
      </w:r>
      <w:r w:rsidRPr="00987852">
        <w:tab/>
        <w:t xml:space="preserve">приветства факта, че през 2022 г. Агенцията е засилила своето оперативно и стратегическо сътрудничество с различни заинтересовани страни, като например европейските агенции в областта на правосъдието и вътрешните работи (ПВР), институциите на Съюза, OLAF, Европейската прокуратура, както и мрежите на практикуващите юристи, трети държави и международни организации; отбелязва по-специално сътрудничеството на Агенцията с Агенцията </w:t>
      </w:r>
      <w:r w:rsidR="0035698B">
        <w:t xml:space="preserve">на Европейския съюз </w:t>
      </w:r>
      <w:r w:rsidRPr="00987852">
        <w:t>за оперативното управление на широкомащабни информационни системи в пространството на свобода, сигурност и правосъдие (</w:t>
      </w:r>
      <w:proofErr w:type="spellStart"/>
      <w:r w:rsidRPr="00987852">
        <w:t>eu</w:t>
      </w:r>
      <w:proofErr w:type="spellEnd"/>
      <w:r w:rsidRPr="00987852">
        <w:t xml:space="preserve">-LISA) във връзка със съвместен доклад относно изкуствения интелект в подкрепа на трансграничното сътрудничество в областта на наказателното правосъдие, с Агенцията за обучение в областта на правоприлагането (CEPOL) във връзка с 16 курса, обхващащи съдебното сътрудничество, и с Агенцията </w:t>
      </w:r>
      <w:r w:rsidR="0035698B">
        <w:t xml:space="preserve">на Европейския съюз </w:t>
      </w:r>
      <w:r w:rsidRPr="00987852">
        <w:t xml:space="preserve">за сътрудничество в областта на правоприлагането (Европол) относно проекта SIRIUS и системата на Европол „наличие/липса на съвпадение“ и с националните органи от 20 държави членки, Европол, OLAF и Европейската </w:t>
      </w:r>
      <w:r w:rsidRPr="00987852">
        <w:lastRenderedPageBreak/>
        <w:t xml:space="preserve">прокуратура относно операция SENTINAL, насочена срещу измами със средства за възстановяване във връзка с COVID-19; подчертава приноса на Агенцията към инициативите на Комисията в областта на цифровизацията на правосъдието (ШИС II, CMS, ECRIS-TCN, наред с другото); отбелязва, че Агенцията разчита на все по-нарастваща мрежа от звена за контакт с компетентните органи в трети държави, като през 2022 г. общият брой на звената за контакт на Агенцията е нараснал, обхващайки Австралия, Бахрейн и Мароко; приветства разширяването на сътрудничеството на Агенцията по наказателноправни въпроси на международно равнище, по-специално чрез програмата </w:t>
      </w:r>
      <w:proofErr w:type="spellStart"/>
      <w:r w:rsidRPr="00987852">
        <w:t>EuroMed</w:t>
      </w:r>
      <w:proofErr w:type="spellEnd"/>
      <w:r w:rsidRPr="00987852">
        <w:t xml:space="preserve"> </w:t>
      </w:r>
      <w:proofErr w:type="spellStart"/>
      <w:r w:rsidRPr="00987852">
        <w:t>Justice</w:t>
      </w:r>
      <w:proofErr w:type="spellEnd"/>
      <w:r w:rsidRPr="00987852">
        <w:t xml:space="preserve"> с южните партньорски държави, и финансиран от ЕС проект, насочен към трансграничното сътрудничество в областта на наказателното правосъдие в Западните Балкани;</w:t>
      </w:r>
    </w:p>
    <w:p w:rsidR="00B36FFD" w:rsidRPr="00987852" w:rsidRDefault="00B36FFD" w:rsidP="00227D0D">
      <w:pPr>
        <w:pStyle w:val="NormalHanging12a"/>
        <w:widowControl/>
      </w:pPr>
      <w:r w:rsidRPr="00987852">
        <w:t>9.</w:t>
      </w:r>
      <w:r w:rsidRPr="00987852">
        <w:tab/>
        <w:t>оценява транснационалното сътрудничество между съдебните органи, подпомагано от Агенцията, и тясното сътрудничество с всички участници във веригата на наказателното правосъдие, което допринесе за арестуването на над 4 000 заподозрени лица, изземването и/или замразяването на активи от престъпна дейност на стойност почти 3 милиарда евро и изземването на наркотици на стойност почти 12 милиарда евро;</w:t>
      </w:r>
    </w:p>
    <w:p w:rsidR="00B36FFD" w:rsidRPr="00987852" w:rsidRDefault="00B36FFD" w:rsidP="00B36FFD">
      <w:pPr>
        <w:pStyle w:val="NormalHanging12a"/>
        <w:widowControl/>
        <w:rPr>
          <w:b/>
          <w:i/>
          <w:szCs w:val="24"/>
        </w:rPr>
      </w:pPr>
      <w:r w:rsidRPr="00987852">
        <w:rPr>
          <w:b/>
          <w:i/>
        </w:rPr>
        <w:t>Ефикасност и успехи</w:t>
      </w:r>
    </w:p>
    <w:p w:rsidR="00B36FFD" w:rsidRPr="00987852" w:rsidRDefault="00B36FFD" w:rsidP="00B36FFD">
      <w:pPr>
        <w:pStyle w:val="NormalHanging12a"/>
        <w:widowControl/>
        <w:rPr>
          <w:szCs w:val="24"/>
        </w:rPr>
      </w:pPr>
      <w:r w:rsidRPr="00987852">
        <w:t>10.</w:t>
      </w:r>
      <w:r w:rsidRPr="00987852">
        <w:tab/>
        <w:t>подчертава, че в допълнение към разгръщането на SUMMA Агенцията допълнително е подобрила своите процеси и инструменти за управление, основани на дейността, чрез повишаване на ефективността, качеството/целостта на данните и използваемостта на своя инструмент за планиране, чрез въвеждане на нов инструмент за записване на дейности и чрез продължаване на постепенното преминаване от КПЕ за крайните продукти към КПЕ за резултатите; приветства Агенцията за започването на дискусия с Европол с цел проучване на потенциално споделяне на медицински услуги в бъдеще; приветства освен това решението на Агенцията да запази ефективността, постигната по време на пандемията</w:t>
      </w:r>
      <w:r w:rsidR="0035698B">
        <w:rPr>
          <w:lang w:val="en-GB"/>
        </w:rPr>
        <w:t xml:space="preserve"> </w:t>
      </w:r>
      <w:proofErr w:type="spellStart"/>
      <w:r w:rsidR="0035698B" w:rsidRPr="0035698B">
        <w:rPr>
          <w:lang w:val="en-GB"/>
        </w:rPr>
        <w:t>от</w:t>
      </w:r>
      <w:proofErr w:type="spellEnd"/>
      <w:r w:rsidR="0035698B" w:rsidRPr="0035698B">
        <w:rPr>
          <w:lang w:val="en-GB"/>
        </w:rPr>
        <w:t xml:space="preserve"> COVID-19</w:t>
      </w:r>
      <w:r w:rsidRPr="00987852">
        <w:t>; отбелязва въз основа на отговорите на Агенцията на въпросите на Парламента с искане за писмен отговор, че през 2022 г. Агенцията е организирала онлайн 47% от координационните срещи и от всички обучения на служителите и процедури за подбор на персонала, като по този начин е намалила значително свързаните с тях финансови разходи и разходи за човешки ресурси, както и 29% от всички координационни срещи в хибриден режим;</w:t>
      </w:r>
    </w:p>
    <w:p w:rsidR="00B36FFD" w:rsidRPr="00987852" w:rsidRDefault="00B36FFD" w:rsidP="00B36FFD">
      <w:pPr>
        <w:pStyle w:val="NormalHanging12a"/>
        <w:widowControl/>
        <w:rPr>
          <w:szCs w:val="24"/>
        </w:rPr>
      </w:pPr>
      <w:r w:rsidRPr="00987852">
        <w:t>11.</w:t>
      </w:r>
      <w:r w:rsidRPr="00987852">
        <w:tab/>
        <w:t xml:space="preserve">отбелязва, че с оглед на повишаването на ефективността, през 2022 г. са реализирани два проекта в рамките на цялата организация — Порталът за самообслужване на Агенцията и </w:t>
      </w:r>
      <w:proofErr w:type="spellStart"/>
      <w:r w:rsidRPr="00987852">
        <w:t>Pexip</w:t>
      </w:r>
      <w:proofErr w:type="spellEnd"/>
      <w:r w:rsidRPr="00987852">
        <w:t xml:space="preserve"> — новата система за видеоконферентна връзка за координационни срещи и координационни центрове, с най-малко 10 симултанни преводи; отбелязва освен това, че анализът на миграцията на съществуващия </w:t>
      </w:r>
      <w:proofErr w:type="spellStart"/>
      <w:r w:rsidRPr="00987852">
        <w:t>Extranet</w:t>
      </w:r>
      <w:proofErr w:type="spellEnd"/>
      <w:r w:rsidRPr="00987852">
        <w:t xml:space="preserve"> и подборът на доставчици за замяната на библиотечната система са завършени, а процесът за сертифицирания инструмент за електронен подпис все още е в ход, като се очакват резултати през 2024 г.; поздравява Агенцията за прилагането на четири нови модула на SYSPER (оценка, наименования на длъжности/длъжностни характеристики, NDP, докладване) в допълнение към петте модула, които вече са били приложени през предходните години; отбелязва ангажимента на Агенцията да изпълни изцяло SYSPER до 2024 г.;</w:t>
      </w:r>
    </w:p>
    <w:p w:rsidR="00B36FFD" w:rsidRPr="00987852" w:rsidRDefault="00B36FFD" w:rsidP="00B36FFD">
      <w:pPr>
        <w:pStyle w:val="NormalHanging12a"/>
        <w:widowControl/>
        <w:rPr>
          <w:szCs w:val="24"/>
        </w:rPr>
      </w:pPr>
      <w:r w:rsidRPr="00987852">
        <w:lastRenderedPageBreak/>
        <w:t>12.</w:t>
      </w:r>
      <w:r w:rsidRPr="00987852">
        <w:tab/>
        <w:t xml:space="preserve">отбелязва въз основа на доклада на Палатата, че Агенцията все още не е сред агенциите, които са изготвили корпоративни планове за подобряване на енергийната ефективност и неутралността по отношение на климата на своите дейности, са включили някаква форма на докладване в областта на околната среда в своите годишни отчети за дейността или са получили регистрация по </w:t>
      </w:r>
      <w:r w:rsidR="0035698B" w:rsidRPr="0035698B">
        <w:t>схема</w:t>
      </w:r>
      <w:r w:rsidR="0035698B">
        <w:t>та</w:t>
      </w:r>
      <w:r w:rsidR="0035698B" w:rsidRPr="0035698B">
        <w:t xml:space="preserve"> за управление на околната среда и одитиране</w:t>
      </w:r>
      <w:r w:rsidR="0035698B">
        <w:rPr>
          <w:lang w:val="en-GB"/>
        </w:rPr>
        <w:t xml:space="preserve"> (</w:t>
      </w:r>
      <w:r w:rsidRPr="00987852">
        <w:t>EMAS</w:t>
      </w:r>
      <w:r w:rsidR="0035698B">
        <w:rPr>
          <w:lang w:val="en-GB"/>
        </w:rPr>
        <w:t>)</w:t>
      </w:r>
      <w:r w:rsidRPr="00987852">
        <w:t>; припомня, че през 2021 г. Агенцията е започнала прилагането на рамката за съответствие EMAS / ISO 14001; отбелязва в този контекст, че през 2022 г. Агенцията е получила окончателния доклад от външното консултантско дружество, включващ цялата необходима информация относно свързаните с околната среда разпоредби в Нидерландия; отбелязва освен това, че през 2022 г. Агенцията се е присъединила към публичния търг за възлагане на консултантски услуги в областта на системите за управление на околната среда и намаляването и компенсирането на емисиите на парникови газове;</w:t>
      </w:r>
    </w:p>
    <w:p w:rsidR="00B36FFD" w:rsidRPr="00987852" w:rsidRDefault="00B36FFD" w:rsidP="00B36FFD">
      <w:pPr>
        <w:pStyle w:val="Normal12Hanging"/>
        <w:widowControl/>
        <w:rPr>
          <w:b/>
          <w:i/>
          <w:szCs w:val="24"/>
          <w:lang w:val="bg-BG"/>
        </w:rPr>
      </w:pPr>
      <w:r w:rsidRPr="00987852">
        <w:rPr>
          <w:b/>
          <w:i/>
          <w:lang w:val="bg-BG"/>
        </w:rPr>
        <w:t>Политика относно персонала</w:t>
      </w:r>
    </w:p>
    <w:p w:rsidR="00B36FFD" w:rsidRPr="00987852" w:rsidRDefault="00B36FFD" w:rsidP="00B36FFD">
      <w:pPr>
        <w:pStyle w:val="Normal12Hanging"/>
        <w:widowControl/>
        <w:rPr>
          <w:szCs w:val="24"/>
          <w:lang w:val="bg-BG"/>
        </w:rPr>
      </w:pPr>
      <w:r w:rsidRPr="00987852">
        <w:rPr>
          <w:lang w:val="bg-BG"/>
        </w:rPr>
        <w:t>13.</w:t>
      </w:r>
      <w:r w:rsidRPr="00987852">
        <w:rPr>
          <w:lang w:val="bg-BG"/>
        </w:rPr>
        <w:tab/>
        <w:t xml:space="preserve">отбелязва, че към 31 декември 2022 г. щатното разписание на Агенцията е било изпълнено на 100% (същото като през 2021 г.), като са били назначени 221 срочно наети служители от общо 221-те длъжности за срочно наети служители, разрешени съгласно бюджета на Съюза за 2022 г., като 209 от общо 221 длъжности за срочно наети служители са били заети и са били изпратени 12 писма с предложения; отбелязва, че освен това през 2022 г. за Агенцията са работили 18 договорно наети служители и 22 командировани национални експерти; отбелязва освен това, че е извършено </w:t>
      </w:r>
      <w:proofErr w:type="spellStart"/>
      <w:r w:rsidRPr="00987852">
        <w:rPr>
          <w:lang w:val="bg-BG"/>
        </w:rPr>
        <w:t>прекласифициране</w:t>
      </w:r>
      <w:proofErr w:type="spellEnd"/>
      <w:r w:rsidRPr="00987852">
        <w:rPr>
          <w:lang w:val="bg-BG"/>
        </w:rPr>
        <w:t xml:space="preserve">, което е довело до </w:t>
      </w:r>
      <w:proofErr w:type="spellStart"/>
      <w:r w:rsidRPr="00987852">
        <w:rPr>
          <w:lang w:val="bg-BG"/>
        </w:rPr>
        <w:t>прекласифициране</w:t>
      </w:r>
      <w:proofErr w:type="spellEnd"/>
      <w:r w:rsidRPr="00987852">
        <w:rPr>
          <w:lang w:val="bg-BG"/>
        </w:rPr>
        <w:t xml:space="preserve"> на 53 служители;</w:t>
      </w:r>
    </w:p>
    <w:p w:rsidR="00B36FFD" w:rsidRPr="00987852" w:rsidRDefault="00B36FFD" w:rsidP="00B36FFD">
      <w:pPr>
        <w:pStyle w:val="NormalHanging12a"/>
        <w:widowControl/>
      </w:pPr>
      <w:r w:rsidRPr="00987852">
        <w:t>14.</w:t>
      </w:r>
      <w:r w:rsidRPr="00987852">
        <w:tab/>
        <w:t>отбелязва представителството по полове в рамките на Агенцията за 2022 г. с 6 мъже (60%) и 4 жени (40%) на висши и средни ръководни длъжности, 16 мъже (64%) и 9 жени (36%) в управителния съвет на Агенцията, и че персоналът като цяло се състои от 85 мъже (33%) и 175 жени (67%); призовава Агенцията да осигури по-добър баланс между половете сред персонала на всички равнища и да продължи да насърчава жените кандидати да кандидатстват за ръководни длъжности, както и кандидатурите от кандидати от мъжки пол в процедурите по външен подбор за останалата част от длъжностите; потвърждава, че Агенцията не отговаря за състава на своя управителен съвет (наричан по-долу „Колегиум“), тъй като националните членове на Колегиума се назначават пряко от съответните държави членки; призовава Комисията и държавите членки при номинирането на техните членове на Колегиума да вземат предвид факта, че е важно да се осигури баланс между половете;</w:t>
      </w:r>
    </w:p>
    <w:p w:rsidR="00B36FFD" w:rsidRPr="00987852" w:rsidRDefault="00B36FFD" w:rsidP="00B36FFD">
      <w:pPr>
        <w:pStyle w:val="NormalHanging12a"/>
        <w:widowControl/>
        <w:rPr>
          <w:szCs w:val="24"/>
        </w:rPr>
      </w:pPr>
      <w:r w:rsidRPr="00987852">
        <w:t>15.</w:t>
      </w:r>
      <w:r w:rsidRPr="00987852">
        <w:tab/>
        <w:t>отбелязва, че между в периода между 2017 г. и 2022 г. Агенцията е потърсила консултация от външна адвокатска кантора, специализирана в областта на правото на публичната служба на Съюза, във връзка с няколко молби за съдействие във връзка с предполагаем психически тормоз; отбелязва, че молба за съдействие, получена през 2021 г., е довела до започването на две отделни административни разследвания, при които Агенцията е поискала подкрепата на двама външни следователи; отбелязва, че и в двата случая разследванията са приключили без по-нататъшни действия, като по едно от тях е заведено дело в съда; приканва Агенцията да информира органа по освобождаване от отговорност за постигнатия напредък по този въпрос;</w:t>
      </w:r>
    </w:p>
    <w:p w:rsidR="00B36FFD" w:rsidRPr="00987852" w:rsidRDefault="00B36FFD" w:rsidP="00B36FFD">
      <w:pPr>
        <w:pStyle w:val="NormalHanging12a"/>
        <w:widowControl/>
        <w:rPr>
          <w:szCs w:val="24"/>
        </w:rPr>
      </w:pPr>
      <w:r w:rsidRPr="00987852">
        <w:lastRenderedPageBreak/>
        <w:t>16.</w:t>
      </w:r>
      <w:r w:rsidRPr="00987852">
        <w:tab/>
        <w:t>подчертава, че през 2022 г. Агенцията е приела правила за прилагане на Правилника за длъжностните лица относно, наред с другото, провеждането на административни разследвания и дисциплинарни производства, домашния отпуск за служители на служба в трета държава и изплащането на надбавката за образование, предоставяна на служителите при определени условия; приветства мерките, предприети от Агенцията за интеграцията на хората с увреждания, както и ангажимента на Агенцията да приеме, в рамките на изпълнението на стратегията за човешките ресурси, „Хартата за многообразието и приобщаването“, одобрена от Работната група по въпросите на многообразието и приобщаването към мрежата ПВР;</w:t>
      </w:r>
    </w:p>
    <w:p w:rsidR="00B36FFD" w:rsidRPr="00987852" w:rsidRDefault="00B36FFD" w:rsidP="00B36FFD">
      <w:pPr>
        <w:pStyle w:val="NormalHanging12a"/>
        <w:widowControl/>
      </w:pPr>
      <w:r w:rsidRPr="00987852">
        <w:t>17.</w:t>
      </w:r>
      <w:r w:rsidRPr="00987852">
        <w:tab/>
        <w:t>отбелязва, че служителите на Агенцията са работили предимно от разстояние до март 2022 г.; отбелязва, че към април 2022 г. всички служители са се завърнали в помещенията на Агенцията; отбелязва в този контекст, че Агенцията е въвела преходни мерки по отношение на работата в офиса и дистанционната работа и е организирала семинари, за да помогне на психологическата адаптация на служителите към завръщането в офиса след непрекъсната дистанционна работа в продължение на две години; отбелязва също така, че резултатите от проучването сред персонала на Агенцията от 2023 г. показват, че мерките за благосъстояние, предприети от Агенцията през 2022 г., ефективно са облекчили въздействието на разширената дистанционна работа върху служителите; отбелязва по-специално, че 96% от респондентите са положително настроени към възможността да се координират с членовете на екипа, въпреки че работят от различни места;</w:t>
      </w:r>
    </w:p>
    <w:p w:rsidR="00B36FFD" w:rsidRPr="00987852" w:rsidRDefault="00B36FFD" w:rsidP="00B36FFD">
      <w:pPr>
        <w:pStyle w:val="NormalHanging12a"/>
        <w:widowControl/>
        <w:rPr>
          <w:b/>
          <w:i/>
        </w:rPr>
      </w:pPr>
      <w:r w:rsidRPr="00987852">
        <w:t>18.</w:t>
      </w:r>
      <w:r w:rsidRPr="00987852">
        <w:tab/>
        <w:t>отбелязва със задоволство, че към 31 декември 2022 г. за Агенцията са работели служители от 26 държави членки; отбелязва, че най-представените националности сред служителите на Агенцията са Нидерландия, Италия, Испания и Румъния; припомня значението на географския баланс и насърчава Агенцията да продължи да предприема необходимите мерки за осигуряване на балансирано и справедливо географско представителство;</w:t>
      </w:r>
    </w:p>
    <w:p w:rsidR="00B36FFD" w:rsidRPr="00987852" w:rsidRDefault="00B36FFD" w:rsidP="00B36FFD">
      <w:pPr>
        <w:pStyle w:val="Normal12Hanging"/>
        <w:widowControl/>
        <w:rPr>
          <w:b/>
          <w:i/>
          <w:szCs w:val="24"/>
          <w:lang w:val="bg-BG"/>
        </w:rPr>
      </w:pPr>
      <w:r w:rsidRPr="00987852">
        <w:rPr>
          <w:b/>
          <w:i/>
          <w:lang w:val="bg-BG"/>
        </w:rPr>
        <w:t>Обществени поръчки</w:t>
      </w:r>
    </w:p>
    <w:p w:rsidR="00B36FFD" w:rsidRPr="00987852" w:rsidRDefault="00B36FFD" w:rsidP="00B36FFD">
      <w:pPr>
        <w:pStyle w:val="NormalHanging12a"/>
        <w:widowControl/>
      </w:pPr>
      <w:r w:rsidRPr="00987852">
        <w:t>19.</w:t>
      </w:r>
      <w:r w:rsidRPr="00987852">
        <w:tab/>
        <w:t>припомня забележката от доклада на Палатата за 2020 г., че рамков договор за лизинг на превозни средства с един икономически оператор не е подходящ за естеството на необходимите услуги и че възложената поръчка в резултат от процедурата, както и всички свързани с нея плащания, са неправомерни; отбелязва въз основа на доклада на Палатата, че през 2022 г. Агенцията е изплатила неправомерно 59 281 EUR по този договор и че забележката все още не е приключена; призовава Агенцията да проучи възможността за прекратяване на този рамков договор и за започване на нова процедура с подновяване на състезателната процедура, както се счита за целесъобразно от Палатата в случаите на лизинг на превозни средства;</w:t>
      </w:r>
    </w:p>
    <w:p w:rsidR="00B36FFD" w:rsidRPr="00987852" w:rsidRDefault="00B36FFD" w:rsidP="00B36FFD">
      <w:pPr>
        <w:pStyle w:val="NormalHanging12a"/>
        <w:widowControl/>
        <w:rPr>
          <w:szCs w:val="24"/>
        </w:rPr>
      </w:pPr>
      <w:r w:rsidRPr="00987852">
        <w:t>20.</w:t>
      </w:r>
      <w:r w:rsidRPr="00987852">
        <w:tab/>
        <w:t>отбелязва въз основа на доклада на Агенцията за последващите действия във връзка с освобождаването от отговорност във връзка с изпълнението на бюджета за финансовата 2021 година (наричан по-долу „доклада за последващите действия“), че Агенцията продължава да изпитва инструмента за управление на обществените поръчки (PPMT) с намерението да го използва за всички нови процедури за възлагане на обществени поръчки, започнати от 2024 г. нататък;</w:t>
      </w:r>
    </w:p>
    <w:p w:rsidR="00B36FFD" w:rsidRPr="00987852" w:rsidRDefault="00B36FFD" w:rsidP="00B36FFD">
      <w:pPr>
        <w:pStyle w:val="Normal12Hanging"/>
        <w:widowControl/>
        <w:rPr>
          <w:b/>
          <w:i/>
          <w:szCs w:val="24"/>
          <w:lang w:val="bg-BG"/>
        </w:rPr>
      </w:pPr>
      <w:r w:rsidRPr="00987852">
        <w:rPr>
          <w:b/>
          <w:i/>
          <w:lang w:val="bg-BG"/>
        </w:rPr>
        <w:lastRenderedPageBreak/>
        <w:t>Предотвратяване и управление на конфликти на интереси и прозрачност</w:t>
      </w:r>
    </w:p>
    <w:p w:rsidR="00B36FFD" w:rsidRPr="00987852" w:rsidRDefault="00B36FFD" w:rsidP="00B36FFD">
      <w:pPr>
        <w:pStyle w:val="Normal12Hanging"/>
        <w:widowControl/>
        <w:rPr>
          <w:szCs w:val="24"/>
          <w:lang w:val="bg-BG"/>
        </w:rPr>
      </w:pPr>
      <w:r w:rsidRPr="00987852">
        <w:rPr>
          <w:lang w:val="bg-BG"/>
        </w:rPr>
        <w:t>21.</w:t>
      </w:r>
      <w:r w:rsidRPr="00987852">
        <w:rPr>
          <w:lang w:val="bg-BG"/>
        </w:rPr>
        <w:tab/>
        <w:t xml:space="preserve">отбелязва стандартната оперативна процедура на Агенцията по отношение на управлението на конфликтите на интереси, приложима за всички кандидати, на които се предлага длъжност в Агенцията, за </w:t>
      </w:r>
      <w:proofErr w:type="spellStart"/>
      <w:r w:rsidRPr="00987852">
        <w:rPr>
          <w:lang w:val="bg-BG"/>
        </w:rPr>
        <w:t>новопостъпили</w:t>
      </w:r>
      <w:proofErr w:type="spellEnd"/>
      <w:r w:rsidRPr="00987852">
        <w:rPr>
          <w:lang w:val="bg-BG"/>
        </w:rPr>
        <w:t xml:space="preserve"> служители, които сменят длъжност, както и за всички служители, напускащи Агенцията; подчертава, че Агенцията е въвела етичен кодекс за членовете на Колегиума и на Изпълнителния съвет, но без политика в областта на кадровата въртележка между държавния и частния сектор; отбелязва, че през 2022 г. са докладвани и управлявани случаи на конфликти на интереси, по-специално по отношение на участието на членове на Колегиума в процедури, свързани с персонала; отбелязва със задоволство, че засегнатите лица са се оттеглили и не са участвали в разискванията и вземането на решения от Колегиума в това отношение;</w:t>
      </w:r>
    </w:p>
    <w:p w:rsidR="00B36FFD" w:rsidRPr="00987852" w:rsidRDefault="00B36FFD" w:rsidP="00B36FFD">
      <w:pPr>
        <w:pStyle w:val="Normal12Hanging"/>
        <w:widowControl/>
        <w:rPr>
          <w:szCs w:val="24"/>
          <w:lang w:val="bg-BG"/>
        </w:rPr>
      </w:pPr>
      <w:r w:rsidRPr="00987852">
        <w:rPr>
          <w:lang w:val="bg-BG"/>
        </w:rPr>
        <w:t>22.</w:t>
      </w:r>
      <w:r w:rsidRPr="00987852">
        <w:rPr>
          <w:lang w:val="bg-BG"/>
        </w:rPr>
        <w:tab/>
        <w:t xml:space="preserve">отбелязва, че въпреки че Агенцията няма срещи с лобисти, срещите на Изпълнителния съвет на Агенцията с външни гости, посетили Агенцията, са били публикувани в профила на Агенцията в </w:t>
      </w:r>
      <w:proofErr w:type="spellStart"/>
      <w:r w:rsidRPr="00987852">
        <w:rPr>
          <w:lang w:val="bg-BG"/>
        </w:rPr>
        <w:t>Twitter</w:t>
      </w:r>
      <w:proofErr w:type="spellEnd"/>
      <w:r w:rsidRPr="00987852">
        <w:rPr>
          <w:lang w:val="bg-BG"/>
        </w:rPr>
        <w:t xml:space="preserve"> през 2022 г., а от 2023 г. — на публичния уебсайт на Агенцията; изразява дълбоко съжаление, че въпреки многократните призиви на Парламента в няколко резолюции за освобождаване от отговорност, Агенцията все още не публикува на своя уебсайт автобиографиите на всички свои висши ръководни служители и вътрешни експерти и външни експерти; настоятелно призовава Агенцията да публикува тези автобиографии или да обясни причините, поради които Агенцията все още не е направила това;</w:t>
      </w:r>
    </w:p>
    <w:p w:rsidR="00B36FFD" w:rsidRPr="00987852" w:rsidRDefault="00B36FFD" w:rsidP="00B36FFD">
      <w:pPr>
        <w:pStyle w:val="Normal12Hanging"/>
        <w:widowControl/>
        <w:rPr>
          <w:b/>
          <w:i/>
          <w:szCs w:val="24"/>
          <w:lang w:val="bg-BG"/>
        </w:rPr>
      </w:pPr>
      <w:r w:rsidRPr="00987852">
        <w:rPr>
          <w:b/>
          <w:i/>
          <w:lang w:val="bg-BG"/>
        </w:rPr>
        <w:t>Вътрешен контрол</w:t>
      </w:r>
    </w:p>
    <w:p w:rsidR="00B36FFD" w:rsidRPr="00987852" w:rsidRDefault="00B36FFD" w:rsidP="00B36FFD">
      <w:pPr>
        <w:pStyle w:val="NormalHanging12a"/>
        <w:widowControl/>
        <w:rPr>
          <w:szCs w:val="24"/>
        </w:rPr>
      </w:pPr>
      <w:r w:rsidRPr="00987852">
        <w:t>23.</w:t>
      </w:r>
      <w:r w:rsidRPr="00987852">
        <w:tab/>
        <w:t>припомня, че през 2021 г. е било в ход разследване на OLAF, провеждано по анонимна жалба относно твърдения за нередности в процедурите за набиране на персонал; отбелязва, че през 2022 г. OLAF е докладвала, че по този въпрос не са открити нередности; отбелязва освен това в този контекст, че, тъй като това разследване е било частично висящо в края на 2022 г., и поради съображения за поверителност, OLAF е решила да не споделя повече подробности на този етап; приветства въз основа на доклада за последващите действия ангажимента на Агенцията да информира своевременно органа по освобождаване от отговорност за всяко развитие по този въпрос;</w:t>
      </w:r>
    </w:p>
    <w:p w:rsidR="00B36FFD" w:rsidRPr="00987852" w:rsidRDefault="00B36FFD" w:rsidP="00B36FFD">
      <w:pPr>
        <w:pStyle w:val="NormalHanging12a"/>
        <w:widowControl/>
        <w:rPr>
          <w:szCs w:val="24"/>
        </w:rPr>
      </w:pPr>
      <w:r w:rsidRPr="00987852">
        <w:t>24.</w:t>
      </w:r>
      <w:r w:rsidRPr="00987852">
        <w:tab/>
        <w:t xml:space="preserve">отбелязва, че към края на 2022 г. е имало значително забавяне във връзка с четири препоръки, отправени от Службата за вътрешен одит на Комисията през 2019 г. и 2021 г.; отбелязва в този контекст, че що се отнася до препоръката на Службата за вътрешен одит от 2021 г. по собствена инициатива относно оперативните задачи, съответната вътрешна работна група на Агенцията е постигнала съгласие по стратегически документ и план за действие с краткосрочни и средносрочни действия, някои от които вече са изпълнени през 2023 г., като Агенцията е отбелязала тази препоръка като изпълнена при условие, че това бъде потвърдено от Службата за вътрешен одит в нейната окончателна оценка;  отбелязва освен това въз основа на доклада за последващите действия, що се отнася до препоръката на Службата за вътрешен одит от 2021 г. Агенцията да проведе проучване </w:t>
      </w:r>
      <w:proofErr w:type="spellStart"/>
      <w:r w:rsidRPr="00987852">
        <w:t>iCAT</w:t>
      </w:r>
      <w:proofErr w:type="spellEnd"/>
      <w:r w:rsidRPr="00987852">
        <w:t xml:space="preserve"> с цел засилване на оценката на „меките“ проверки, че стартирането на това проучване, планирано за четвъртото тримесечие на 2022 г., е било забавено поради изпълнението на големи междуведомствени проекти (напр. SUMMA), увеличаването на работното натоварване поради новите </w:t>
      </w:r>
      <w:r w:rsidRPr="00987852">
        <w:lastRenderedPageBreak/>
        <w:t xml:space="preserve">приоритети, свързани с войната в Украйна, и преходния период между напускането на предишния административен директор и назначаването на новия; отбелязва в този контекст, че съответните въпроси на </w:t>
      </w:r>
      <w:proofErr w:type="spellStart"/>
      <w:r w:rsidRPr="00987852">
        <w:t>iCAT</w:t>
      </w:r>
      <w:proofErr w:type="spellEnd"/>
      <w:r w:rsidRPr="00987852">
        <w:t xml:space="preserve"> са включени в проучването на ангажираността на Агенцията, започнало през второто тримесечие на 2023 г.; отбелязва на последно място, че тази препоръка също се счита за изпълнена от Агенцията при условие че това бъде потвърдено от Службата за вътрешен одит в нейната окончателна оценка; призовава Агенцията да ускори изпълнението на оставащите неизпълнени препоръки на Службата за вътрешен одит, по-специално на тези, чието изпълнение е значително забавено;</w:t>
      </w:r>
    </w:p>
    <w:p w:rsidR="00B36FFD" w:rsidRPr="00987852" w:rsidRDefault="00B36FFD" w:rsidP="00B36FFD">
      <w:pPr>
        <w:pStyle w:val="NormalHanging12a"/>
        <w:widowControl/>
      </w:pPr>
      <w:r w:rsidRPr="00987852">
        <w:t>25.</w:t>
      </w:r>
      <w:r w:rsidRPr="00987852">
        <w:tab/>
        <w:t>отбелязва със загриженост значителното увеличение на броя и стойността на случаите на неспазване на изискванията през 2022 г. (43 случая на стойност 294 000 EUR) в сравнение с 2021 г. (33 случая на стойност 18 000 EUR), като тези случаи са свързани главно с въпроси като издаването на фактура на стойност, която е по-висока от правното задължение, поемането на бюджетното задължение след възлагането на правното задължение или липсата на поръчка за покупка или на конкретен договор; отбелязва, че Агенцията обяснява, че това увеличение е свързано с трудностите, срещнати при бюджетното и финансовото управление през 2022 г. поради въвеждането на SUMMA; призовава Агенцията да разгледа тези забележки и да проучи модели, така че този вид ситуации вече да не се случват в бъдеще;</w:t>
      </w:r>
    </w:p>
    <w:p w:rsidR="00B36FFD" w:rsidRPr="00987852" w:rsidRDefault="00B36FFD" w:rsidP="00B36FFD">
      <w:pPr>
        <w:pStyle w:val="NormalHanging12a"/>
        <w:widowControl/>
        <w:rPr>
          <w:szCs w:val="24"/>
        </w:rPr>
      </w:pPr>
      <w:r w:rsidRPr="00987852">
        <w:t>26.</w:t>
      </w:r>
      <w:r w:rsidRPr="00987852">
        <w:tab/>
        <w:t>отбелязва, че през 2022 г. компонентите и принципите на рамката за вътрешен контрол на Агенцията са били налице и функционират и че системата като цяло е била ефективна, като са необходими някои подобрения, например по отношение на прилагането на SUMMA и необходимостта от приемане на план за възстановяване при бедствия; приветства Агенцията за приемането на политика относно чувствителните функции, проекта на оценка на разходната ефективност и ползата от назначаването на Структура за вътрешен одит, както и отсъствието на критични одитни препоръки или забележки през 2022 г.; приканва Агенцията да информира органа по освобождаване от отговорност за резултата от оценката по отношение на Структурата за вътрешен одит; накрая приветства по-нататъшните последващи действия на Агенцията във връзка с приемането през 2021 г. на стратегията на Агенцията за борба срещу измамите; отбелязва в този смисъл, че през 2022 г. Агенцията е приела нови вътрешни процедури за управление на активите и инвентара;</w:t>
      </w:r>
    </w:p>
    <w:p w:rsidR="00B36FFD" w:rsidRPr="00987852" w:rsidRDefault="00B36FFD" w:rsidP="00B36FFD">
      <w:pPr>
        <w:pStyle w:val="Normal12Hanging"/>
        <w:widowControl/>
        <w:rPr>
          <w:b/>
          <w:i/>
          <w:szCs w:val="24"/>
          <w:lang w:val="bg-BG"/>
        </w:rPr>
      </w:pPr>
      <w:r w:rsidRPr="00987852">
        <w:rPr>
          <w:b/>
          <w:i/>
          <w:lang w:val="bg-BG"/>
        </w:rPr>
        <w:t>Други коментари</w:t>
      </w:r>
    </w:p>
    <w:p w:rsidR="00B36FFD" w:rsidRPr="00987852" w:rsidRDefault="00B36FFD" w:rsidP="00B36FFD">
      <w:pPr>
        <w:pStyle w:val="Normal12Hanging"/>
        <w:widowControl/>
        <w:rPr>
          <w:szCs w:val="24"/>
          <w:lang w:val="bg-BG"/>
        </w:rPr>
      </w:pPr>
      <w:r w:rsidRPr="00987852">
        <w:rPr>
          <w:lang w:val="bg-BG"/>
        </w:rPr>
        <w:t>27.</w:t>
      </w:r>
      <w:r w:rsidRPr="00987852">
        <w:rPr>
          <w:lang w:val="bg-BG"/>
        </w:rPr>
        <w:tab/>
        <w:t>приветства Агенцията за инвестициите в нейните комуникационни дейности с цел повишаване на видимостта на Агенцията и на разбирането на нейната работа, която достига до широка аудитория; отбелязва в резултат на това увеличението на показателите на Агенцията в социалните медии с 40%, на броя на посетителите на уебсайта на Агенцията с почти 100% и на броя на съобщенията за медиите и новинарските материали с 16% през 2022 г. в сравнение с 2021 г., като последният показател е довел до увеличение с почти пет пъти повече на споменаванията в сравнение с 2021 г.;</w:t>
      </w:r>
    </w:p>
    <w:p w:rsidR="00B36FFD" w:rsidRPr="00987852" w:rsidRDefault="00B36FFD" w:rsidP="00B36FFD">
      <w:pPr>
        <w:pStyle w:val="Normal12Hanging"/>
        <w:widowControl/>
        <w:rPr>
          <w:szCs w:val="24"/>
          <w:lang w:val="bg-BG"/>
        </w:rPr>
      </w:pPr>
      <w:r w:rsidRPr="00987852">
        <w:rPr>
          <w:lang w:val="bg-BG"/>
        </w:rPr>
        <w:t>28.</w:t>
      </w:r>
      <w:r w:rsidRPr="00987852">
        <w:rPr>
          <w:lang w:val="bg-BG"/>
        </w:rPr>
        <w:tab/>
        <w:t xml:space="preserve">приветства продължаващите усилия на Агенцията през 2022 г. за подобряване на спазването на правилата за защита на данните; приветства увеличаването на числеността на екипа на длъжностното лице по защита на данните (ДЛЗД) на </w:t>
      </w:r>
      <w:r w:rsidRPr="00987852">
        <w:rPr>
          <w:lang w:val="bg-BG"/>
        </w:rPr>
        <w:lastRenderedPageBreak/>
        <w:t>Агенцията с още двама служители за посрещане на новите задачи във връзка с Регламент (ЕС) 2018/1725</w:t>
      </w:r>
      <w:r w:rsidR="0035698B">
        <w:rPr>
          <w:rStyle w:val="FootnoteReference"/>
          <w:lang w:val="bg-BG"/>
        </w:rPr>
        <w:footnoteReference w:id="12"/>
      </w:r>
      <w:r w:rsidRPr="00987852">
        <w:rPr>
          <w:lang w:val="bg-BG"/>
        </w:rPr>
        <w:t xml:space="preserve"> и разширяването на мандата на Агенцията по отношение на основните международни престъпления, което увеличава изискванията във връзка със защитата на данните; отбелязва, че през 2022 г. ДЛЗД и Европейският надзорен орган по защита на данните са продължили да провеждат редовни (на всеки два месеца) срещи и срещи по конкретни въпроси, както и консултации по различни въпроси, свързани със защитата на данните, като например нарушения на сигурността на данните и жалби, наред с другото;</w:t>
      </w:r>
    </w:p>
    <w:p w:rsidR="00B36FFD" w:rsidRDefault="00B36FFD" w:rsidP="00C61E46">
      <w:pPr>
        <w:pStyle w:val="Normal12Hanging"/>
        <w:widowControl/>
        <w:rPr>
          <w:lang w:val="bg-BG"/>
        </w:rPr>
      </w:pPr>
      <w:r w:rsidRPr="00987852">
        <w:rPr>
          <w:lang w:val="bg-BG"/>
        </w:rPr>
        <w:t>29.</w:t>
      </w:r>
      <w:r w:rsidRPr="00987852">
        <w:rPr>
          <w:lang w:val="bg-BG"/>
        </w:rPr>
        <w:tab/>
        <w:t>освен това поздравява Агенцията за прилагането през 2022 г. на няколко мерки с цел повишаване на киберсигурността и защитата на цифровите записи, с които разполага, като например внедряването на централно управлявани и сигурни корпоративни мобилни телефони, въвеждането на вътрешни сесии „</w:t>
      </w:r>
      <w:proofErr w:type="spellStart"/>
      <w:r w:rsidRPr="00987852">
        <w:rPr>
          <w:lang w:val="bg-BG"/>
        </w:rPr>
        <w:t>CyberCafe</w:t>
      </w:r>
      <w:proofErr w:type="spellEnd"/>
      <w:r w:rsidRPr="00987852">
        <w:rPr>
          <w:lang w:val="bg-BG"/>
        </w:rPr>
        <w:t>“ с цел повишаване на осведомеността, както и прилагането на защита срещу разпределена атака тип „отказ от обслужване“, наред с другото;</w:t>
      </w:r>
    </w:p>
    <w:p w:rsidR="00C61E46" w:rsidRDefault="00C61E46" w:rsidP="00C61E46">
      <w:pPr>
        <w:pStyle w:val="Normal12Hanging"/>
        <w:widowControl/>
        <w:ind w:left="0" w:firstLine="0"/>
        <w:jc w:val="center"/>
        <w:rPr>
          <w:lang w:val="bg-BG"/>
        </w:rPr>
      </w:pPr>
      <w:r>
        <w:rPr>
          <w:lang w:val="bg-BG"/>
        </w:rPr>
        <w:t>°</w:t>
      </w:r>
    </w:p>
    <w:p w:rsidR="00C61E46" w:rsidRDefault="00C61E46" w:rsidP="00C61E46">
      <w:pPr>
        <w:pStyle w:val="Normal12Hanging"/>
        <w:widowControl/>
        <w:ind w:left="0" w:firstLine="0"/>
        <w:jc w:val="center"/>
        <w:rPr>
          <w:lang w:val="bg-BG"/>
        </w:rPr>
      </w:pPr>
      <w:r>
        <w:rPr>
          <w:lang w:val="bg-BG"/>
        </w:rPr>
        <w:t>°     °</w:t>
      </w:r>
    </w:p>
    <w:p w:rsidR="00B36FFD" w:rsidRPr="00987852" w:rsidRDefault="00B36FFD" w:rsidP="00B36FFD">
      <w:pPr>
        <w:pStyle w:val="NormalHanging12a"/>
        <w:widowControl/>
      </w:pPr>
      <w:r w:rsidRPr="00987852">
        <w:t>30.</w:t>
      </w:r>
      <w:r w:rsidRPr="00987852">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35698B">
        <w:t>11 апр</w:t>
      </w:r>
      <w:r w:rsidR="00140BC4">
        <w:t>ил</w:t>
      </w:r>
      <w:r w:rsidR="00140BC4" w:rsidRPr="00987852">
        <w:t xml:space="preserve"> </w:t>
      </w:r>
      <w:r w:rsidRPr="00987852">
        <w:t>2024 г.</w:t>
      </w:r>
      <w:r w:rsidRPr="00987852">
        <w:rPr>
          <w:rStyle w:val="FootnoteReference"/>
        </w:rPr>
        <w:footnoteReference w:id="13"/>
      </w:r>
      <w:r w:rsidRPr="00987852">
        <w:t xml:space="preserve"> относно резултатите от дейността, финансовото управление и контрола на агенциите.</w:t>
      </w:r>
    </w:p>
    <w:p w:rsidR="00E365E1" w:rsidRPr="00987852" w:rsidRDefault="00E365E1" w:rsidP="00A9390D">
      <w:bookmarkStart w:id="13" w:name="TextBodyEnd"/>
      <w:bookmarkEnd w:id="13"/>
    </w:p>
    <w:sectPr w:rsidR="00E365E1" w:rsidRPr="00987852" w:rsidSect="0098785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90D" w:rsidRPr="00987852" w:rsidRDefault="00A9390D">
      <w:r w:rsidRPr="00987852">
        <w:separator/>
      </w:r>
    </w:p>
  </w:endnote>
  <w:endnote w:type="continuationSeparator" w:id="0">
    <w:p w:rsidR="00A9390D" w:rsidRPr="00987852" w:rsidRDefault="00A9390D">
      <w:r w:rsidRPr="009878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FFD" w:rsidRPr="00987852" w:rsidRDefault="00B36FFD" w:rsidP="00FC5399">
    <w:pPr>
      <w:pStyle w:val="EPFooter"/>
    </w:pPr>
    <w:r w:rsidRPr="00987852">
      <w:t>PE</w:t>
    </w:r>
    <w:r w:rsidRPr="00987852">
      <w:rPr>
        <w:rStyle w:val="HideTWBExt"/>
      </w:rPr>
      <w:t>&lt;</w:t>
    </w:r>
    <w:proofErr w:type="spellStart"/>
    <w:r w:rsidRPr="00987852">
      <w:rPr>
        <w:rStyle w:val="HideTWBExt"/>
      </w:rPr>
      <w:t>NoPE</w:t>
    </w:r>
    <w:proofErr w:type="spellEnd"/>
    <w:r w:rsidRPr="00987852">
      <w:rPr>
        <w:rStyle w:val="HideTWBExt"/>
      </w:rPr>
      <w:t>&gt;</w:t>
    </w:r>
    <w:r w:rsidRPr="00987852">
      <w:t>753.539</w:t>
    </w:r>
    <w:r w:rsidRPr="00987852">
      <w:rPr>
        <w:rStyle w:val="HideTWBExt"/>
      </w:rPr>
      <w:t>&lt;/</w:t>
    </w:r>
    <w:proofErr w:type="spellStart"/>
    <w:r w:rsidRPr="00987852">
      <w:rPr>
        <w:rStyle w:val="HideTWBExt"/>
      </w:rPr>
      <w:t>NoPE</w:t>
    </w:r>
    <w:proofErr w:type="spellEnd"/>
    <w:r w:rsidRPr="00987852">
      <w:rPr>
        <w:rStyle w:val="HideTWBExt"/>
      </w:rPr>
      <w:t>&gt;&lt;Version&gt;</w:t>
    </w:r>
    <w:r w:rsidRPr="00987852">
      <w:t>v02-00</w:t>
    </w:r>
    <w:r w:rsidRPr="00987852">
      <w:rPr>
        <w:rStyle w:val="HideTWBExt"/>
      </w:rPr>
      <w:t>&lt;/</w:t>
    </w:r>
    <w:proofErr w:type="spellStart"/>
    <w:r w:rsidRPr="00987852">
      <w:rPr>
        <w:rStyle w:val="HideTWBExt"/>
      </w:rPr>
      <w:t>Version</w:t>
    </w:r>
    <w:proofErr w:type="spellEnd"/>
    <w:r w:rsidRPr="00987852">
      <w:rPr>
        <w:rStyle w:val="HideTWBExt"/>
      </w:rPr>
      <w:t>&gt;</w:t>
    </w:r>
    <w:r w:rsidRPr="00987852">
      <w:tab/>
    </w:r>
    <w:r w:rsidRPr="00987852">
      <w:fldChar w:fldCharType="begin"/>
    </w:r>
    <w:r w:rsidRPr="00987852">
      <w:instrText xml:space="preserve"> PAGE  \* MERGEFORMAT </w:instrText>
    </w:r>
    <w:r w:rsidRPr="00987852">
      <w:fldChar w:fldCharType="separate"/>
    </w:r>
    <w:r w:rsidR="00987852" w:rsidRPr="00987852">
      <w:rPr>
        <w:noProof/>
      </w:rPr>
      <w:t>2</w:t>
    </w:r>
    <w:r w:rsidRPr="00987852">
      <w:fldChar w:fldCharType="end"/>
    </w:r>
    <w:r w:rsidRPr="00987852">
      <w:t>/</w:t>
    </w:r>
    <w:fldSimple w:instr=" NUMPAGES  \* MERGEFORMAT ">
      <w:r w:rsidR="00987852" w:rsidRPr="00987852">
        <w:rPr>
          <w:noProof/>
        </w:rPr>
        <w:t>3</w:t>
      </w:r>
    </w:fldSimple>
    <w:r w:rsidRPr="00987852">
      <w:tab/>
    </w:r>
    <w:r w:rsidRPr="00987852">
      <w:rPr>
        <w:rStyle w:val="HideTWBExt"/>
      </w:rPr>
      <w:t>&lt;PathFdR&gt;</w:t>
    </w:r>
    <w:r w:rsidRPr="00987852">
      <w:t>RR\1298768BG.docx</w:t>
    </w:r>
    <w:r w:rsidRPr="00987852">
      <w:rPr>
        <w:rStyle w:val="HideTWBExt"/>
      </w:rPr>
      <w:t>&lt;/</w:t>
    </w:r>
    <w:proofErr w:type="spellStart"/>
    <w:r w:rsidRPr="00987852">
      <w:rPr>
        <w:rStyle w:val="HideTWBExt"/>
      </w:rPr>
      <w:t>PathFdR</w:t>
    </w:r>
    <w:proofErr w:type="spellEnd"/>
    <w:r w:rsidRPr="00987852">
      <w:rPr>
        <w:rStyle w:val="HideTWBExt"/>
      </w:rPr>
      <w:t>&gt;</w:t>
    </w:r>
  </w:p>
  <w:p w:rsidR="00B36FFD" w:rsidRPr="00987852" w:rsidRDefault="00B36FFD" w:rsidP="00FC5399">
    <w:pPr>
      <w:pStyle w:val="EPFooter2"/>
    </w:pPr>
    <w:r w:rsidRPr="00987852">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FFD" w:rsidRPr="00987852" w:rsidRDefault="00B36FFD" w:rsidP="00FC5399">
    <w:pPr>
      <w:pStyle w:val="EPFooter"/>
    </w:pPr>
    <w:r w:rsidRPr="00987852">
      <w:rPr>
        <w:rStyle w:val="HideTWBExt"/>
      </w:rPr>
      <w:t>&lt;PathFdR&gt;</w:t>
    </w:r>
    <w:r w:rsidRPr="00987852">
      <w:t>RR\1298768BG.docx</w:t>
    </w:r>
    <w:r w:rsidRPr="00987852">
      <w:rPr>
        <w:rStyle w:val="HideTWBExt"/>
      </w:rPr>
      <w:t>&lt;/</w:t>
    </w:r>
    <w:proofErr w:type="spellStart"/>
    <w:r w:rsidRPr="00987852">
      <w:rPr>
        <w:rStyle w:val="HideTWBExt"/>
      </w:rPr>
      <w:t>PathFdR</w:t>
    </w:r>
    <w:proofErr w:type="spellEnd"/>
    <w:r w:rsidRPr="00987852">
      <w:rPr>
        <w:rStyle w:val="HideTWBExt"/>
      </w:rPr>
      <w:t>&gt;</w:t>
    </w:r>
    <w:r w:rsidRPr="00987852">
      <w:tab/>
    </w:r>
    <w:r w:rsidRPr="00987852">
      <w:tab/>
      <w:t>PE</w:t>
    </w:r>
    <w:r w:rsidRPr="00987852">
      <w:rPr>
        <w:rStyle w:val="HideTWBExt"/>
      </w:rPr>
      <w:t>&lt;</w:t>
    </w:r>
    <w:proofErr w:type="spellStart"/>
    <w:r w:rsidRPr="00987852">
      <w:rPr>
        <w:rStyle w:val="HideTWBExt"/>
      </w:rPr>
      <w:t>NoPE</w:t>
    </w:r>
    <w:proofErr w:type="spellEnd"/>
    <w:r w:rsidRPr="00987852">
      <w:rPr>
        <w:rStyle w:val="HideTWBExt"/>
      </w:rPr>
      <w:t>&gt;</w:t>
    </w:r>
    <w:r w:rsidRPr="00987852">
      <w:t>753.539</w:t>
    </w:r>
    <w:r w:rsidRPr="00987852">
      <w:rPr>
        <w:rStyle w:val="HideTWBExt"/>
      </w:rPr>
      <w:t>&lt;/</w:t>
    </w:r>
    <w:proofErr w:type="spellStart"/>
    <w:r w:rsidRPr="00987852">
      <w:rPr>
        <w:rStyle w:val="HideTWBExt"/>
      </w:rPr>
      <w:t>NoPE</w:t>
    </w:r>
    <w:proofErr w:type="spellEnd"/>
    <w:r w:rsidRPr="00987852">
      <w:rPr>
        <w:rStyle w:val="HideTWBExt"/>
      </w:rPr>
      <w:t>&gt;&lt;Version&gt;</w:t>
    </w:r>
    <w:r w:rsidRPr="00987852">
      <w:t>v02-00</w:t>
    </w:r>
    <w:r w:rsidRPr="00987852">
      <w:rPr>
        <w:rStyle w:val="HideTWBExt"/>
      </w:rPr>
      <w:t>&lt;/</w:t>
    </w:r>
    <w:proofErr w:type="spellStart"/>
    <w:r w:rsidRPr="00987852">
      <w:rPr>
        <w:rStyle w:val="HideTWBExt"/>
      </w:rPr>
      <w:t>Version</w:t>
    </w:r>
    <w:proofErr w:type="spellEnd"/>
    <w:r w:rsidRPr="00987852">
      <w:rPr>
        <w:rStyle w:val="HideTWBExt"/>
      </w:rPr>
      <w:t>&gt;</w:t>
    </w:r>
  </w:p>
  <w:p w:rsidR="00B36FFD" w:rsidRPr="00987852" w:rsidRDefault="00B36FFD" w:rsidP="00FC5399">
    <w:pPr>
      <w:pStyle w:val="EPFooter2"/>
    </w:pPr>
    <w:r w:rsidRPr="00987852">
      <w:t>BG</w:t>
    </w:r>
    <w:r w:rsidRPr="00987852">
      <w:tab/>
    </w:r>
    <w:r w:rsidRPr="00987852">
      <w:rPr>
        <w:b w:val="0"/>
        <w:i/>
        <w:color w:val="C0C0C0"/>
        <w:sz w:val="22"/>
      </w:rPr>
      <w:t>Единство в многообразието</w:t>
    </w:r>
    <w:r w:rsidRPr="00987852">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85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85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8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90D" w:rsidRPr="00987852" w:rsidRDefault="00A9390D">
      <w:r w:rsidRPr="00987852">
        <w:separator/>
      </w:r>
    </w:p>
  </w:footnote>
  <w:footnote w:type="continuationSeparator" w:id="0">
    <w:p w:rsidR="00A9390D" w:rsidRPr="00987852" w:rsidRDefault="00A9390D">
      <w:r w:rsidRPr="00987852">
        <w:continuationSeparator/>
      </w:r>
    </w:p>
  </w:footnote>
  <w:footnote w:id="1">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ОВ C, C/2023/594, 27.10.2023 г.</w:t>
      </w:r>
    </w:p>
  </w:footnote>
  <w:footnote w:id="2">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ОВ C, C/2023/112, 12.10.2023 г.</w:t>
      </w:r>
    </w:p>
  </w:footnote>
  <w:footnote w:id="3">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OВ L 193, 30.7.2018 г., стр. 1.</w:t>
      </w:r>
    </w:p>
  </w:footnote>
  <w:footnote w:id="4">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ОВ L 295, 21.11.2018 г., стр. 138.</w:t>
      </w:r>
    </w:p>
  </w:footnote>
  <w:footnote w:id="5">
    <w:p w:rsidR="00B36FFD" w:rsidRPr="00987852" w:rsidRDefault="00B36FFD" w:rsidP="00987852">
      <w:pPr>
        <w:pStyle w:val="FootnoteText"/>
        <w:ind w:left="567" w:hanging="567"/>
        <w:rPr>
          <w:sz w:val="24"/>
          <w:szCs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ОВ L 122, 10.5.2019 г., стр. 1.</w:t>
      </w:r>
    </w:p>
  </w:footnote>
  <w:footnote w:id="6">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ОВ C, C/2023/594, 27.10.2023 г.</w:t>
      </w:r>
    </w:p>
  </w:footnote>
  <w:footnote w:id="7">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ОВ C, C/2023/112, 12.10.2023 г.</w:t>
      </w:r>
    </w:p>
  </w:footnote>
  <w:footnote w:id="8">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OВ L 193, 30.7.2018 г., стр. 1.</w:t>
      </w:r>
    </w:p>
  </w:footnote>
  <w:footnote w:id="9">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ОВ L 295, 21.11.2018 г., стр. 138.</w:t>
      </w:r>
    </w:p>
  </w:footnote>
  <w:footnote w:id="10">
    <w:p w:rsidR="00B36FFD" w:rsidRPr="00987852" w:rsidRDefault="00B36FFD" w:rsidP="00987852">
      <w:pPr>
        <w:pStyle w:val="FootnoteText"/>
        <w:ind w:left="567" w:hanging="567"/>
        <w:rPr>
          <w:sz w:val="24"/>
          <w:szCs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ОВ L 122, 10.5.2019 г., стр. 1.</w:t>
      </w:r>
    </w:p>
  </w:footnote>
  <w:footnote w:id="11">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ОВ C 38, 31.1.2023 г</w:t>
      </w:r>
      <w:r w:rsidR="00140BC4">
        <w:rPr>
          <w:sz w:val="24"/>
          <w:lang w:val="bg-BG"/>
        </w:rPr>
        <w:t>.</w:t>
      </w:r>
      <w:r w:rsidRPr="00987852">
        <w:rPr>
          <w:sz w:val="24"/>
          <w:lang w:val="bg-BG"/>
        </w:rPr>
        <w:t>, стр. 194.</w:t>
      </w:r>
    </w:p>
  </w:footnote>
  <w:footnote w:id="12">
    <w:p w:rsidR="0035698B" w:rsidRPr="00227D0D" w:rsidRDefault="0035698B" w:rsidP="00227D0D">
      <w:pPr>
        <w:pStyle w:val="FootnoteText"/>
        <w:ind w:left="567" w:hanging="567"/>
        <w:rPr>
          <w:sz w:val="24"/>
          <w:szCs w:val="24"/>
          <w:lang w:val="bg-BG"/>
        </w:rPr>
      </w:pPr>
      <w:r w:rsidRPr="00227D0D">
        <w:rPr>
          <w:rStyle w:val="FootnoteReference"/>
          <w:sz w:val="24"/>
          <w:szCs w:val="24"/>
        </w:rPr>
        <w:footnoteRef/>
      </w:r>
      <w:r w:rsidRPr="00227D0D">
        <w:rPr>
          <w:sz w:val="24"/>
          <w:szCs w:val="24"/>
        </w:rPr>
        <w:t xml:space="preserve"> </w:t>
      </w:r>
      <w:r w:rsidRPr="00227D0D">
        <w:rPr>
          <w:sz w:val="24"/>
          <w:szCs w:val="24"/>
          <w:lang w:val="bg-BG"/>
        </w:rPr>
        <w:tab/>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w:t>
      </w:r>
      <w:r>
        <w:rPr>
          <w:sz w:val="24"/>
          <w:szCs w:val="24"/>
          <w:lang w:val="bg-BG"/>
        </w:rPr>
        <w:t> </w:t>
      </w:r>
      <w:r w:rsidRPr="00227D0D">
        <w:rPr>
          <w:sz w:val="24"/>
          <w:szCs w:val="24"/>
          <w:lang w:val="bg-BG"/>
        </w:rPr>
        <w:t>г., стр. 39).</w:t>
      </w:r>
    </w:p>
  </w:footnote>
  <w:footnote w:id="13">
    <w:p w:rsidR="00B36FFD" w:rsidRPr="00987852" w:rsidRDefault="00B36FFD" w:rsidP="00987852">
      <w:pPr>
        <w:pStyle w:val="FootnoteText"/>
        <w:ind w:left="567" w:hanging="567"/>
        <w:rPr>
          <w:sz w:val="24"/>
          <w:lang w:val="bg-BG"/>
        </w:rPr>
      </w:pPr>
      <w:r w:rsidRPr="00987852">
        <w:rPr>
          <w:rStyle w:val="FootnoteReference"/>
          <w:sz w:val="24"/>
          <w:lang w:val="bg-BG"/>
        </w:rPr>
        <w:footnoteRef/>
      </w:r>
      <w:r w:rsidR="00987852" w:rsidRPr="00987852">
        <w:rPr>
          <w:sz w:val="24"/>
          <w:lang w:val="bg-BG"/>
        </w:rPr>
        <w:t xml:space="preserve"> </w:t>
      </w:r>
      <w:r w:rsidR="00987852" w:rsidRPr="00987852">
        <w:rPr>
          <w:sz w:val="24"/>
          <w:lang w:val="bg-BG"/>
        </w:rPr>
        <w:tab/>
      </w:r>
      <w:r w:rsidRPr="00987852">
        <w:rPr>
          <w:sz w:val="24"/>
          <w:lang w:val="bg-BG"/>
        </w:rPr>
        <w:t>Приети текстове, P9_TA(2024)</w:t>
      </w:r>
      <w:r w:rsidR="004230B3" w:rsidRPr="00635445">
        <w:rPr>
          <w:sz w:val="24"/>
          <w:lang w:val="bg-BG"/>
        </w:rPr>
        <w:t>0</w:t>
      </w:r>
      <w:r w:rsidR="004230B3">
        <w:rPr>
          <w:sz w:val="24"/>
          <w:lang w:val="en-GB"/>
        </w:rPr>
        <w:t>28</w:t>
      </w:r>
      <w:r w:rsidR="004230B3" w:rsidRPr="00635445">
        <w:rPr>
          <w:sz w:val="24"/>
          <w:lang w:val="bg-BG"/>
        </w:rPr>
        <w:t>0</w:t>
      </w:r>
      <w:r w:rsidRPr="00987852">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85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85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8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BG"/>
    <w:docVar w:name="dvnumam" w:val="0"/>
    <w:docVar w:name="dvpe" w:val="753.539"/>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на Европейския съюз за сътрудничество в областта на наказателното правосъдие (Евроюст) за финансовата 2022 година(2023/2168(DEC))"/>
  </w:docVars>
  <w:rsids>
    <w:rsidRoot w:val="00A9390D"/>
    <w:rsid w:val="00002272"/>
    <w:rsid w:val="00064002"/>
    <w:rsid w:val="000677B9"/>
    <w:rsid w:val="000831BA"/>
    <w:rsid w:val="000A42CC"/>
    <w:rsid w:val="000E7DD9"/>
    <w:rsid w:val="0010095E"/>
    <w:rsid w:val="00125B37"/>
    <w:rsid w:val="00140BC4"/>
    <w:rsid w:val="00187494"/>
    <w:rsid w:val="001F32AE"/>
    <w:rsid w:val="00227D0D"/>
    <w:rsid w:val="002767FF"/>
    <w:rsid w:val="002B18FE"/>
    <w:rsid w:val="002B5493"/>
    <w:rsid w:val="00343214"/>
    <w:rsid w:val="0035698B"/>
    <w:rsid w:val="00361C00"/>
    <w:rsid w:val="00395FA1"/>
    <w:rsid w:val="003E15D4"/>
    <w:rsid w:val="00411CCE"/>
    <w:rsid w:val="0041666E"/>
    <w:rsid w:val="00421060"/>
    <w:rsid w:val="004230B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852"/>
    <w:rsid w:val="00A1687D"/>
    <w:rsid w:val="00A43E52"/>
    <w:rsid w:val="00A4678D"/>
    <w:rsid w:val="00A778C7"/>
    <w:rsid w:val="00A9390D"/>
    <w:rsid w:val="00AB441E"/>
    <w:rsid w:val="00AB6293"/>
    <w:rsid w:val="00AE0928"/>
    <w:rsid w:val="00AF3B82"/>
    <w:rsid w:val="00B12E95"/>
    <w:rsid w:val="00B22876"/>
    <w:rsid w:val="00B36FFD"/>
    <w:rsid w:val="00B558F0"/>
    <w:rsid w:val="00BD48FE"/>
    <w:rsid w:val="00BD7BD8"/>
    <w:rsid w:val="00BE6ADC"/>
    <w:rsid w:val="00C05BFE"/>
    <w:rsid w:val="00C23CD4"/>
    <w:rsid w:val="00C61C0C"/>
    <w:rsid w:val="00C61E4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34816"/>
  <w15:chartTrackingRefBased/>
  <w15:docId w15:val="{6A652A30-90F7-4675-8C12-45ECE13BC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6F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6FFD"/>
    <w:pPr>
      <w:spacing w:before="480" w:after="240"/>
    </w:pPr>
  </w:style>
  <w:style w:type="paragraph" w:customStyle="1" w:styleId="PageHeading">
    <w:name w:val="PageHeading"/>
    <w:basedOn w:val="Normal"/>
    <w:rsid w:val="00B36FFD"/>
    <w:pPr>
      <w:keepNext/>
      <w:spacing w:after="480"/>
      <w:jc w:val="center"/>
    </w:pPr>
    <w:rPr>
      <w:rFonts w:ascii="Arial" w:hAnsi="Arial" w:cs="Arial"/>
      <w:b/>
    </w:rPr>
  </w:style>
  <w:style w:type="paragraph" w:customStyle="1" w:styleId="NormalBold">
    <w:name w:val="NormalBold"/>
    <w:basedOn w:val="Normal"/>
    <w:rsid w:val="00B36FFD"/>
    <w:rPr>
      <w:b/>
    </w:rPr>
  </w:style>
  <w:style w:type="paragraph" w:customStyle="1" w:styleId="NormalHanging12a">
    <w:name w:val="NormalHanging12a"/>
    <w:basedOn w:val="Normal"/>
    <w:link w:val="NormalHanging12aChar"/>
    <w:rsid w:val="00B36FFD"/>
    <w:pPr>
      <w:spacing w:after="240"/>
      <w:ind w:left="567" w:hanging="567"/>
    </w:pPr>
  </w:style>
  <w:style w:type="paragraph" w:customStyle="1" w:styleId="NormalCenter12a">
    <w:name w:val="NormalCenter12a"/>
    <w:basedOn w:val="Normal"/>
    <w:rsid w:val="00B36FFD"/>
    <w:pPr>
      <w:spacing w:after="240"/>
      <w:jc w:val="center"/>
    </w:pPr>
  </w:style>
  <w:style w:type="paragraph" w:styleId="Header">
    <w:name w:val="header"/>
    <w:basedOn w:val="Normal"/>
    <w:link w:val="HeaderChar"/>
    <w:rsid w:val="00B36FFD"/>
    <w:pPr>
      <w:tabs>
        <w:tab w:val="center" w:pos="4513"/>
        <w:tab w:val="right" w:pos="9026"/>
      </w:tabs>
    </w:pPr>
  </w:style>
  <w:style w:type="character" w:customStyle="1" w:styleId="HeaderChar">
    <w:name w:val="Header Char"/>
    <w:basedOn w:val="DefaultParagraphFont"/>
    <w:link w:val="Header"/>
    <w:rsid w:val="00B36FFD"/>
    <w:rPr>
      <w:sz w:val="24"/>
      <w:lang w:val="bg-BG"/>
    </w:rPr>
  </w:style>
  <w:style w:type="paragraph" w:customStyle="1" w:styleId="EPFooter">
    <w:name w:val="EPFooter"/>
    <w:basedOn w:val="Normal"/>
    <w:rsid w:val="00B36FF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36FFD"/>
    <w:rPr>
      <w:sz w:val="24"/>
      <w:lang w:val="bg-BG"/>
    </w:rPr>
  </w:style>
  <w:style w:type="character" w:customStyle="1" w:styleId="Normal12HangingChar">
    <w:name w:val="Normal12Hanging Char"/>
    <w:link w:val="Normal12Hanging"/>
    <w:locked/>
    <w:rsid w:val="00B36FFD"/>
    <w:rPr>
      <w:sz w:val="24"/>
    </w:rPr>
  </w:style>
  <w:style w:type="paragraph" w:customStyle="1" w:styleId="Normal12Hanging">
    <w:name w:val="Normal12Hanging"/>
    <w:basedOn w:val="Normal"/>
    <w:link w:val="Normal12HangingChar"/>
    <w:rsid w:val="00B36FFD"/>
    <w:pPr>
      <w:spacing w:after="240"/>
      <w:ind w:left="567" w:hanging="567"/>
    </w:pPr>
    <w:rPr>
      <w:lang w:val="en-GB"/>
    </w:rPr>
  </w:style>
  <w:style w:type="paragraph" w:styleId="BalloonText">
    <w:name w:val="Balloon Text"/>
    <w:basedOn w:val="Normal"/>
    <w:link w:val="BalloonTextChar"/>
    <w:rsid w:val="00140BC4"/>
    <w:rPr>
      <w:rFonts w:ascii="Segoe UI" w:hAnsi="Segoe UI" w:cs="Segoe UI"/>
      <w:sz w:val="18"/>
      <w:szCs w:val="18"/>
    </w:rPr>
  </w:style>
  <w:style w:type="character" w:customStyle="1" w:styleId="BalloonTextChar">
    <w:name w:val="Balloon Text Char"/>
    <w:basedOn w:val="DefaultParagraphFont"/>
    <w:link w:val="BalloonText"/>
    <w:rsid w:val="00140BC4"/>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B3BA4-FFC3-4A37-8414-664C1F57F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4928</Words>
  <Characters>28597</Characters>
  <Application>Microsoft Office Word</Application>
  <DocSecurity>0</DocSecurity>
  <Lines>238</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2024-04-11T10:53:00Z</dcterms:created>
  <dcterms:modified xsi:type="dcterms:W3CDTF">2024-04-11T10:53:00Z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A9-0099/2024</vt:lpwstr>
  </property>
  <property fmtid="{D5CDD505-2E9C-101B-9397-08002B2CF9AE}" pid="4" name="&lt;Type&gt;">
    <vt:lpwstr>RR</vt:lpwstr>
  </property>
</Properties>
</file>