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866E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866EF" w:rsidRDefault="00465C72" w:rsidP="0010095E">
            <w:pPr>
              <w:pStyle w:val="EPName"/>
            </w:pPr>
            <w:r w:rsidRPr="00A866EF">
              <w:t>Evropský parlament</w:t>
            </w:r>
          </w:p>
          <w:p w:rsidR="00751A4A" w:rsidRPr="00A866E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866E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866EF" w:rsidRDefault="00187494" w:rsidP="0010095E">
            <w:pPr>
              <w:pStyle w:val="EPLogo"/>
            </w:pPr>
            <w:r w:rsidRPr="00A866E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866EF" w:rsidRDefault="00D058B8" w:rsidP="004C5D52">
      <w:pPr>
        <w:pStyle w:val="LineTop"/>
      </w:pPr>
    </w:p>
    <w:p w:rsidR="00680577" w:rsidRPr="00A866EF" w:rsidRDefault="00465C72" w:rsidP="00680577">
      <w:pPr>
        <w:pStyle w:val="EPBodyTA1"/>
      </w:pPr>
      <w:r w:rsidRPr="00A866EF">
        <w:t>PŘIJATÉ TEXTY</w:t>
      </w:r>
    </w:p>
    <w:p w:rsidR="00D058B8" w:rsidRPr="00A866EF" w:rsidRDefault="00D058B8" w:rsidP="00D058B8">
      <w:pPr>
        <w:pStyle w:val="LineBottom"/>
      </w:pPr>
    </w:p>
    <w:p w:rsidR="00465C72" w:rsidRPr="00A866EF" w:rsidRDefault="00465C72" w:rsidP="00465C72">
      <w:pPr>
        <w:pStyle w:val="ATHeading1"/>
      </w:pPr>
      <w:bookmarkStart w:id="0" w:name="TANumber"/>
      <w:r w:rsidRPr="00A866EF">
        <w:t>P9_TA(2024)0</w:t>
      </w:r>
      <w:r w:rsidR="00E2190A">
        <w:t>246</w:t>
      </w:r>
      <w:bookmarkEnd w:id="0"/>
    </w:p>
    <w:p w:rsidR="00465C72" w:rsidRPr="00A866EF" w:rsidRDefault="00465C72" w:rsidP="00465C72">
      <w:pPr>
        <w:pStyle w:val="ATHeading2"/>
      </w:pPr>
      <w:bookmarkStart w:id="1" w:name="title"/>
      <w:r w:rsidRPr="00A866EF">
        <w:t>Udělení absolutoria za rok 2022: Agentura Evropské unie pro justiční spolupráci v trestních věcech (</w:t>
      </w:r>
      <w:proofErr w:type="spellStart"/>
      <w:r w:rsidRPr="00A866EF">
        <w:t>Eurojust</w:t>
      </w:r>
      <w:proofErr w:type="spellEnd"/>
      <w:r w:rsidRPr="00A866EF">
        <w:t>)</w:t>
      </w:r>
      <w:bookmarkEnd w:id="1"/>
    </w:p>
    <w:p w:rsidR="00465C72" w:rsidRPr="00A866EF" w:rsidRDefault="00465C72" w:rsidP="00465C72">
      <w:pPr>
        <w:rPr>
          <w:i/>
          <w:vanish/>
        </w:rPr>
      </w:pPr>
      <w:r w:rsidRPr="00A866EF">
        <w:rPr>
          <w:i/>
        </w:rPr>
        <w:fldChar w:fldCharType="begin"/>
      </w:r>
      <w:r w:rsidRPr="00A866EF">
        <w:rPr>
          <w:i/>
        </w:rPr>
        <w:instrText xml:space="preserve"> TC"(</w:instrText>
      </w:r>
      <w:bookmarkStart w:id="2" w:name="DocNumber"/>
      <w:r w:rsidRPr="00A866EF">
        <w:rPr>
          <w:i/>
        </w:rPr>
        <w:instrText>A9-0099/2024</w:instrText>
      </w:r>
      <w:bookmarkEnd w:id="2"/>
      <w:r w:rsidRPr="00A866EF">
        <w:rPr>
          <w:i/>
        </w:rPr>
        <w:instrText xml:space="preserve"> - Zpravodaj: </w:instrText>
      </w:r>
      <w:proofErr w:type="spellStart"/>
      <w:r w:rsidRPr="00A866EF">
        <w:rPr>
          <w:i/>
        </w:rPr>
        <w:instrText>Petri</w:instrText>
      </w:r>
      <w:proofErr w:type="spellEnd"/>
      <w:r w:rsidRPr="00A866EF">
        <w:rPr>
          <w:i/>
        </w:rPr>
        <w:instrText xml:space="preserve"> </w:instrText>
      </w:r>
      <w:proofErr w:type="spellStart"/>
      <w:r w:rsidRPr="00A866EF">
        <w:rPr>
          <w:i/>
        </w:rPr>
        <w:instrText>Sarvamaa</w:instrText>
      </w:r>
      <w:proofErr w:type="spellEnd"/>
      <w:r w:rsidRPr="00A866EF">
        <w:rPr>
          <w:i/>
        </w:rPr>
        <w:instrText xml:space="preserve">)"\l3 \n&gt; \* MERGEFORMAT </w:instrText>
      </w:r>
      <w:r w:rsidRPr="00A866EF">
        <w:rPr>
          <w:i/>
        </w:rPr>
        <w:fldChar w:fldCharType="end"/>
      </w:r>
    </w:p>
    <w:p w:rsidR="00465C72" w:rsidRPr="00A866EF" w:rsidRDefault="00465C72" w:rsidP="00465C72">
      <w:pPr>
        <w:rPr>
          <w:vanish/>
        </w:rPr>
      </w:pPr>
      <w:bookmarkStart w:id="3" w:name="Commission"/>
      <w:r w:rsidRPr="00A866EF">
        <w:rPr>
          <w:vanish/>
        </w:rPr>
        <w:t>Výbor pro rozpočtovou kontrolu</w:t>
      </w:r>
      <w:bookmarkEnd w:id="3"/>
    </w:p>
    <w:p w:rsidR="00465C72" w:rsidRPr="00A866EF" w:rsidRDefault="00465C72" w:rsidP="00465C72">
      <w:pPr>
        <w:rPr>
          <w:vanish/>
        </w:rPr>
      </w:pPr>
      <w:bookmarkStart w:id="4" w:name="PE"/>
      <w:r w:rsidRPr="00A866EF">
        <w:rPr>
          <w:vanish/>
        </w:rPr>
        <w:t>PE753.539</w:t>
      </w:r>
      <w:bookmarkEnd w:id="4"/>
    </w:p>
    <w:p w:rsidR="00465C72" w:rsidRPr="00A866EF" w:rsidRDefault="00465C72" w:rsidP="00465C72">
      <w:pPr>
        <w:pStyle w:val="ATHeading3"/>
      </w:pPr>
      <w:bookmarkStart w:id="5" w:name="Sujet"/>
      <w:r w:rsidRPr="00A866EF">
        <w:t xml:space="preserve">1. Rozhodnutí </w:t>
      </w:r>
      <w:r w:rsidR="00757C5F">
        <w:t>Evropského parlamentu ze dne 11. dubna</w:t>
      </w:r>
      <w:r w:rsidRPr="00A866EF">
        <w:t xml:space="preserve"> 2024 o udělení absolutoria za plnění rozpočtu Agentury Evropské unie pro justiční spolupráci v trestních věcech (</w:t>
      </w:r>
      <w:proofErr w:type="spellStart"/>
      <w:r w:rsidRPr="00A866EF">
        <w:t>Eurojust</w:t>
      </w:r>
      <w:proofErr w:type="spellEnd"/>
      <w:r w:rsidRPr="00A866EF">
        <w:t>) na rozpočtový rok 2022</w:t>
      </w:r>
      <w:bookmarkEnd w:id="5"/>
      <w:r w:rsidRPr="00A866EF">
        <w:t xml:space="preserve"> </w:t>
      </w:r>
      <w:bookmarkStart w:id="6" w:name="References"/>
      <w:r w:rsidRPr="00A866EF">
        <w:t>(2023/2168(DEC))</w:t>
      </w:r>
      <w:bookmarkEnd w:id="6"/>
    </w:p>
    <w:p w:rsidR="005044F1" w:rsidRPr="00A866EF" w:rsidRDefault="005044F1" w:rsidP="005044F1">
      <w:pPr>
        <w:pStyle w:val="EPComma"/>
      </w:pPr>
      <w:bookmarkStart w:id="7" w:name="TextBodyBegin"/>
      <w:bookmarkEnd w:id="7"/>
      <w:r w:rsidRPr="00A866EF">
        <w:rPr>
          <w:i/>
        </w:rPr>
        <w:t>Evropský parlament</w:t>
      </w:r>
      <w:r w:rsidRPr="00A866EF">
        <w:t>,</w:t>
      </w:r>
    </w:p>
    <w:p w:rsidR="005044F1" w:rsidRPr="00A866EF" w:rsidRDefault="005044F1" w:rsidP="005044F1">
      <w:pPr>
        <w:pStyle w:val="NormalHanging12a"/>
      </w:pPr>
      <w:r w:rsidRPr="00A866EF">
        <w:t>–</w:t>
      </w:r>
      <w:r w:rsidRPr="00A866EF">
        <w:tab/>
        <w:t>s ohledem na konečnou roční účetní závěrku Agentury Evropské unie pro justiční spolupráci v trestních věcech (</w:t>
      </w:r>
      <w:proofErr w:type="spellStart"/>
      <w:r w:rsidRPr="00A866EF">
        <w:t>Eurojust</w:t>
      </w:r>
      <w:proofErr w:type="spellEnd"/>
      <w:r w:rsidRPr="00A866EF">
        <w:t>) za rozpočtový rok 2022,</w:t>
      </w:r>
    </w:p>
    <w:p w:rsidR="005044F1" w:rsidRPr="00A866EF" w:rsidRDefault="005044F1" w:rsidP="005044F1">
      <w:pPr>
        <w:pStyle w:val="NormalHanging12a"/>
      </w:pPr>
      <w:r w:rsidRPr="00A866EF">
        <w:t>–</w:t>
      </w:r>
      <w:r w:rsidRPr="00A866EF">
        <w:tab/>
        <w:t>s ohledem na výroční zprávu Účetního dvora o agenturách EU za rozpočtový rok 2022 spolu s odpověďmi agentur</w:t>
      </w:r>
      <w:r w:rsidRPr="00A866EF">
        <w:rPr>
          <w:rStyle w:val="FootnoteReference"/>
        </w:rPr>
        <w:footnoteReference w:id="1"/>
      </w:r>
      <w:r w:rsidRPr="00A866EF">
        <w:t>,</w:t>
      </w:r>
    </w:p>
    <w:p w:rsidR="005044F1" w:rsidRPr="00A866EF" w:rsidRDefault="005044F1" w:rsidP="005044F1">
      <w:pPr>
        <w:pStyle w:val="NormalHanging12a"/>
      </w:pPr>
      <w:r w:rsidRPr="00A866EF">
        <w:t>–</w:t>
      </w:r>
      <w:r w:rsidRPr="00A866EF">
        <w:tab/>
        <w:t>s ohledem na prohlášení o věrohodnosti</w:t>
      </w:r>
      <w:r w:rsidRPr="00A866EF">
        <w:rPr>
          <w:rStyle w:val="FootnoteReference"/>
        </w:rPr>
        <w:footnoteReference w:id="2"/>
      </w:r>
      <w:r w:rsidRPr="00A866EF">
        <w:t xml:space="preserve"> účetnictví a o legalitě a správnosti uskutečněných operací, které předložil Účetní dvůr za rozpočtový rok 2022 podle článku 287 Smlouvy o fungování Evropské unie,</w:t>
      </w:r>
    </w:p>
    <w:p w:rsidR="005044F1" w:rsidRPr="00A866EF" w:rsidRDefault="005044F1" w:rsidP="005044F1">
      <w:pPr>
        <w:pStyle w:val="NormalHanging12a"/>
      </w:pPr>
      <w:r w:rsidRPr="00A866EF">
        <w:t>–</w:t>
      </w:r>
      <w:r w:rsidRPr="00A866EF">
        <w:tab/>
        <w:t>s ohledem na doporučení Rady ze dne 22. února 2024 o udělení absolutoria agentuře za plnění rozpočtu na rozpočtový rok 2022 (0</w:t>
      </w:r>
      <w:r w:rsidR="001A01D2">
        <w:t>6180</w:t>
      </w:r>
      <w:r w:rsidRPr="00A866EF">
        <w:t>/2024 – C9</w:t>
      </w:r>
      <w:r w:rsidRPr="00A866EF">
        <w:noBreakHyphen/>
        <w:t>0</w:t>
      </w:r>
      <w:r w:rsidR="001A01D2">
        <w:t>106</w:t>
      </w:r>
      <w:r w:rsidRPr="00A866EF">
        <w:t>/2024),</w:t>
      </w:r>
    </w:p>
    <w:p w:rsidR="005044F1" w:rsidRPr="00A866EF" w:rsidRDefault="005044F1" w:rsidP="005044F1">
      <w:pPr>
        <w:pStyle w:val="NormalHanging12a"/>
      </w:pPr>
      <w:r w:rsidRPr="00A866EF">
        <w:t>–</w:t>
      </w:r>
      <w:r w:rsidRPr="00A866EF">
        <w:tab/>
        <w:t>s ohledem na článek 319 Smlouvy o fungování Evropské unie,</w:t>
      </w:r>
    </w:p>
    <w:p w:rsidR="005044F1" w:rsidRPr="00A866EF" w:rsidRDefault="005044F1" w:rsidP="005044F1">
      <w:pPr>
        <w:pStyle w:val="NormalHanging12a"/>
      </w:pPr>
      <w:r w:rsidRPr="00A866EF">
        <w:t>–</w:t>
      </w:r>
      <w:r w:rsidRPr="00A866EF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</w:t>
      </w:r>
      <w:r w:rsidR="00757C5F">
        <w:t>/2014 a rozhodnutí č. 541/2014/</w:t>
      </w:r>
      <w:r w:rsidRPr="00A866EF">
        <w:t>EU a zrušuje nařízení (EU, Euratom) č. 966/2012</w:t>
      </w:r>
      <w:r w:rsidRPr="00A866EF">
        <w:rPr>
          <w:rStyle w:val="FootnoteReference"/>
        </w:rPr>
        <w:footnoteReference w:id="3"/>
      </w:r>
      <w:r w:rsidRPr="00A866EF">
        <w:t>, a zejména článek 70 tohoto nařízení,</w:t>
      </w:r>
    </w:p>
    <w:p w:rsidR="005044F1" w:rsidRPr="00A866EF" w:rsidRDefault="005044F1" w:rsidP="005044F1">
      <w:pPr>
        <w:pStyle w:val="NormalHanging12a"/>
      </w:pPr>
      <w:r w:rsidRPr="00A866EF">
        <w:t>–</w:t>
      </w:r>
      <w:r w:rsidRPr="00A866EF">
        <w:tab/>
        <w:t xml:space="preserve">s ohledem na nařízení Evropského parlamentu a Rady (EU) 2018/1727 ze dne 14. listopadu 2018 o Agentuře Evropské unie pro justiční spolupráci v trestních věcech </w:t>
      </w:r>
      <w:r w:rsidRPr="00A866EF">
        <w:lastRenderedPageBreak/>
        <w:t>(</w:t>
      </w:r>
      <w:proofErr w:type="spellStart"/>
      <w:r w:rsidRPr="00A866EF">
        <w:t>Eurojust</w:t>
      </w:r>
      <w:proofErr w:type="spellEnd"/>
      <w:r w:rsidRPr="00A866EF">
        <w:t>) a o nahrazení a zrušení rozhodnutí Rady 2002/187/SVV</w:t>
      </w:r>
      <w:r w:rsidRPr="00A866EF">
        <w:rPr>
          <w:rStyle w:val="FootnoteReference"/>
        </w:rPr>
        <w:footnoteReference w:id="4"/>
      </w:r>
      <w:r w:rsidRPr="00A866EF">
        <w:t>, a zejména na článek 63 tohoto nařízení,</w:t>
      </w:r>
    </w:p>
    <w:p w:rsidR="005044F1" w:rsidRPr="00A866EF" w:rsidRDefault="005044F1" w:rsidP="005044F1">
      <w:pPr>
        <w:pStyle w:val="NormalHanging12a"/>
      </w:pPr>
      <w:r w:rsidRPr="00A866EF">
        <w:t>–</w:t>
      </w:r>
      <w:r w:rsidRPr="00A866EF">
        <w:tab/>
        <w:t xml:space="preserve">s ohledem na nařízení Komise v přenesené pravomoci (EU) 2019/715 ze dne 18. prosince 2018 o rámcovém finančním nařízení pro subjekty zřízené podle </w:t>
      </w:r>
      <w:r w:rsidR="00AD4C21" w:rsidRPr="00AD4C21">
        <w:t>Smlouvy o fungování Evropské unie</w:t>
      </w:r>
      <w:r w:rsidRPr="00A866EF">
        <w:t xml:space="preserve"> a Smlouvy o Euratomu a uvedené v článku 70 nařízení Evropského parlamentu a Rady (EU, Euratom) 2018/1046</w:t>
      </w:r>
      <w:r w:rsidRPr="00A866EF">
        <w:rPr>
          <w:rStyle w:val="FootnoteReference"/>
        </w:rPr>
        <w:footnoteReference w:id="5"/>
      </w:r>
      <w:r w:rsidRPr="00A866EF">
        <w:t>, a zejména na článek 105 tohoto nařízení,</w:t>
      </w:r>
    </w:p>
    <w:p w:rsidR="005044F1" w:rsidRPr="00A866EF" w:rsidRDefault="005044F1" w:rsidP="005044F1">
      <w:pPr>
        <w:pStyle w:val="NormalHanging12a"/>
      </w:pPr>
      <w:r w:rsidRPr="00A866EF">
        <w:t>–</w:t>
      </w:r>
      <w:r w:rsidRPr="00A866EF">
        <w:tab/>
        <w:t>s ohledem na článek 100 a přílohu V jednacího řádu,</w:t>
      </w:r>
    </w:p>
    <w:p w:rsidR="005044F1" w:rsidRPr="00A866EF" w:rsidRDefault="005044F1" w:rsidP="005044F1">
      <w:pPr>
        <w:pStyle w:val="NormalHanging12a"/>
      </w:pPr>
      <w:r w:rsidRPr="00A866EF">
        <w:t>–</w:t>
      </w:r>
      <w:r w:rsidRPr="00A866EF">
        <w:tab/>
        <w:t>s ohledem na stanovisko Výboru pro občanské svobody, spravedlnost a vnitřní věci,</w:t>
      </w:r>
    </w:p>
    <w:p w:rsidR="005044F1" w:rsidRPr="00A866EF" w:rsidRDefault="005044F1" w:rsidP="005044F1">
      <w:pPr>
        <w:pStyle w:val="NormalHanging12a"/>
      </w:pPr>
      <w:r w:rsidRPr="00A866EF">
        <w:t>–</w:t>
      </w:r>
      <w:r w:rsidRPr="00A866EF">
        <w:tab/>
        <w:t>s ohledem na zprávu Výboru pro rozpočtovou kontrolu (A9</w:t>
      </w:r>
      <w:r w:rsidRPr="00A866EF">
        <w:noBreakHyphen/>
        <w:t>0099/2024),</w:t>
      </w:r>
    </w:p>
    <w:p w:rsidR="005044F1" w:rsidRPr="00A866EF" w:rsidRDefault="005044F1" w:rsidP="005044F1">
      <w:pPr>
        <w:pStyle w:val="NormalHanging12a"/>
      </w:pPr>
      <w:r w:rsidRPr="00A866EF">
        <w:t>1.</w:t>
      </w:r>
      <w:r w:rsidRPr="00A866EF">
        <w:tab/>
        <w:t>uděluje absolutorium správnímu řediteli Agentury Evropské unie pro justiční spolupráci v trestních věcech (</w:t>
      </w:r>
      <w:proofErr w:type="spellStart"/>
      <w:r w:rsidRPr="00A866EF">
        <w:t>Eurojust</w:t>
      </w:r>
      <w:proofErr w:type="spellEnd"/>
      <w:r w:rsidRPr="00A866EF">
        <w:t>) za plnění rozpočtu agentury na rozpočtový rok 2022;</w:t>
      </w:r>
    </w:p>
    <w:p w:rsidR="005044F1" w:rsidRPr="00A866EF" w:rsidRDefault="005044F1" w:rsidP="005044F1">
      <w:pPr>
        <w:pStyle w:val="NormalHanging12a"/>
      </w:pPr>
      <w:r w:rsidRPr="00A866EF">
        <w:t>2.</w:t>
      </w:r>
      <w:r w:rsidRPr="00A866EF">
        <w:tab/>
        <w:t>předkládá své připomínky v níže uvedeném usnesení;</w:t>
      </w:r>
    </w:p>
    <w:p w:rsidR="005044F1" w:rsidRPr="00A866EF" w:rsidRDefault="005044F1" w:rsidP="005044F1">
      <w:pPr>
        <w:pStyle w:val="NormalHanging12a"/>
      </w:pPr>
      <w:r w:rsidRPr="00A866EF">
        <w:t>3.</w:t>
      </w:r>
      <w:r w:rsidRPr="00A866EF">
        <w:tab/>
        <w:t>pověřuje svou předsedkyni, aby předala toto rozhodnutí a usnesení, které je jeho nedílnou součástí, správnímu řediteli Agentury Evropské unie pro justiční spolupráci v trestních věcech (</w:t>
      </w:r>
      <w:proofErr w:type="spellStart"/>
      <w:r w:rsidRPr="00A866EF">
        <w:t>Eurojust</w:t>
      </w:r>
      <w:proofErr w:type="spellEnd"/>
      <w:r w:rsidRPr="00A866EF">
        <w:t xml:space="preserve">), Radě, Komisi a Účetnímu dvoru a aby zajistila jejich zveřejnění v </w:t>
      </w:r>
      <w:r w:rsidRPr="00A866EF">
        <w:rPr>
          <w:i/>
        </w:rPr>
        <w:t>Úředním věstníku Evropské unie</w:t>
      </w:r>
      <w:r w:rsidRPr="00A866EF">
        <w:t xml:space="preserve"> (řada L).</w:t>
      </w:r>
    </w:p>
    <w:p w:rsidR="005044F1" w:rsidRPr="00A866EF" w:rsidRDefault="005044F1" w:rsidP="005044F1"/>
    <w:p w:rsidR="005044F1" w:rsidRPr="00A866EF" w:rsidRDefault="005044F1" w:rsidP="005044F1">
      <w:pPr>
        <w:widowControl/>
        <w:rPr>
          <w:rFonts w:ascii="Arial" w:hAnsi="Arial" w:cs="Arial"/>
          <w:b/>
        </w:rPr>
        <w:sectPr w:rsidR="005044F1" w:rsidRPr="00A866EF" w:rsidSect="00A866EF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5044F1" w:rsidRPr="00757C5F" w:rsidRDefault="005044F1" w:rsidP="00757C5F">
      <w:pPr>
        <w:pStyle w:val="PageHeading"/>
        <w:jc w:val="left"/>
        <w:rPr>
          <w:rFonts w:ascii="Times New Roman" w:hAnsi="Times New Roman" w:cs="Times New Roman"/>
        </w:rPr>
      </w:pPr>
      <w:bookmarkStart w:id="8" w:name="_Toc146794380"/>
      <w:bookmarkStart w:id="9" w:name="_Toc161844478"/>
      <w:r w:rsidRPr="00757C5F">
        <w:rPr>
          <w:rFonts w:ascii="Times New Roman" w:hAnsi="Times New Roman" w:cs="Times New Roman"/>
        </w:rPr>
        <w:lastRenderedPageBreak/>
        <w:t xml:space="preserve">2. </w:t>
      </w:r>
      <w:r w:rsidR="00757C5F">
        <w:rPr>
          <w:rFonts w:ascii="Times New Roman" w:hAnsi="Times New Roman" w:cs="Times New Roman"/>
        </w:rPr>
        <w:t>Rozhodnutí E</w:t>
      </w:r>
      <w:r w:rsidR="00757C5F" w:rsidRPr="00757C5F">
        <w:rPr>
          <w:rFonts w:ascii="Times New Roman" w:hAnsi="Times New Roman" w:cs="Times New Roman"/>
        </w:rPr>
        <w:t>vropského parlamentu</w:t>
      </w:r>
      <w:bookmarkEnd w:id="8"/>
      <w:bookmarkEnd w:id="9"/>
      <w:r w:rsidR="00757C5F" w:rsidRPr="00757C5F">
        <w:rPr>
          <w:rFonts w:ascii="Times New Roman" w:hAnsi="Times New Roman" w:cs="Times New Roman"/>
        </w:rPr>
        <w:t xml:space="preserve"> ze dne 11. dubna 2024 </w:t>
      </w:r>
      <w:r w:rsidRPr="00757C5F">
        <w:rPr>
          <w:rFonts w:ascii="Times New Roman" w:hAnsi="Times New Roman" w:cs="Times New Roman"/>
        </w:rPr>
        <w:t>o uzavření účtů Agentury Evropské unie pro justiční spolupráci v trestních věcech (</w:t>
      </w:r>
      <w:proofErr w:type="spellStart"/>
      <w:r w:rsidRPr="00757C5F">
        <w:rPr>
          <w:rFonts w:ascii="Times New Roman" w:hAnsi="Times New Roman" w:cs="Times New Roman"/>
        </w:rPr>
        <w:t>Eurojust</w:t>
      </w:r>
      <w:proofErr w:type="spellEnd"/>
      <w:r w:rsidRPr="00757C5F">
        <w:rPr>
          <w:rFonts w:ascii="Times New Roman" w:hAnsi="Times New Roman" w:cs="Times New Roman"/>
        </w:rPr>
        <w:t>) za rozpočtový rok 2022</w:t>
      </w:r>
      <w:r w:rsidR="00757C5F" w:rsidRPr="00757C5F">
        <w:rPr>
          <w:rFonts w:ascii="Times New Roman" w:hAnsi="Times New Roman" w:cs="Times New Roman"/>
        </w:rPr>
        <w:t xml:space="preserve"> </w:t>
      </w:r>
      <w:r w:rsidRPr="00757C5F">
        <w:rPr>
          <w:rFonts w:ascii="Times New Roman" w:hAnsi="Times New Roman" w:cs="Times New Roman"/>
        </w:rPr>
        <w:t>(2023/2168(DEC))</w:t>
      </w:r>
    </w:p>
    <w:p w:rsidR="005044F1" w:rsidRPr="00A866EF" w:rsidRDefault="005044F1" w:rsidP="005044F1">
      <w:pPr>
        <w:pStyle w:val="EPComma"/>
      </w:pPr>
      <w:r w:rsidRPr="00A866EF">
        <w:rPr>
          <w:i/>
        </w:rPr>
        <w:t>Evropský parlament</w:t>
      </w:r>
      <w:r w:rsidRPr="00A866EF">
        <w:t>,</w:t>
      </w:r>
    </w:p>
    <w:p w:rsidR="005044F1" w:rsidRPr="00A866EF" w:rsidRDefault="005044F1" w:rsidP="005044F1">
      <w:pPr>
        <w:pStyle w:val="NormalHanging12a"/>
      </w:pPr>
      <w:r w:rsidRPr="00A866EF">
        <w:t>–</w:t>
      </w:r>
      <w:r w:rsidRPr="00A866EF">
        <w:tab/>
        <w:t>s ohledem na konečnou roční účetní závěrku Agentury Evropské unie pro justiční spolupráci v trestních věcech (</w:t>
      </w:r>
      <w:proofErr w:type="spellStart"/>
      <w:r w:rsidRPr="00A866EF">
        <w:t>Eurojust</w:t>
      </w:r>
      <w:proofErr w:type="spellEnd"/>
      <w:r w:rsidRPr="00A866EF">
        <w:t>) za rozpočtový rok 2022,</w:t>
      </w:r>
    </w:p>
    <w:p w:rsidR="005044F1" w:rsidRPr="00A866EF" w:rsidRDefault="005044F1" w:rsidP="005044F1">
      <w:pPr>
        <w:pStyle w:val="NormalHanging12a"/>
      </w:pPr>
      <w:r w:rsidRPr="00A866EF">
        <w:t>–</w:t>
      </w:r>
      <w:r w:rsidRPr="00A866EF">
        <w:tab/>
        <w:t>s ohledem na výroční zprávu Účetního dvora o agenturách EU za rozpočtový rok 2022 spolu s odpověďmi agentur</w:t>
      </w:r>
      <w:r w:rsidRPr="00A866EF">
        <w:rPr>
          <w:rStyle w:val="FootnoteReference"/>
        </w:rPr>
        <w:footnoteReference w:id="6"/>
      </w:r>
      <w:r w:rsidRPr="00A866EF">
        <w:t>,</w:t>
      </w:r>
    </w:p>
    <w:p w:rsidR="005044F1" w:rsidRPr="00A866EF" w:rsidRDefault="005044F1" w:rsidP="005044F1">
      <w:pPr>
        <w:pStyle w:val="NormalHanging12a"/>
      </w:pPr>
      <w:r w:rsidRPr="00A866EF">
        <w:t>–</w:t>
      </w:r>
      <w:r w:rsidRPr="00A866EF">
        <w:tab/>
        <w:t>s ohledem na prohlášení o věrohodnosti</w:t>
      </w:r>
      <w:r w:rsidRPr="00A866EF">
        <w:rPr>
          <w:rStyle w:val="FootnoteReference"/>
        </w:rPr>
        <w:footnoteReference w:id="7"/>
      </w:r>
      <w:r w:rsidRPr="00A866EF">
        <w:t xml:space="preserve"> účetnictví a o legalitě a správnosti uskutečněných operací, které předložil Účetní dvůr za rozpočtový rok 2022 podle článku 287 Smlouvy o fungování Evropské unie,</w:t>
      </w:r>
    </w:p>
    <w:p w:rsidR="005044F1" w:rsidRPr="00A866EF" w:rsidRDefault="005044F1" w:rsidP="005044F1">
      <w:pPr>
        <w:pStyle w:val="NormalHanging12a"/>
      </w:pPr>
      <w:r w:rsidRPr="00A866EF">
        <w:t>–</w:t>
      </w:r>
      <w:r w:rsidRPr="00A866EF">
        <w:tab/>
        <w:t>s ohledem na doporučení Rady ze dne 22. února 2024 o udělení absolutoria agentuře za plnění rozpočtu na rozpočtový rok 2022 (0</w:t>
      </w:r>
      <w:r w:rsidR="001A01D2">
        <w:t>6180</w:t>
      </w:r>
      <w:r w:rsidRPr="00A866EF">
        <w:t>/2024 – C9</w:t>
      </w:r>
      <w:r w:rsidRPr="00A866EF">
        <w:noBreakHyphen/>
        <w:t>0</w:t>
      </w:r>
      <w:r w:rsidR="001A01D2">
        <w:t>106</w:t>
      </w:r>
      <w:r w:rsidRPr="00A866EF">
        <w:t>/2024),</w:t>
      </w:r>
    </w:p>
    <w:p w:rsidR="005044F1" w:rsidRPr="00A866EF" w:rsidRDefault="005044F1" w:rsidP="005044F1">
      <w:pPr>
        <w:pStyle w:val="NormalHanging12a"/>
      </w:pPr>
      <w:r w:rsidRPr="00A866EF">
        <w:t>–</w:t>
      </w:r>
      <w:r w:rsidRPr="00A866EF">
        <w:tab/>
        <w:t>s ohledem na článek 319 Smlouvy o fungování Evropské unie,</w:t>
      </w:r>
    </w:p>
    <w:p w:rsidR="005044F1" w:rsidRPr="00A866EF" w:rsidRDefault="005044F1" w:rsidP="005044F1">
      <w:pPr>
        <w:pStyle w:val="NormalHanging12a"/>
      </w:pPr>
      <w:r w:rsidRPr="00A866EF">
        <w:t>–</w:t>
      </w:r>
      <w:r w:rsidRPr="00A866EF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</w:t>
      </w:r>
      <w:r w:rsidR="00757C5F">
        <w:t>/2014 a rozhodnutí č. 541/2014/</w:t>
      </w:r>
      <w:r w:rsidRPr="00A866EF">
        <w:t>EU a zrušuje nařízení (EU, Euratom) č. 966/2012</w:t>
      </w:r>
      <w:r w:rsidRPr="00A866EF">
        <w:rPr>
          <w:rStyle w:val="FootnoteReference"/>
        </w:rPr>
        <w:footnoteReference w:id="8"/>
      </w:r>
      <w:r w:rsidRPr="00A866EF">
        <w:t>, a zejména článek 70 tohoto nařízení,</w:t>
      </w:r>
    </w:p>
    <w:p w:rsidR="005044F1" w:rsidRPr="00A866EF" w:rsidRDefault="005044F1" w:rsidP="005044F1">
      <w:pPr>
        <w:pStyle w:val="NormalHanging12a"/>
      </w:pPr>
      <w:r w:rsidRPr="00A866EF">
        <w:t>–</w:t>
      </w:r>
      <w:r w:rsidRPr="00A866EF">
        <w:tab/>
        <w:t>s ohledem na nařízení Evropského parlamentu a Rady (EU) 2018/1727 ze dne 14. listopadu 2018 o Agentuře Evropské unie pro justiční spolupráci v trestních věcech (</w:t>
      </w:r>
      <w:proofErr w:type="spellStart"/>
      <w:r w:rsidRPr="00A866EF">
        <w:t>Eurojust</w:t>
      </w:r>
      <w:proofErr w:type="spellEnd"/>
      <w:r w:rsidRPr="00A866EF">
        <w:t>) a o nahrazení a zrušení rozhodnutí Rady 2002/187/SVV</w:t>
      </w:r>
      <w:r w:rsidRPr="00A866EF">
        <w:rPr>
          <w:rStyle w:val="FootnoteReference"/>
        </w:rPr>
        <w:footnoteReference w:id="9"/>
      </w:r>
      <w:r w:rsidRPr="00A866EF">
        <w:t>, a zejména na článek 63 tohoto nařízení,</w:t>
      </w:r>
    </w:p>
    <w:p w:rsidR="005044F1" w:rsidRPr="00A866EF" w:rsidRDefault="005044F1" w:rsidP="005044F1">
      <w:pPr>
        <w:pStyle w:val="NormalHanging12a"/>
      </w:pPr>
      <w:r w:rsidRPr="00A866EF">
        <w:t>–</w:t>
      </w:r>
      <w:r w:rsidRPr="00A866EF">
        <w:tab/>
        <w:t xml:space="preserve">s ohledem na nařízení Komise v přenesené pravomoci (EU) 2019/715 ze dne 18. prosince 2018 o rámcovém finančním nařízení pro subjekty zřízené podle </w:t>
      </w:r>
      <w:r w:rsidR="00AD4C21" w:rsidRPr="00AD4C21">
        <w:t>Smlouvy o fungování Evropské unie</w:t>
      </w:r>
      <w:r w:rsidRPr="00A866EF">
        <w:t xml:space="preserve"> a Smlouvy o Euratomu a uvedené v článku 70 nařízení Evropského parlamentu a Rady (EU, Euratom) 2018/1046</w:t>
      </w:r>
      <w:r w:rsidRPr="00A866EF">
        <w:rPr>
          <w:rStyle w:val="FootnoteReference"/>
        </w:rPr>
        <w:footnoteReference w:id="10"/>
      </w:r>
      <w:r w:rsidRPr="00A866EF">
        <w:t>, a zejména na článek 105 tohoto nařízení,</w:t>
      </w:r>
    </w:p>
    <w:p w:rsidR="005044F1" w:rsidRPr="00A866EF" w:rsidRDefault="005044F1" w:rsidP="005044F1">
      <w:pPr>
        <w:pStyle w:val="NormalHanging12a"/>
      </w:pPr>
      <w:r w:rsidRPr="00A866EF">
        <w:t>–</w:t>
      </w:r>
      <w:r w:rsidRPr="00A866EF">
        <w:tab/>
        <w:t>s ohledem na článek 100 a přílohu V jednacího řádu,</w:t>
      </w:r>
    </w:p>
    <w:p w:rsidR="005044F1" w:rsidRPr="00A866EF" w:rsidRDefault="005044F1" w:rsidP="005044F1">
      <w:pPr>
        <w:pStyle w:val="NormalHanging12a"/>
      </w:pPr>
      <w:r w:rsidRPr="00A866EF">
        <w:t>–</w:t>
      </w:r>
      <w:r w:rsidRPr="00A866EF">
        <w:tab/>
        <w:t>s ohledem na stanovisko Výboru pro občanské svobody, spravedlnost a vnitřní věci,</w:t>
      </w:r>
    </w:p>
    <w:p w:rsidR="005044F1" w:rsidRPr="00A866EF" w:rsidRDefault="005044F1" w:rsidP="005044F1">
      <w:pPr>
        <w:pStyle w:val="NormalHanging12a"/>
      </w:pPr>
      <w:r w:rsidRPr="00A866EF">
        <w:t>–</w:t>
      </w:r>
      <w:r w:rsidRPr="00A866EF">
        <w:tab/>
        <w:t>s ohledem na zprávu Výboru pro rozpočtovou kontrolu (A9</w:t>
      </w:r>
      <w:r w:rsidRPr="00A866EF">
        <w:noBreakHyphen/>
        <w:t>0099/2024),</w:t>
      </w:r>
    </w:p>
    <w:p w:rsidR="005044F1" w:rsidRPr="00A866EF" w:rsidRDefault="005044F1" w:rsidP="005044F1">
      <w:pPr>
        <w:pStyle w:val="NormalHanging12a"/>
      </w:pPr>
      <w:r w:rsidRPr="00A866EF">
        <w:t>1.</w:t>
      </w:r>
      <w:r w:rsidRPr="00A866EF">
        <w:tab/>
        <w:t>schvaluje uzavření účtů Agentury Evropské unie pro justiční spolupráci v trestních věcech (</w:t>
      </w:r>
      <w:proofErr w:type="spellStart"/>
      <w:r w:rsidRPr="00A866EF">
        <w:t>Eurojust</w:t>
      </w:r>
      <w:proofErr w:type="spellEnd"/>
      <w:r w:rsidRPr="00A866EF">
        <w:t>) za rozpočtový rok 2022;</w:t>
      </w:r>
    </w:p>
    <w:p w:rsidR="005044F1" w:rsidRPr="00A866EF" w:rsidRDefault="005044F1" w:rsidP="005044F1">
      <w:pPr>
        <w:pStyle w:val="NormalHanging12a"/>
      </w:pPr>
      <w:r w:rsidRPr="00A866EF">
        <w:t>2.</w:t>
      </w:r>
      <w:r w:rsidRPr="00A866EF">
        <w:tab/>
        <w:t>pověřuje svou předsedkyni, aby předala toto rozhodnutí správnímu řediteli Agentury Evropské unie pro justiční spolupráci v trestních věcech (</w:t>
      </w:r>
      <w:proofErr w:type="spellStart"/>
      <w:r w:rsidRPr="00A866EF">
        <w:t>Eurojust</w:t>
      </w:r>
      <w:proofErr w:type="spellEnd"/>
      <w:r w:rsidRPr="00A866EF">
        <w:t xml:space="preserve">), Radě, Komisi a Účetnímu dvoru a aby zajistila jeho zveřejnění v </w:t>
      </w:r>
      <w:r w:rsidRPr="00A866EF">
        <w:rPr>
          <w:i/>
        </w:rPr>
        <w:t>Úředním věstníku Evropské unie</w:t>
      </w:r>
      <w:r w:rsidRPr="00A866EF">
        <w:t xml:space="preserve"> (řada L).</w:t>
      </w:r>
    </w:p>
    <w:p w:rsidR="005044F1" w:rsidRPr="00A866EF" w:rsidRDefault="005044F1" w:rsidP="005044F1"/>
    <w:p w:rsidR="005044F1" w:rsidRPr="00A866EF" w:rsidRDefault="005044F1" w:rsidP="005044F1">
      <w:pPr>
        <w:widowControl/>
        <w:rPr>
          <w:rFonts w:ascii="Arial" w:hAnsi="Arial" w:cs="Arial"/>
          <w:b/>
        </w:rPr>
        <w:sectPr w:rsidR="005044F1" w:rsidRPr="00A866EF" w:rsidSect="00A866EF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5044F1" w:rsidRPr="00757C5F" w:rsidRDefault="005044F1" w:rsidP="00757C5F">
      <w:pPr>
        <w:pStyle w:val="PageHeading"/>
        <w:jc w:val="left"/>
        <w:rPr>
          <w:rFonts w:ascii="Times New Roman" w:hAnsi="Times New Roman" w:cs="Times New Roman"/>
        </w:rPr>
      </w:pPr>
      <w:bookmarkStart w:id="10" w:name="_Toc146794381"/>
      <w:bookmarkStart w:id="11" w:name="_Toc161844479"/>
      <w:r w:rsidRPr="00757C5F">
        <w:rPr>
          <w:rFonts w:ascii="Times New Roman" w:hAnsi="Times New Roman" w:cs="Times New Roman"/>
        </w:rPr>
        <w:t>3</w:t>
      </w:r>
      <w:r w:rsidR="00757C5F">
        <w:rPr>
          <w:rFonts w:ascii="Times New Roman" w:hAnsi="Times New Roman" w:cs="Times New Roman"/>
        </w:rPr>
        <w:t>. Usnesení E</w:t>
      </w:r>
      <w:r w:rsidR="00757C5F" w:rsidRPr="00757C5F">
        <w:rPr>
          <w:rFonts w:ascii="Times New Roman" w:hAnsi="Times New Roman" w:cs="Times New Roman"/>
        </w:rPr>
        <w:t>vropského parlamentu</w:t>
      </w:r>
      <w:bookmarkEnd w:id="10"/>
      <w:bookmarkEnd w:id="11"/>
      <w:r w:rsidR="00757C5F" w:rsidRPr="00757C5F">
        <w:rPr>
          <w:rFonts w:ascii="Times New Roman" w:hAnsi="Times New Roman" w:cs="Times New Roman"/>
        </w:rPr>
        <w:t xml:space="preserve"> ze dne 11. dubna 2024 </w:t>
      </w:r>
      <w:r w:rsidRPr="00757C5F">
        <w:rPr>
          <w:rFonts w:ascii="Times New Roman" w:hAnsi="Times New Roman" w:cs="Times New Roman"/>
        </w:rPr>
        <w:t>obsahující připomínky, které jsou nedílnou součástí rozhodnutí o udělení absolutoria za plnění rozpočtu Agentury Evropské unie pro justiční spolupráci v trestních věcech (</w:t>
      </w:r>
      <w:proofErr w:type="spellStart"/>
      <w:r w:rsidRPr="00757C5F">
        <w:rPr>
          <w:rFonts w:ascii="Times New Roman" w:hAnsi="Times New Roman" w:cs="Times New Roman"/>
        </w:rPr>
        <w:t>Eurojust</w:t>
      </w:r>
      <w:proofErr w:type="spellEnd"/>
      <w:r w:rsidRPr="00757C5F">
        <w:rPr>
          <w:rFonts w:ascii="Times New Roman" w:hAnsi="Times New Roman" w:cs="Times New Roman"/>
        </w:rPr>
        <w:t>) na rozpočtový rok 2022</w:t>
      </w:r>
      <w:r w:rsidR="00757C5F" w:rsidRPr="00757C5F">
        <w:rPr>
          <w:rFonts w:ascii="Times New Roman" w:hAnsi="Times New Roman" w:cs="Times New Roman"/>
        </w:rPr>
        <w:t xml:space="preserve"> </w:t>
      </w:r>
      <w:r w:rsidRPr="00757C5F">
        <w:rPr>
          <w:rFonts w:ascii="Times New Roman" w:hAnsi="Times New Roman" w:cs="Times New Roman"/>
        </w:rPr>
        <w:t>(2023/2168(DEC))</w:t>
      </w:r>
    </w:p>
    <w:p w:rsidR="005044F1" w:rsidRPr="00A866EF" w:rsidRDefault="005044F1" w:rsidP="005044F1">
      <w:pPr>
        <w:pStyle w:val="EPComma"/>
      </w:pPr>
      <w:r w:rsidRPr="00A866EF">
        <w:rPr>
          <w:i/>
        </w:rPr>
        <w:t>Evropský parlament</w:t>
      </w:r>
      <w:r w:rsidRPr="00A866EF">
        <w:t>,</w:t>
      </w:r>
    </w:p>
    <w:p w:rsidR="005044F1" w:rsidRPr="00A866EF" w:rsidRDefault="005044F1" w:rsidP="005044F1">
      <w:pPr>
        <w:pStyle w:val="NormalHanging12a"/>
      </w:pPr>
      <w:r w:rsidRPr="00A866EF">
        <w:t>–</w:t>
      </w:r>
      <w:r w:rsidRPr="00A866EF">
        <w:tab/>
        <w:t>s ohledem na své rozhodnutí o udělení absolutoria za plnění rozpočtu Agentury Evropské unie pro justiční spolupráci v trestních věcech (</w:t>
      </w:r>
      <w:proofErr w:type="spellStart"/>
      <w:r w:rsidRPr="00A866EF">
        <w:t>Eurojust</w:t>
      </w:r>
      <w:proofErr w:type="spellEnd"/>
      <w:r w:rsidRPr="00A866EF">
        <w:t>) na rozpočtový rok 2022,</w:t>
      </w:r>
    </w:p>
    <w:p w:rsidR="005044F1" w:rsidRPr="00A866EF" w:rsidRDefault="005044F1" w:rsidP="005044F1">
      <w:pPr>
        <w:pStyle w:val="NormalHanging12a"/>
      </w:pPr>
      <w:r w:rsidRPr="00A866EF">
        <w:t>–</w:t>
      </w:r>
      <w:r w:rsidRPr="00A866EF">
        <w:tab/>
        <w:t>s ohledem na článek 100 a přílohu V jednacího řádu,</w:t>
      </w:r>
    </w:p>
    <w:p w:rsidR="005044F1" w:rsidRPr="00A866EF" w:rsidRDefault="005044F1" w:rsidP="005044F1">
      <w:pPr>
        <w:pStyle w:val="NormalHanging12a"/>
      </w:pPr>
      <w:r w:rsidRPr="00A866EF">
        <w:t>–</w:t>
      </w:r>
      <w:r w:rsidRPr="00A866EF">
        <w:tab/>
        <w:t>s ohledem na stanovisko Výboru pro občanské svobody, spravedlnost a vnitřní věci,</w:t>
      </w:r>
    </w:p>
    <w:p w:rsidR="005044F1" w:rsidRPr="00A866EF" w:rsidRDefault="005044F1" w:rsidP="005044F1">
      <w:pPr>
        <w:pStyle w:val="NormalHanging12a"/>
      </w:pPr>
      <w:r w:rsidRPr="00A866EF">
        <w:t>–</w:t>
      </w:r>
      <w:r w:rsidRPr="00A866EF">
        <w:tab/>
        <w:t>s ohledem na zprávu Výboru pro rozpočtovou kontrolu (A9</w:t>
      </w:r>
      <w:r w:rsidRPr="00A866EF">
        <w:noBreakHyphen/>
        <w:t>0099/2024),</w:t>
      </w:r>
    </w:p>
    <w:p w:rsidR="005044F1" w:rsidRPr="00A866EF" w:rsidRDefault="005044F1" w:rsidP="005044F1">
      <w:pPr>
        <w:pStyle w:val="Normal12Hanging"/>
        <w:rPr>
          <w:szCs w:val="24"/>
          <w:lang w:val="cs-CZ"/>
        </w:rPr>
      </w:pPr>
      <w:r w:rsidRPr="00A866EF">
        <w:rPr>
          <w:lang w:val="cs-CZ"/>
        </w:rPr>
        <w:t>A.</w:t>
      </w:r>
      <w:r w:rsidRPr="00A866EF">
        <w:rPr>
          <w:lang w:val="cs-CZ"/>
        </w:rPr>
        <w:tab/>
        <w:t>vzhledem k tomu, že konečný rozpočet Agentury Evropské unie pro justiční spolupráci v trestních věcech (</w:t>
      </w:r>
      <w:proofErr w:type="spellStart"/>
      <w:r w:rsidRPr="00A866EF">
        <w:rPr>
          <w:lang w:val="cs-CZ"/>
        </w:rPr>
        <w:t>Eurojust</w:t>
      </w:r>
      <w:proofErr w:type="spellEnd"/>
      <w:r w:rsidRPr="00A866EF">
        <w:rPr>
          <w:lang w:val="cs-CZ"/>
        </w:rPr>
        <w:t>) (dále jen „agentura“) na rozpočtový rok 2022 činil podle jejího výkazu příjmů a výdajů</w:t>
      </w:r>
      <w:r w:rsidRPr="00A866EF">
        <w:rPr>
          <w:rStyle w:val="FootnoteReference"/>
          <w:szCs w:val="24"/>
          <w:lang w:val="cs-CZ"/>
        </w:rPr>
        <w:footnoteReference w:id="11"/>
      </w:r>
      <w:r w:rsidRPr="00A866EF">
        <w:rPr>
          <w:lang w:val="cs-CZ"/>
        </w:rPr>
        <w:t xml:space="preserve"> 50 183 522 EUR, což ve srovnání s rokem 2021 představuje zvýšení o 5,84 %; vzhledem k tomu, že rozpočet agentury pochází téměř výhradně z rozpočtu Unie;</w:t>
      </w:r>
    </w:p>
    <w:p w:rsidR="005044F1" w:rsidRPr="00A866EF" w:rsidRDefault="005044F1" w:rsidP="005044F1">
      <w:pPr>
        <w:pStyle w:val="Normal12Hanging"/>
        <w:rPr>
          <w:szCs w:val="24"/>
          <w:lang w:val="cs-CZ"/>
        </w:rPr>
      </w:pPr>
      <w:r w:rsidRPr="00A866EF">
        <w:rPr>
          <w:lang w:val="cs-CZ"/>
        </w:rPr>
        <w:t>B.</w:t>
      </w:r>
      <w:r w:rsidRPr="00A866EF">
        <w:rPr>
          <w:lang w:val="cs-CZ"/>
        </w:rPr>
        <w:tab/>
        <w:t>vzhledem k tomu, že Účetní dvůr ve své zprávě o roční účetní závěrce agentury za rozpočtový rok 2022 (dále jen „zpráva Účetního dvora“) uvedl, že získal přiměřenou jistotu, že účetní závěrka agentury je spolehlivá a že uskutečněné operace jsou legální a správné;</w:t>
      </w:r>
    </w:p>
    <w:p w:rsidR="005044F1" w:rsidRPr="00A866EF" w:rsidRDefault="005044F1" w:rsidP="005044F1">
      <w:pPr>
        <w:pStyle w:val="Normal12Hanging"/>
        <w:rPr>
          <w:b/>
          <w:i/>
          <w:szCs w:val="24"/>
          <w:lang w:val="cs-CZ"/>
        </w:rPr>
      </w:pPr>
      <w:r w:rsidRPr="00A866EF">
        <w:rPr>
          <w:b/>
          <w:i/>
          <w:lang w:val="cs-CZ"/>
        </w:rPr>
        <w:t>Rozpočtové a finanční řízení</w:t>
      </w:r>
    </w:p>
    <w:p w:rsidR="005044F1" w:rsidRPr="00A866EF" w:rsidRDefault="005044F1" w:rsidP="005044F1">
      <w:pPr>
        <w:pStyle w:val="Normal12Hanging"/>
        <w:rPr>
          <w:szCs w:val="24"/>
          <w:lang w:val="cs-CZ"/>
        </w:rPr>
      </w:pPr>
      <w:r w:rsidRPr="00A866EF">
        <w:rPr>
          <w:lang w:val="cs-CZ"/>
        </w:rPr>
        <w:t>1.</w:t>
      </w:r>
      <w:r w:rsidRPr="00A866EF">
        <w:rPr>
          <w:lang w:val="cs-CZ"/>
        </w:rPr>
        <w:tab/>
        <w:t>s uspokojením konstatuje, že díky monitorování rozpočtu činila v roce 2022 míra čerpání prostředků na závazky 99,93 %; konstatuje, že míra plnění u prostředků na platby v běžném roce činila 89,22 %, což ve srovnání s rokem 2021 představuje nárůst o 4,64 %;</w:t>
      </w:r>
    </w:p>
    <w:p w:rsidR="005044F1" w:rsidRDefault="005044F1" w:rsidP="005044F1">
      <w:pPr>
        <w:pStyle w:val="Normal12Hanging"/>
        <w:rPr>
          <w:lang w:val="cs-CZ"/>
        </w:rPr>
      </w:pPr>
      <w:r w:rsidRPr="00A866EF">
        <w:rPr>
          <w:lang w:val="cs-CZ"/>
        </w:rPr>
        <w:t>2.</w:t>
      </w:r>
      <w:r w:rsidRPr="00A866EF">
        <w:rPr>
          <w:lang w:val="cs-CZ"/>
        </w:rPr>
        <w:tab/>
        <w:t xml:space="preserve">bere na vědomí, že v průběhu roku 2022 vyvstaly různé nové potřeby financování, včetně potřeb spojených s infrastrukturou pro nový systém správy případů, posílení související s novými úkoly v rámci Databáze důkazů o nejzávažnějších mezinárodních zločinech </w:t>
      </w:r>
      <w:r w:rsidR="001A01D2">
        <w:rPr>
          <w:lang w:val="cs-CZ"/>
        </w:rPr>
        <w:t xml:space="preserve">(databáze </w:t>
      </w:r>
      <w:r w:rsidR="001A01D2" w:rsidRPr="001A01D2">
        <w:rPr>
          <w:lang w:val="cs-CZ"/>
        </w:rPr>
        <w:t>CICED</w:t>
      </w:r>
      <w:r w:rsidR="001A01D2">
        <w:rPr>
          <w:lang w:val="cs-CZ"/>
        </w:rPr>
        <w:t xml:space="preserve">) </w:t>
      </w:r>
      <w:r w:rsidRPr="00A866EF">
        <w:rPr>
          <w:lang w:val="cs-CZ"/>
        </w:rPr>
        <w:t>a zvýšení platů v důsledku vysoké inflace; bere na vědomí, že tyto finanční potřeby byly pokryty ze dvou opravných rozpočtů (v celkové výši 5,7 milionu EUR) a několika převodů rozpočtových prostředků;</w:t>
      </w:r>
    </w:p>
    <w:p w:rsidR="005044F1" w:rsidRPr="00A866EF" w:rsidRDefault="005044F1" w:rsidP="005044F1">
      <w:pPr>
        <w:pStyle w:val="Normal12Hanging"/>
        <w:rPr>
          <w:szCs w:val="24"/>
          <w:lang w:val="cs-CZ"/>
        </w:rPr>
      </w:pPr>
      <w:r w:rsidRPr="00A866EF">
        <w:rPr>
          <w:lang w:val="cs-CZ"/>
        </w:rPr>
        <w:t>3.</w:t>
      </w:r>
      <w:r w:rsidRPr="00A866EF">
        <w:rPr>
          <w:lang w:val="cs-CZ"/>
        </w:rPr>
        <w:tab/>
        <w:t xml:space="preserve">bere na vědomí zavedení nového systému finančního řízení a účetnictví Komise (SUMMA) agenturou v roce 2022 a související technické problémy, které měly dopad na plnění rozpočtu a výkaznictví agentury; bere na vědomí zejména názor agentury, že tyto problémy se rovněž odrazily ve vysoké míře plateb, které nebyly provedeny včas (52,9 %), a komplikovaly monitorování oblastí s vysokou volatilitou nákladů, jako např. koordinační schůzky; v této souvislosti bere na vědomí připomínky ze zprávy Účetního dvora, že agentura v rozporu s některými ustanoveními finančního nařízení neaktualizovala svoji strategii řízení rizik a kontroly tak, aby pokryla rizika spojená se zaváděním systému SUMMA, ani své postupy schvalování finančních transakcí a strategii kontrol </w:t>
      </w:r>
      <w:r w:rsidRPr="00A866EF">
        <w:rPr>
          <w:i/>
          <w:lang w:val="cs-CZ"/>
        </w:rPr>
        <w:t>ex ante</w:t>
      </w:r>
      <w:r w:rsidRPr="00A866EF">
        <w:rPr>
          <w:lang w:val="cs-CZ"/>
        </w:rPr>
        <w:t xml:space="preserve"> a </w:t>
      </w:r>
      <w:r w:rsidRPr="00A866EF">
        <w:rPr>
          <w:i/>
          <w:lang w:val="cs-CZ"/>
        </w:rPr>
        <w:t>ex post</w:t>
      </w:r>
      <w:r w:rsidRPr="00A866EF">
        <w:rPr>
          <w:lang w:val="cs-CZ"/>
        </w:rPr>
        <w:t>, a nekontroluje konkrétně práva, která byla uživateli přidělena, což představuje riziko, že uživatelské role v systému SUMMA nemusí být správně přiděleny a aktualizovány;</w:t>
      </w:r>
    </w:p>
    <w:p w:rsidR="005044F1" w:rsidRPr="00A866EF" w:rsidRDefault="005044F1" w:rsidP="005044F1">
      <w:pPr>
        <w:pStyle w:val="NormalHanging12a"/>
      </w:pPr>
      <w:r w:rsidRPr="00A866EF">
        <w:t>4.</w:t>
      </w:r>
      <w:r w:rsidRPr="00A866EF">
        <w:tab/>
        <w:t>se znepokojením bere na vědomí připomínky, které ve své zprávě uvedl Účetní dvůr, totiž že agentura nedodržela lhůty pro platby stanovené ve finančním nařízení u 1222 z celkového počtu 2308 plateb (52,9 %); připomíná a zdůrazňuje, že v 720 případech (31,5 %) se platby opozdily o více než 30 dní; bere na vědomí, že agentura tento nedostatek, který podle názoru Účetního dvora vystavuje agenturu finančnímu riziku a riziku poškození dobré pověsti a je v rozporu se zásadou hospodárnosti, přičítá zavádění systému SUMMA; bere na vědomí odpověď agentury, že systém SUMMA byl v pilotní fázi a při zpracovávání transakcí docházelo ke zpožděním a technickým problémům, což mělo dopad na školení zaměstnanců a způsobilo určité problémy v oblasti rozpočtového řízení; bere rovněž na vědomí, že navzdory zvýšenému počtu opožděných plateb agentura neplatila žádné úroky z prodlení; vyzývá agenturu, aby se touto připomínkou plně zabývala a řešila technické obtíže při zpracovávání transakcí a informovala orgán příslušný k udělení absolutoria o dosaženém pokroku;</w:t>
      </w:r>
    </w:p>
    <w:p w:rsidR="005044F1" w:rsidRPr="00A866EF" w:rsidRDefault="005044F1" w:rsidP="005044F1">
      <w:pPr>
        <w:pStyle w:val="Normal12Hanging"/>
        <w:rPr>
          <w:b/>
          <w:i/>
          <w:szCs w:val="24"/>
          <w:lang w:val="cs-CZ"/>
        </w:rPr>
      </w:pPr>
      <w:r w:rsidRPr="00A866EF">
        <w:rPr>
          <w:b/>
          <w:i/>
          <w:lang w:val="cs-CZ"/>
        </w:rPr>
        <w:t>Výkonnost</w:t>
      </w:r>
    </w:p>
    <w:p w:rsidR="005044F1" w:rsidRPr="00A866EF" w:rsidRDefault="005044F1" w:rsidP="005044F1">
      <w:pPr>
        <w:pStyle w:val="NormalHanging12a"/>
        <w:rPr>
          <w:szCs w:val="24"/>
        </w:rPr>
      </w:pPr>
      <w:r w:rsidRPr="00A866EF">
        <w:t>5.</w:t>
      </w:r>
      <w:r w:rsidRPr="00A866EF">
        <w:tab/>
        <w:t>bere na vědomí, že agentura používá klíčové ukazatele výkonnosti k posuzování přidané hodnoty své činnosti a ke zlepšování rozpočtového řízení; poukazuje na novou víceletou strategii agentury na období 2022–2024, která stanoví pět cílů, z nichž každý zahrnuje řadu strategických oblastí činnosti; konstatuje, že agentura ve svém ročním pracovním plánu na rok 2022 definovala 67 klíčových ukazatelů výkonnosti a 14 víceletých klíčových ukazatelů výkonnosti pro víceletou strategii agentury na období 2022–2024; bere na vědomí, že s výjimkou klíčových ukazatelů výkonnosti, které nebyly považovány za měřitelné nebo relevantní, agentura dosáhla cílů u 47 z 59 klíčových ukazatelů výkonnosti (88 %), což představuje nárůst oproti roku 2021 (73 %); bere na vědomí, že v roce 2022 agentura dosahovala stabilního pokroku při plnění svých víceletých klíčových ukazatelů výkonnosti, kdy deset z nich (72 %) vykazovalo předpoklady pro dosažení cíle a tři (21 %) vyžadovaly zvýšenou pozornost, přičemž konečné výsledky klíčových ukazatelů výkonnosti víceleté strategie agentury na období 2022–2024 budou známy na konci roku 2024;</w:t>
      </w:r>
    </w:p>
    <w:p w:rsidR="005044F1" w:rsidRPr="00A866EF" w:rsidRDefault="005044F1" w:rsidP="005044F1">
      <w:pPr>
        <w:pStyle w:val="NormalHanging12a"/>
      </w:pPr>
      <w:r w:rsidRPr="00A866EF">
        <w:t>6.</w:t>
      </w:r>
      <w:r w:rsidRPr="00A866EF">
        <w:tab/>
        <w:t xml:space="preserve">bere na vědomí, že počet případů, které agentuře postoupily členské státy, nadále rostl: v roce 2022 bylo řešeno celkem 11 544 případů (z toho 5 227 nově zahájených), což ve srovnání s rokem 2021 představuje nárůst o 14 %; v této souvislosti oceňuje přínos agentury při poskytování právního poradenství, analýz a operativní pomoci, díky čemuž bylo dosaženo 941 operativních cílů, které byly využity při řešení 528 případů, včetně složitých případů, jež vedla k zatčení převaděčů (včetně převaděčů migrantů), stejně jako k rozbití zločineckých sítí působících v oblastech, jako je praní peněz, sexuální vykořisťování, investiční podvody online nebo obchodování s drogami, nebo k opatřením proti nim; dále s uspokojením konstatuje, že v roce 2022 agentura poskytla podporu 265 společným vyšetřovacím týmům (z toho 78 nově založeným), uspořádala 528 koordinačních schůzek a 22 koordinačních center, napomohla výkonu 1262 evropských zatýkacích rozkazů (z toho bylo 504 nových případů) a umožnila uplatnění 5415 evropských vyšetřovacích příkazů (z toho přibližně poloviny nově vydaných); bere na vědomí, že agentura dlouhodobě spolupracuje s </w:t>
      </w:r>
      <w:r w:rsidR="001A01D2" w:rsidRPr="001A01D2">
        <w:t>Evropský</w:t>
      </w:r>
      <w:r w:rsidR="001A01D2">
        <w:t>m</w:t>
      </w:r>
      <w:r w:rsidR="001A01D2" w:rsidRPr="001A01D2">
        <w:t xml:space="preserve"> úřad</w:t>
      </w:r>
      <w:r w:rsidR="001A01D2">
        <w:t>em</w:t>
      </w:r>
      <w:r w:rsidR="001A01D2" w:rsidRPr="001A01D2">
        <w:t xml:space="preserve"> pro boj proti podvodům</w:t>
      </w:r>
      <w:r w:rsidRPr="00A866EF">
        <w:t xml:space="preserve"> </w:t>
      </w:r>
      <w:r w:rsidR="001A01D2">
        <w:t>(</w:t>
      </w:r>
      <w:r w:rsidRPr="00A866EF">
        <w:t>OLAF</w:t>
      </w:r>
      <w:r w:rsidR="001A01D2">
        <w:t>) s cílem</w:t>
      </w:r>
      <w:r w:rsidRPr="00A866EF">
        <w:t xml:space="preserve"> posílit boj proti trestné činnosti poškozující finanční zájmy U</w:t>
      </w:r>
      <w:r w:rsidR="001A01D2">
        <w:t>nie</w:t>
      </w:r>
      <w:r w:rsidRPr="00A866EF">
        <w:t>;</w:t>
      </w:r>
    </w:p>
    <w:p w:rsidR="005044F1" w:rsidRPr="00A866EF" w:rsidRDefault="005044F1" w:rsidP="005044F1">
      <w:pPr>
        <w:pStyle w:val="NormalHanging12a"/>
        <w:rPr>
          <w:szCs w:val="24"/>
        </w:rPr>
      </w:pPr>
      <w:r w:rsidRPr="00A866EF">
        <w:t>7.</w:t>
      </w:r>
      <w:r w:rsidRPr="00A866EF">
        <w:tab/>
        <w:t xml:space="preserve">vyjadřuje agentuře uznání za opatření přijatá v reakci na ruskou nezákonnou a nevyprovokovanou invazi na Ukrajinu v roce 2022; konstatuje, že tři týdny po začátku války agentura podpořila zřízení společného vyšetřovacího týmu pro vyšetřování údajných nejzávažnějších zločinů, jimiž je dotčeno mezinárodní společenství, spáchaných na Ukrajině s cílem usnadnit vyšetřování a stíhání v dotčených státech; bere na vědomí, že agentura poskytla národním zastoupením </w:t>
      </w:r>
      <w:proofErr w:type="spellStart"/>
      <w:r w:rsidRPr="00A866EF">
        <w:t>Eurojustu</w:t>
      </w:r>
      <w:proofErr w:type="spellEnd"/>
      <w:r w:rsidRPr="00A866EF">
        <w:t xml:space="preserve"> právní a operativní podporu v souvislosti s rozšířením dohody o společném vyšetřovacím týmu na nové strany (Estonsko, Lotyšsko, Rumunsko a Slovensko), jakož i právní analýzy a posudky týkající se účasti Mezinárodního trestního soudu ve společném vyšetřovacím týmu; dále bere na vědomí, že agentura poskytuje operativní podporu pracovní skupině „</w:t>
      </w:r>
      <w:proofErr w:type="spellStart"/>
      <w:r w:rsidRPr="00A866EF">
        <w:t>Freeze</w:t>
      </w:r>
      <w:proofErr w:type="spellEnd"/>
      <w:r w:rsidRPr="00A866EF">
        <w:t xml:space="preserve"> and </w:t>
      </w:r>
      <w:proofErr w:type="spellStart"/>
      <w:r w:rsidRPr="00A866EF">
        <w:t>Seize</w:t>
      </w:r>
      <w:proofErr w:type="spellEnd"/>
      <w:r w:rsidRPr="00A866EF">
        <w:t>“, kterou zřídila Komise, tím, že koordinuje vymáhání sankcí Unie prostřednictvím trestního práva v členských státech, a to prostřednictvím několika opatření, jako je pravidelná křížová kontrola seznamu osob a společností, kterým Unie uložila sankce, s údaji agentury o stávajících případech, jimiž se agentura zabývá, a shromažďování příslušných informací na vnitrostátní úrovni o minulých a probíhajících vyšetřováních týkajících se osob uvedených na sankčním seznamu s cílem usnadnit trestní řízení;</w:t>
      </w:r>
    </w:p>
    <w:p w:rsidR="005044F1" w:rsidRPr="00A866EF" w:rsidRDefault="005044F1" w:rsidP="005044F1">
      <w:pPr>
        <w:pStyle w:val="NormalHanging12a"/>
      </w:pPr>
      <w:r w:rsidRPr="00A866EF">
        <w:t>8.</w:t>
      </w:r>
      <w:r w:rsidRPr="00A866EF">
        <w:tab/>
        <w:t xml:space="preserve">vítá, že agentura v roce 2022 posílila svou operativní a strategickou spolupráci s různými zúčastněnými stranami, jako jsou evropské agentury působící v oblasti spravedlnosti a vnitřních věcí, orgány Unie, úřad OLAF, Úřad evropského veřejného žalobce, jakož i sítě odborníků z justiční praxe, třetí země a mezinárodní organizace; bere na vědomí zejména spolupráci agentury s Agenturou </w:t>
      </w:r>
      <w:r w:rsidR="001A01D2">
        <w:t xml:space="preserve">Evropské unie </w:t>
      </w:r>
      <w:r w:rsidRPr="00A866EF">
        <w:t>pro provozní řízení rozsáhlých informačních systémů v prostoru svobody, bezpečnosti a práva (</w:t>
      </w:r>
      <w:proofErr w:type="spellStart"/>
      <w:r w:rsidRPr="00A866EF">
        <w:t>eu</w:t>
      </w:r>
      <w:proofErr w:type="spellEnd"/>
      <w:r w:rsidRPr="00A866EF">
        <w:t xml:space="preserve">-LISA) na společné zprávě o využití řešení umělé inteligence na podporu přeshraniční spolupráce v oblasti trestního soudnictví, s Agenturou </w:t>
      </w:r>
      <w:r w:rsidR="001A01D2">
        <w:t xml:space="preserve">Evropské unie </w:t>
      </w:r>
      <w:r w:rsidRPr="00A866EF">
        <w:t xml:space="preserve">pro vzdělávání a výcvik v oblasti prosazování práva (CEPOL) na 16 kurzech zaměřených na justiční spolupráci a s Agenturou </w:t>
      </w:r>
      <w:r w:rsidR="000E66D7">
        <w:t xml:space="preserve">Evropské unie </w:t>
      </w:r>
      <w:r w:rsidRPr="00A866EF">
        <w:t>pro spolupráci a vzdělávání a výcvik v oblasti prosazování práva (</w:t>
      </w:r>
      <w:proofErr w:type="spellStart"/>
      <w:r w:rsidRPr="00A866EF">
        <w:t>Europol</w:t>
      </w:r>
      <w:proofErr w:type="spellEnd"/>
      <w:r w:rsidRPr="00A866EF">
        <w:t xml:space="preserve">) na projektu SIRIUS a systému </w:t>
      </w:r>
      <w:proofErr w:type="spellStart"/>
      <w:r w:rsidRPr="00A866EF">
        <w:t>Europolu</w:t>
      </w:r>
      <w:proofErr w:type="spellEnd"/>
      <w:r w:rsidRPr="00A866EF">
        <w:t xml:space="preserve"> „výskytu shody / bez výskytu shody“ s vnitrostátními orgány z 20 členských států, </w:t>
      </w:r>
      <w:proofErr w:type="spellStart"/>
      <w:r w:rsidRPr="00A866EF">
        <w:t>Europolem</w:t>
      </w:r>
      <w:proofErr w:type="spellEnd"/>
      <w:r w:rsidRPr="00A866EF">
        <w:t xml:space="preserve">, úřadem OLAF a EPPO na operaci SENTINAL zaměřené na podvody s fondy pro dotace po pandemii COVID-19; vyzdvihuje přínos agentury k iniciativám Komise v oblasti digitalizace justice (mimo jiné pro systém SIS II, systém správy případů, Evropský informační systém rejstříků trestů pro státní příslušníky třetích zemí); bere na vědomí, že agentura využívá stále se rozšiřující síť kontaktních míst s příslušnými orgány ve třetích zemích, přičemž v roce 2022 se celkový počet kontaktních míst agentury rozrostl o Austrálii, Bahrajn a Maroko; oceňuje rozšíření spolupráce agentury v trestních věcech na mezinárodní úrovni, zejména prostřednictvím programu </w:t>
      </w:r>
      <w:proofErr w:type="spellStart"/>
      <w:r w:rsidRPr="00A866EF">
        <w:t>EuroMed</w:t>
      </w:r>
      <w:proofErr w:type="spellEnd"/>
      <w:r w:rsidRPr="00A866EF">
        <w:t xml:space="preserve"> Justice s jižními partnerskými zeměmi a projektu financovaného EU zaměřeného na přeshraniční spolupráci v oblasti trestního soudnictví na západním Balkáně;</w:t>
      </w:r>
    </w:p>
    <w:p w:rsidR="005044F1" w:rsidRPr="00A866EF" w:rsidRDefault="005044F1" w:rsidP="005044F1">
      <w:pPr>
        <w:pStyle w:val="NormalHanging12a"/>
        <w:jc w:val="both"/>
      </w:pPr>
      <w:r w:rsidRPr="00A866EF">
        <w:t>9.</w:t>
      </w:r>
      <w:r w:rsidRPr="00A866EF">
        <w:tab/>
        <w:t>oceňuje nadnárodní spolupráci mezi justičními orgány zprostředkovanou agenturou a úzkou spolupráci se všemi aktéry v řetězci trestního soudnictví, která přispěla k zatčení více než 4 000 podezřelých, k zabavení a zmrazení majetku pocházejícího z trestné činnosti v hodnotě téměř 3 miliardy EUR a k zabavení drog v hodnotě téměř 12 miliard EUR;</w:t>
      </w:r>
    </w:p>
    <w:p w:rsidR="005044F1" w:rsidRPr="00A866EF" w:rsidRDefault="005044F1" w:rsidP="005044F1">
      <w:pPr>
        <w:pStyle w:val="NormalHanging12a"/>
        <w:rPr>
          <w:b/>
          <w:i/>
          <w:szCs w:val="24"/>
        </w:rPr>
      </w:pPr>
      <w:r w:rsidRPr="00A866EF">
        <w:rPr>
          <w:b/>
          <w:i/>
        </w:rPr>
        <w:t>Účinnost a přínosy</w:t>
      </w:r>
    </w:p>
    <w:p w:rsidR="005044F1" w:rsidRPr="00A866EF" w:rsidRDefault="005044F1" w:rsidP="005044F1">
      <w:pPr>
        <w:pStyle w:val="NormalHanging12a"/>
        <w:rPr>
          <w:szCs w:val="24"/>
        </w:rPr>
      </w:pPr>
      <w:r w:rsidRPr="00A866EF">
        <w:t>10.</w:t>
      </w:r>
      <w:r w:rsidRPr="00A866EF">
        <w:tab/>
        <w:t xml:space="preserve">zdůrazňuje, že kromě zavedení systému SUMMA agentura dále zlepšovala své procesy a nástroje řízení podle činností, a to zvyšováním účinnosti, kvality/integrity údajů a použitelnosti svého nástroje pro plánování, zavedením nového nástroje pro zaznamenávání činností a pokračováním v postupném přechodu od výstupních ukazatelů ke klíčovým ukazatelům výkonnosti založeným na výsledku; oceňuje, že agentura zahájila diskusi s </w:t>
      </w:r>
      <w:proofErr w:type="spellStart"/>
      <w:r w:rsidRPr="00A866EF">
        <w:t>Europolem</w:t>
      </w:r>
      <w:proofErr w:type="spellEnd"/>
      <w:r w:rsidRPr="00A866EF">
        <w:t xml:space="preserve"> s cílem prozkoumat možnost budoucího sdílení lékařských služeb; dále oceňuje rozhodnutí agentury zachovat některé prvky účinnosti, kterých bylo dosaženo během pandemie</w:t>
      </w:r>
      <w:r w:rsidR="000E66D7">
        <w:t xml:space="preserve"> COVID-19</w:t>
      </w:r>
      <w:r w:rsidRPr="00A866EF">
        <w:t>; bere na vědomí, že – jak vyplývá z odpovědí agentury na písemné otázky Parlamentu – v roce 2022 agentura uspořádala 47 % koordinačních schůzek a všech školení a výběrových řízení zaměstnanců online, čímž výrazně snížila související finanční náklady a náklady na lidské zdroje, a rovněž 29 % všech koordinačních schůzek v hybridním režimu;</w:t>
      </w:r>
    </w:p>
    <w:p w:rsidR="005044F1" w:rsidRPr="00A866EF" w:rsidRDefault="005044F1" w:rsidP="005044F1">
      <w:pPr>
        <w:pStyle w:val="NormalHanging12a"/>
        <w:rPr>
          <w:szCs w:val="24"/>
        </w:rPr>
      </w:pPr>
      <w:r w:rsidRPr="00A866EF">
        <w:t>11.</w:t>
      </w:r>
      <w:r w:rsidRPr="00A866EF">
        <w:tab/>
        <w:t xml:space="preserve">bere na vědomí, že v roce 2022 s cílem zvýšit efektivitu byly spuštěny dva projekty na úrovni agentury, a to samoobslužný portál agentury a nový videokonferenční systém pro koordinační schůzky a koordinačních center s možností až 10 simultánních tlumočení nazvaný </w:t>
      </w:r>
      <w:proofErr w:type="spellStart"/>
      <w:r w:rsidRPr="00A866EF">
        <w:t>Pexip</w:t>
      </w:r>
      <w:proofErr w:type="spellEnd"/>
      <w:r w:rsidRPr="00A866EF">
        <w:t>; dále bere na vědomí, že byla dokončena analýza pro migraci stávajícího extranetu a výběr dodavatelů pro nahrazení knihovního systému, zatímco příprava certifikovaného nástroje pro elektronický podpis stále probíhá a výsledek se očekává v roce 2024; oceňuje agenturu za zavedení čtyř nových modulů systému SYSPER (Hodnocení, Pracovní místa / Popisy práce, NDP, Výkaznictví), které jsou doplňkem pěti modulů zavedených už v předchozích letech; bere na vědomí závazek agentury plně zavést systém SYSPER do roku 2024;</w:t>
      </w:r>
    </w:p>
    <w:p w:rsidR="005044F1" w:rsidRPr="00A866EF" w:rsidRDefault="005044F1" w:rsidP="005044F1">
      <w:pPr>
        <w:pStyle w:val="NormalHanging12a"/>
        <w:rPr>
          <w:szCs w:val="24"/>
        </w:rPr>
      </w:pPr>
      <w:r w:rsidRPr="00A866EF">
        <w:t>12.</w:t>
      </w:r>
      <w:r w:rsidRPr="00A866EF">
        <w:tab/>
        <w:t xml:space="preserve">uvědomuje si, že – jak vyplývá ze zprávy Účetního dvora – agentura dosud nepatří k organizacím, které zavedly vlastní plány, jak zlepšit energetickou účinnost a klimatickou neutralitu svých činností, v rámci svých výročních zpráv o činnosti však v určité podobě podává zprávy v oblasti životního prostředí nebo získala registraci v systému </w:t>
      </w:r>
      <w:r w:rsidR="000E66D7" w:rsidRPr="000E66D7">
        <w:t>pro environmentální řízení podniků a audit</w:t>
      </w:r>
      <w:r w:rsidR="000E66D7">
        <w:t xml:space="preserve"> (</w:t>
      </w:r>
      <w:r w:rsidRPr="00A866EF">
        <w:t>EMAS</w:t>
      </w:r>
      <w:r w:rsidR="000E66D7">
        <w:t>)</w:t>
      </w:r>
      <w:r w:rsidRPr="00A866EF">
        <w:t>; připomíná, že v roce 2021 agentura zahájila zavádění systému EMAS / rámce pro dodržování EMAS/ISO 14001; v této souvislosti bere na vědomí, že v roce 2022 agentura obdržela závěrečnou zprávu externí poradenské společnosti, která obsahovala veškeré podstatné informace týkající se předpisů v oblasti životního prostředí v Nizozemsku; dále konstatuje, že v průběhu roku 2022 se agentura zapojila do veřejné soutěže na poskytování poradenství v oblasti systémů environmentálního řízení a snižování a kompenzace emisí skleníkových plynů;</w:t>
      </w:r>
    </w:p>
    <w:p w:rsidR="005044F1" w:rsidRPr="00A866EF" w:rsidRDefault="005044F1" w:rsidP="005044F1">
      <w:pPr>
        <w:pStyle w:val="Normal12Hanging"/>
        <w:rPr>
          <w:b/>
          <w:i/>
          <w:szCs w:val="24"/>
          <w:lang w:val="cs-CZ"/>
        </w:rPr>
      </w:pPr>
      <w:r w:rsidRPr="00A866EF">
        <w:rPr>
          <w:b/>
          <w:i/>
          <w:lang w:val="cs-CZ"/>
        </w:rPr>
        <w:t>Personální politika</w:t>
      </w:r>
    </w:p>
    <w:p w:rsidR="005044F1" w:rsidRPr="00A866EF" w:rsidRDefault="005044F1" w:rsidP="005044F1">
      <w:pPr>
        <w:pStyle w:val="Normal12Hanging"/>
        <w:rPr>
          <w:szCs w:val="24"/>
          <w:lang w:val="cs-CZ"/>
        </w:rPr>
      </w:pPr>
      <w:r w:rsidRPr="00A866EF">
        <w:rPr>
          <w:lang w:val="cs-CZ"/>
        </w:rPr>
        <w:t>13.</w:t>
      </w:r>
      <w:r w:rsidRPr="00A866EF">
        <w:rPr>
          <w:lang w:val="cs-CZ"/>
        </w:rPr>
        <w:tab/>
        <w:t>bere na vědomí, že ke dni 31. prosince 2022 byl plán pracovních míst agentury naplněn ze 100 % (stejně jako v roce 2021), přičemž z 221 míst dočasných zaměstnanců schválených v rámci rozpočtu Unie na rok 2022 jich bylo obsazeno 221 s tím, že 209 z 221 dočasných zaměstnanců již na místa nastoupilo a dvanácti z nich byly zaslány písemné nabídky; konstatuje, že v roce 2022 pro agenturu pracovalo také 18 smluvních zaměstnanců a 22 vyslaných národních odborníků; dále konstatuje, že v agentuře proběhla přeřazování, v jejichž rámci bylo přeřazeno 53 zaměstnanců;</w:t>
      </w:r>
    </w:p>
    <w:p w:rsidR="005044F1" w:rsidRPr="00A866EF" w:rsidRDefault="005044F1" w:rsidP="005044F1">
      <w:pPr>
        <w:pStyle w:val="NormalHanging12a"/>
      </w:pPr>
      <w:r w:rsidRPr="00A866EF">
        <w:t>14.</w:t>
      </w:r>
      <w:r w:rsidRPr="00A866EF">
        <w:tab/>
        <w:t>bere na vědomí genderové zastoupení v agentuře v roce 2022: 6 mužů (60 %) a 4 ženy (40 %) ve vyšších a středních úrovních vedení, 16 mužů (64 %) a 9 žen (36 %) ve správní radě agentury a 85 mužů (33 %) a 175 žen (67 %) mezi zaměstnanci celkem; vyzývá agenturu, aby zajistila lepší genderovou vyváženost na všech zaměstnaneckých pozicích a aby dále podporovala uchazečky o vedoucí pozice a také uchazeče z řad mužů v externích výběrových řízeních na zbývající pozice zaměstnanců; bere na vědomí, že agentura není odpovědná za složení své správní rady (dále jen „kolegium“), neboť vnitrostátní členové kolegia jsou jmenováni přímo příslušnými členskými státy; žádá Komisi a členské státy, aby při předkládání nominací do kolegia přihlížely k tomu, že je důležité zajistit vyvážené zastoupení žen a mužů;</w:t>
      </w:r>
    </w:p>
    <w:p w:rsidR="005044F1" w:rsidRPr="00A866EF" w:rsidRDefault="005044F1" w:rsidP="005044F1">
      <w:pPr>
        <w:pStyle w:val="NormalHanging12a"/>
        <w:rPr>
          <w:szCs w:val="24"/>
        </w:rPr>
      </w:pPr>
      <w:r w:rsidRPr="00A866EF">
        <w:t>15.</w:t>
      </w:r>
      <w:r w:rsidRPr="00A866EF">
        <w:tab/>
        <w:t>bere na vědomí, že v letech 2017 až 2022 agentura požádala o poradenství externí právní kancelář specializující se na právo Unie v oblasti státní služby v souvislosti s několika žádostmi o pomoc týkajícími se případů údajného psychického obtěžování na pracovišti; bere na vědomí, že jedna žádost o pomoc předložená v roce 2021 vedla k zahájení dvou oddělených správních šetření, v nichž agentura požádala o podporu dva externí vyšetřovatele; bere na vědomí, že v obou případech byla vyšetřování uzavřena bez dalších opatření, zatímco v jednom z nich bylo zahájeno soudní řízení; vyzývá agenturu, aby orgán příslušný k udělení absolutoria informovala o výsledku v této věci;</w:t>
      </w:r>
    </w:p>
    <w:p w:rsidR="005044F1" w:rsidRPr="00A866EF" w:rsidRDefault="005044F1" w:rsidP="005044F1">
      <w:pPr>
        <w:pStyle w:val="NormalHanging12a"/>
        <w:rPr>
          <w:szCs w:val="24"/>
        </w:rPr>
      </w:pPr>
      <w:r w:rsidRPr="00A866EF">
        <w:t>16.</w:t>
      </w:r>
      <w:r w:rsidRPr="00A866EF">
        <w:tab/>
        <w:t>zdůrazňuje, že v roce 2022 agentura přijala prováděcí pravidla ke služebnímu řádu týkající se mimo jiné vedení správních šetření a disciplinárních řízení, volna na návštěvu domovské země pro zaměstnance sloužící ve třetí zemi a vyplácení příspěvku na vzdělání poskytovaného za určitých podmínek zaměstnancům; vítá opatření přijatá agenturou za účelem integrace osob se zdravotním postižením, jakož i závazek agentury přijmout v rámci provádění strategie lidských zdrojů Chartu rozmanitosti a začleňování, kterou schválila pracovní skupina pro rozmanitost a začleňování v rámci sítě pro spravedlnost a vnitřní věci;</w:t>
      </w:r>
    </w:p>
    <w:p w:rsidR="005044F1" w:rsidRPr="00A866EF" w:rsidRDefault="005044F1" w:rsidP="005044F1">
      <w:pPr>
        <w:pStyle w:val="NormalHanging12a"/>
      </w:pPr>
      <w:r w:rsidRPr="00A866EF">
        <w:t>17.</w:t>
      </w:r>
      <w:r w:rsidRPr="00A866EF">
        <w:tab/>
        <w:t>konstatuje, že zaměstnanci agentury pracovali především na dálku do března 2022; bere na vědomí, že od dubna 2022 se všichni zaměstnanci vrátili do prostor agentury; v této souvislosti bere na vědomí, že agentura zavedla přechodná opatření týkající se práce v kanceláři a práce na dálku a pořádala semináře s cílem pomoci zaměstnancům psychicky se přizpůsobit návratu do kanceláře po dvou letech nepřetržité práce na dálku; bere dále na vědomí, že z výsledků průzkumu mezi zaměstnanci agentury z roku 2023 vyplývá, že opatření v oblasti dobrých pracovních podmínek, která agentura přijala v roce 2022, účinně zmírnila dopad, který měla dlouhodobá práce na dálku na zaměstnance; zejména bere na vědomí, že 96 % dotázaných kladně hodnotilo možnost koordinace s členy týmu, přestože pracují na různých místech;</w:t>
      </w:r>
    </w:p>
    <w:p w:rsidR="005044F1" w:rsidRPr="00A866EF" w:rsidRDefault="005044F1" w:rsidP="005044F1">
      <w:pPr>
        <w:pStyle w:val="NormalHanging12a"/>
        <w:rPr>
          <w:b/>
          <w:i/>
        </w:rPr>
      </w:pPr>
      <w:r w:rsidRPr="00A866EF">
        <w:t>18.</w:t>
      </w:r>
      <w:r w:rsidRPr="00A866EF">
        <w:tab/>
        <w:t>s uspokojením konstatuje, že k 31. prosinci 2022 zaměstnávala agentura zaměstnance z 26 členských států; konstatuje, že mezi zaměstnanci agentury byly nejvíce zastoupeny státní příslušností Nizozemsko, Itálie, Španělsko a Rumunsko; připomíná význam zeměpisné vyváženosti a vyzývá agenturu, aby i nadále přijímala nezbytná opatření pro vyvážené a spravedlivé zeměpisné zastoupení;</w:t>
      </w:r>
    </w:p>
    <w:p w:rsidR="005044F1" w:rsidRPr="00A866EF" w:rsidRDefault="005044F1" w:rsidP="005044F1">
      <w:pPr>
        <w:pStyle w:val="Normal12Hanging"/>
        <w:rPr>
          <w:b/>
          <w:i/>
          <w:szCs w:val="24"/>
          <w:lang w:val="cs-CZ"/>
        </w:rPr>
      </w:pPr>
      <w:r w:rsidRPr="00A866EF">
        <w:rPr>
          <w:b/>
          <w:i/>
          <w:lang w:val="cs-CZ"/>
        </w:rPr>
        <w:t>Zadávání veřejných zakázek</w:t>
      </w:r>
    </w:p>
    <w:p w:rsidR="005044F1" w:rsidRPr="00A866EF" w:rsidRDefault="005044F1" w:rsidP="005044F1">
      <w:pPr>
        <w:pStyle w:val="NormalHanging12a"/>
      </w:pPr>
      <w:r w:rsidRPr="00A866EF">
        <w:t>19.</w:t>
      </w:r>
      <w:r w:rsidRPr="00A866EF">
        <w:tab/>
        <w:t>znovu poukazuje na připomínku Účetního dvora za rok 2020, že rámcová smlouva na pronájem vozidel s jediným hospodářským subjektem není vhodná pro povahu požadovaných služeb a zakázka zadaná jako výsledek řízení, jakož i všechny související platby, byly nesprávné; bere na vědomí, že – jak vyplývá ze zprávy Účetního dvora – v roce 2022 agentura na základě této smlouvy neoprávněně vyplatila 59 281 EUR a tato připomínka je stále otevřená; vyzývá agenturu, aby prověřila možnost ukončení této rámcové smlouvy a zahájení nového řízení s obnovením soutěže, jak to považuje za vhodné Účetní dvůr v případě pronájmu vozidel;</w:t>
      </w:r>
    </w:p>
    <w:p w:rsidR="005044F1" w:rsidRPr="00A866EF" w:rsidRDefault="005044F1" w:rsidP="005044F1">
      <w:pPr>
        <w:pStyle w:val="NormalHanging12a"/>
        <w:rPr>
          <w:szCs w:val="24"/>
        </w:rPr>
      </w:pPr>
      <w:r w:rsidRPr="00A866EF">
        <w:t>20.</w:t>
      </w:r>
      <w:r w:rsidRPr="00A866EF">
        <w:tab/>
        <w:t>bere vědomí, že – jak vyplývá ze zprávy agentury o opatřeních přijatých v návaznosti na udělení absolutoria za rok 2021 (dále jen „monitorovací zpráva“) – agentura pokračuje v prověřování nástroje pro řízení veřejných zakázek se záměrem využívat jej pro všechna nová zadávací řízení zahajovaná od roku 2024;</w:t>
      </w:r>
    </w:p>
    <w:p w:rsidR="005044F1" w:rsidRPr="00A866EF" w:rsidRDefault="005044F1" w:rsidP="005044F1">
      <w:pPr>
        <w:pStyle w:val="Normal12Hanging"/>
        <w:rPr>
          <w:b/>
          <w:i/>
          <w:szCs w:val="24"/>
          <w:lang w:val="cs-CZ"/>
        </w:rPr>
      </w:pPr>
      <w:r w:rsidRPr="00A866EF">
        <w:rPr>
          <w:b/>
          <w:i/>
          <w:lang w:val="cs-CZ"/>
        </w:rPr>
        <w:t>Prevence a řešení střetů zájmů a transparentnost</w:t>
      </w:r>
    </w:p>
    <w:p w:rsidR="005044F1" w:rsidRPr="00A866EF" w:rsidRDefault="005044F1" w:rsidP="005044F1">
      <w:pPr>
        <w:pStyle w:val="Normal12Hanging"/>
        <w:rPr>
          <w:szCs w:val="24"/>
          <w:lang w:val="cs-CZ"/>
        </w:rPr>
      </w:pPr>
      <w:r w:rsidRPr="00A866EF">
        <w:rPr>
          <w:lang w:val="cs-CZ"/>
        </w:rPr>
        <w:t>21.</w:t>
      </w:r>
      <w:r w:rsidRPr="00A866EF">
        <w:rPr>
          <w:lang w:val="cs-CZ"/>
        </w:rPr>
        <w:tab/>
        <w:t>bere na vědomí stálý operační postup agentury týkající se řízení střetu zájmů, který se vztahuje na všechny uchazeče, kterým je nabídnuto místo v agentuře, na nově příchozí zaměstnance, na zaměstnance, kteří mění pracovní pozici, a na všechny zaměstnance, kteří z agentury odcházejí; zdůrazňuje, že agentura zavedla etický kodex pro členy kolegia a výkonné rady, nepřijala však žádnou politiku v oblasti „otáčivých dveří“; konstatuje, že v roce 2022 byly nahlášeny a řešeny případy střetu zájmů, zejména pokud jde o účast členů kolegia v řízeních týkajících se zaměstnanců; s uznáním bere na vědomí, že se dotčené osoby rozhodly neúčastnit jednání a zdržet se rozhodování v kolegiu v této věci;</w:t>
      </w:r>
    </w:p>
    <w:p w:rsidR="005044F1" w:rsidRPr="00A866EF" w:rsidRDefault="005044F1" w:rsidP="005044F1">
      <w:pPr>
        <w:pStyle w:val="Normal12Hanging"/>
        <w:rPr>
          <w:szCs w:val="24"/>
          <w:lang w:val="cs-CZ"/>
        </w:rPr>
      </w:pPr>
      <w:r w:rsidRPr="00A866EF">
        <w:rPr>
          <w:lang w:val="cs-CZ"/>
        </w:rPr>
        <w:t>22.</w:t>
      </w:r>
      <w:r w:rsidRPr="00A866EF">
        <w:rPr>
          <w:lang w:val="cs-CZ"/>
        </w:rPr>
        <w:tab/>
        <w:t xml:space="preserve">bere na vědomí, že ačkoli agentura nepořádá schůzky s lobbisty, schůzky výkonné rady agentury s externími hosty, kteří v roce 2022 navštívili agenturu, byly zveřejňovány na </w:t>
      </w:r>
      <w:proofErr w:type="spellStart"/>
      <w:r w:rsidRPr="00A866EF">
        <w:rPr>
          <w:lang w:val="cs-CZ"/>
        </w:rPr>
        <w:t>twitterovém</w:t>
      </w:r>
      <w:proofErr w:type="spellEnd"/>
      <w:r w:rsidRPr="00A866EF">
        <w:rPr>
          <w:lang w:val="cs-CZ"/>
        </w:rPr>
        <w:t xml:space="preserve"> účtu agentury a od roku 2023 na veřejných internetových stránkách agentury; vyjadřuje hluboké politování nad tím, že agentura navzdory opakovaným výzvám Parlamentu v několika usneseních o udělení absolutoria stále nezveřejňuje na svých internetových stránkách životopisy všech svých vyšších vedoucích pracovníků a interních a externích odborníků; vyzývá agenturu, aby tyto životopisy zveřejnila nebo vysvětlila důvody, proč tak dosud neučinila;</w:t>
      </w:r>
    </w:p>
    <w:p w:rsidR="005044F1" w:rsidRPr="00A866EF" w:rsidRDefault="005044F1" w:rsidP="005044F1">
      <w:pPr>
        <w:pStyle w:val="Normal12Hanging"/>
        <w:rPr>
          <w:b/>
          <w:i/>
          <w:szCs w:val="24"/>
          <w:lang w:val="cs-CZ"/>
        </w:rPr>
      </w:pPr>
      <w:r w:rsidRPr="00A866EF">
        <w:rPr>
          <w:b/>
          <w:i/>
          <w:lang w:val="cs-CZ"/>
        </w:rPr>
        <w:t>Interní audit</w:t>
      </w:r>
    </w:p>
    <w:p w:rsidR="005044F1" w:rsidRPr="00A866EF" w:rsidRDefault="005044F1" w:rsidP="005044F1">
      <w:pPr>
        <w:pStyle w:val="NormalHanging12a"/>
        <w:rPr>
          <w:szCs w:val="24"/>
        </w:rPr>
      </w:pPr>
      <w:r w:rsidRPr="00A866EF">
        <w:t>23.</w:t>
      </w:r>
      <w:r w:rsidRPr="00A866EF">
        <w:tab/>
        <w:t>připomíná, že v roce 2021 probíhalo jedno vyšetřování úřadu OLAF, které bylo vedeno na základě anonymní stížnosti týkající se údajných nesrovnalostí v náborových postupech; bere na vědomí, že v roce 2022 úřad OLAF oznámil, že v uvedeném případě nebyly zjištěny žádné nesrovnalosti; v této souvislosti bere dále na vědomí, že vzhledem k tomu, že toto vyšetřování na konci roku 2022 ještě částečně probíhalo, a z důvodu zachování důvěrnosti informací se úřad OLAF rozhodl v této fázi nesdělovat další podrobnosti; vítá závazek agentury – jak vyplývá z její monitorovací zprávy – včas informovat orgán příslušný k udělení absolutoria o jakémkoli vývoji v této záležitosti;</w:t>
      </w:r>
    </w:p>
    <w:p w:rsidR="005044F1" w:rsidRPr="00A866EF" w:rsidRDefault="005044F1" w:rsidP="005044F1">
      <w:pPr>
        <w:pStyle w:val="NormalHanging12a"/>
        <w:rPr>
          <w:szCs w:val="24"/>
        </w:rPr>
      </w:pPr>
      <w:r w:rsidRPr="00A866EF">
        <w:t>24.</w:t>
      </w:r>
      <w:r w:rsidRPr="00A866EF">
        <w:tab/>
        <w:t xml:space="preserve">konstatuje, že na konci roku 2022 stále nebyla provedena čtyři výrazně opožděná doporučení Útvaru interního auditu Komise vydaná za léta 2019 a 2021; v této souvislosti bere na vědomí, že pokud jde o doporučení Útvaru interního auditu z roku 2021 z vlastní iniciativy v oblasti operativních úkolů, příslušná interní pracovní skupina agentury schválila strategický dokument a akční plán s krátkodobými a střednědobými opatřeními, z nichž některá již byla provedena v roce 2023, přičemž agentura toto doporučení označila za provedené s výhradou konečného posouzení Útvarem interního auditu; s ohledem na doporučení Útvaru interního auditu z roku 2021, aby agentura provedla průzkum </w:t>
      </w:r>
      <w:proofErr w:type="spellStart"/>
      <w:r w:rsidRPr="00A866EF">
        <w:t>iCAT</w:t>
      </w:r>
      <w:proofErr w:type="spellEnd"/>
      <w:r w:rsidRPr="00A866EF">
        <w:t xml:space="preserve"> za účelem posílení hodnocení měkkých kontrol, bere dále na vědomí, že – jak vyplývá z monitorovací zprávy agentury – zahájení tohoto průzkumu, plánované na čtvrté čtvrtletí roku 2022, bylo odloženo z důvodu provádění velkých interinstitucionálních projektů (např. systému SUMMA), nárůstu pracovní zátěže v důsledku nových priorit souvisejících s válkou na Ukrajině a přechodného období mezi odchodem předchozího správního ředitele a jmenováním nového; v této souvislosti poznamenává, že příslušné otázky průzkumu </w:t>
      </w:r>
      <w:proofErr w:type="spellStart"/>
      <w:r w:rsidRPr="00A866EF">
        <w:t>iCAT</w:t>
      </w:r>
      <w:proofErr w:type="spellEnd"/>
      <w:r w:rsidRPr="00A866EF">
        <w:t xml:space="preserve"> byly zařazeny do průzkumu angažovanosti prováděného v rámci agentury, který byl zahájen ve druhém čtvrtletí roku 2023; bere rovněž na vědomí, že s výhradou závěrečného hodnocení Útvaru interního auditu se toto doporučení rovněž považuje za provedené; vyzývá agenturu, aby urychlila provádění zbývajících otevřených doporučení Útvaru interního auditu, zejména těch, jejichž provedení je už značně opožděné;</w:t>
      </w:r>
    </w:p>
    <w:p w:rsidR="005044F1" w:rsidRPr="00A866EF" w:rsidRDefault="005044F1" w:rsidP="005044F1">
      <w:pPr>
        <w:pStyle w:val="NormalHanging12a"/>
      </w:pPr>
      <w:r w:rsidRPr="00A866EF">
        <w:t>25.</w:t>
      </w:r>
      <w:r w:rsidRPr="00A866EF">
        <w:tab/>
        <w:t>se znepokojením bere na vědomí výrazný nárůst počtu a hodnoty případů nesouladu v roce 2022 (43 událostí v hodnotě 294 000 EUR) ve srovnání s rokem 2021 (33 událostí v hodnotě 18 000 EUR), které byly spojeny především s problémy, jako je fakturace částek přesahujících právní závazek, rozpočtový závazek vzniklý po přidělení právního závazku nebo neexistence objednávky či konkrétní smlouvy; bere na vědomí, že podle agentury toto navýšení souvisí s obtížemi, které se vyskytly v rozpočtovém a finančním řízení v roce 2022 v důsledku zavádění systému SUMMA; vyzývá agenturu, aby se těmito připomínkami zabývala a prozkoumala modely, aby k těmto situacím již v budoucnu nedocházelo;</w:t>
      </w:r>
    </w:p>
    <w:p w:rsidR="005044F1" w:rsidRPr="00A866EF" w:rsidRDefault="005044F1" w:rsidP="005044F1">
      <w:pPr>
        <w:pStyle w:val="NormalHanging12a"/>
        <w:rPr>
          <w:szCs w:val="24"/>
        </w:rPr>
      </w:pPr>
      <w:r w:rsidRPr="00A866EF">
        <w:t>26.</w:t>
      </w:r>
      <w:r w:rsidRPr="00A866EF">
        <w:tab/>
        <w:t>bere na vědomí, že v roce 2022 byly zavedeny a fungovaly složky a zásady rámce vnitřní kontroly agentury a že systém byl celkově účinný, ačkoli je třeba provést některá zlepšení, např. v souvislosti se zaváděním systému SUMMA a potřebou přijmout plán obnovy provozu po havárii; oceňuje, že agentura přijala politiku v oblasti citlivých funkcí, návrh posouzení nákladové efektivnosti a přínosu zřízení útvaru interního auditu a že v roce 2022 nebyla vydána žádná kritická auditní doporučení nebo připomínky; vyzývá agenturu, aby informovala orgán příslušný k udělení absolutoria o výsledku posouzení týkajícího se útvaru interního auditu; oceňuje rovněž další opatření agentury zavedená v návaznosti na strategii boje proti podvodům, kterou agentura přijala v roce 2021; v tomto smyslu bere na vědomí, že agentura přijala v roce 2022 nové interní postupy pro správu majetku a zásob;</w:t>
      </w:r>
    </w:p>
    <w:p w:rsidR="005044F1" w:rsidRPr="00A866EF" w:rsidRDefault="005044F1" w:rsidP="005044F1">
      <w:pPr>
        <w:pStyle w:val="Normal12Hanging"/>
        <w:rPr>
          <w:b/>
          <w:i/>
          <w:szCs w:val="24"/>
          <w:lang w:val="cs-CZ"/>
        </w:rPr>
      </w:pPr>
      <w:r w:rsidRPr="00A866EF">
        <w:rPr>
          <w:b/>
          <w:i/>
          <w:lang w:val="cs-CZ"/>
        </w:rPr>
        <w:t>Další připomínky</w:t>
      </w:r>
    </w:p>
    <w:p w:rsidR="005044F1" w:rsidRPr="00A866EF" w:rsidRDefault="005044F1" w:rsidP="005044F1">
      <w:pPr>
        <w:pStyle w:val="Normal12Hanging"/>
        <w:rPr>
          <w:szCs w:val="24"/>
          <w:lang w:val="cs-CZ"/>
        </w:rPr>
      </w:pPr>
      <w:r w:rsidRPr="00A866EF">
        <w:rPr>
          <w:lang w:val="cs-CZ"/>
        </w:rPr>
        <w:t>27.</w:t>
      </w:r>
      <w:r w:rsidRPr="00A866EF">
        <w:rPr>
          <w:lang w:val="cs-CZ"/>
        </w:rPr>
        <w:tab/>
        <w:t>vyjadřuje uznání agentuře za investice do komunikačních aktivit s cílem posílit povědomí o přínosu agentury a o její činnosti u široké veřejnosti; v důsledku toho bere na vědomí, že v roce 2022 došlo ve srovnání s rokem 2021 k nárůstu měřených sledování agentury v sociálních médiích o 40 %, počtu návštěvníků jejích internetových stránek o téměř 100 % a počtu tiskových zpráv a aktualit o 16 %, přičemž v případě posledně jmenovaného ukazatele došlo ve srovnání s rokem 2021 téměř k pětinásobnému nárůstu „zmínek“ v odkazech na sociálních médiích;</w:t>
      </w:r>
    </w:p>
    <w:p w:rsidR="005044F1" w:rsidRPr="00A866EF" w:rsidRDefault="005044F1" w:rsidP="005044F1">
      <w:pPr>
        <w:pStyle w:val="Normal12Hanging"/>
        <w:rPr>
          <w:szCs w:val="24"/>
          <w:lang w:val="cs-CZ"/>
        </w:rPr>
      </w:pPr>
      <w:r w:rsidRPr="00A866EF">
        <w:rPr>
          <w:lang w:val="cs-CZ"/>
        </w:rPr>
        <w:t>28.</w:t>
      </w:r>
      <w:r w:rsidRPr="00A866EF">
        <w:rPr>
          <w:lang w:val="cs-CZ"/>
        </w:rPr>
        <w:tab/>
        <w:t>oceňuje, že agentura v roce 2022 pokračovala v úsilí o posílení dodržování ochrany údajů; vítá rozšíření týmu inspektora ochrany údajů agentury o další dva zaměstnance pověřené plněním nových úkolů v souvislosti s nařízením (EU) 2018/1725</w:t>
      </w:r>
      <w:r w:rsidR="000E66D7">
        <w:rPr>
          <w:rStyle w:val="FootnoteReference"/>
          <w:lang w:val="cs-CZ"/>
        </w:rPr>
        <w:footnoteReference w:id="12"/>
      </w:r>
      <w:r w:rsidRPr="00A866EF">
        <w:rPr>
          <w:lang w:val="cs-CZ"/>
        </w:rPr>
        <w:t xml:space="preserve"> a rozšířením mandátu agentury o nejzávažnější zločiny, jimiž je dotčeno mezinárodní společenství, což zvyšuje požadavky na ochranu údajů; bere na vědomí, že v roce 2022 pokračovaly pravidelné (dvouměsíční) schůzky inspektora ochrany údajů a evropského inspektora ochrany údajů, jakož i </w:t>
      </w:r>
      <w:r w:rsidRPr="00A866EF">
        <w:rPr>
          <w:i/>
          <w:lang w:val="cs-CZ"/>
        </w:rPr>
        <w:t>ad hoc</w:t>
      </w:r>
      <w:r w:rsidRPr="00A866EF">
        <w:rPr>
          <w:lang w:val="cs-CZ"/>
        </w:rPr>
        <w:t xml:space="preserve"> schůzky a konzultace k různým otázkám ochrany údajů, jako jsou mimo jiné porušení ochrany údajů a stížnosti;</w:t>
      </w:r>
    </w:p>
    <w:p w:rsidR="005044F1" w:rsidRPr="00A866EF" w:rsidRDefault="005044F1" w:rsidP="005044F1">
      <w:pPr>
        <w:pStyle w:val="Normal12Hanging"/>
        <w:rPr>
          <w:szCs w:val="24"/>
          <w:lang w:val="cs-CZ"/>
        </w:rPr>
      </w:pPr>
      <w:r w:rsidRPr="00A866EF">
        <w:rPr>
          <w:lang w:val="cs-CZ"/>
        </w:rPr>
        <w:t>29.</w:t>
      </w:r>
      <w:r w:rsidRPr="00A866EF">
        <w:rPr>
          <w:lang w:val="cs-CZ"/>
        </w:rPr>
        <w:tab/>
        <w:t xml:space="preserve">dále vyjadřuje agentuře uznání za to, že v roce 2022 zavedla několik opatření za účelem zvýšení kybernetické bezpečnosti a ochrany digitálních záznamů, které má v držení, jako je mimo jiné zavedení centrálně spravovaných a zabezpečených služebních mobilních telefonů, zavedení interních informačních schůzek </w:t>
      </w:r>
      <w:proofErr w:type="spellStart"/>
      <w:r w:rsidRPr="00A866EF">
        <w:rPr>
          <w:i/>
          <w:lang w:val="cs-CZ"/>
        </w:rPr>
        <w:t>CyberCafe</w:t>
      </w:r>
      <w:proofErr w:type="spellEnd"/>
      <w:r w:rsidRPr="00A866EF">
        <w:rPr>
          <w:lang w:val="cs-CZ"/>
        </w:rPr>
        <w:t xml:space="preserve"> a zavedení ochrany proti útokům typu </w:t>
      </w:r>
      <w:proofErr w:type="spellStart"/>
      <w:r w:rsidRPr="00A866EF">
        <w:rPr>
          <w:lang w:val="cs-CZ"/>
        </w:rPr>
        <w:t>Distributed</w:t>
      </w:r>
      <w:proofErr w:type="spellEnd"/>
      <w:r w:rsidRPr="00A866EF">
        <w:rPr>
          <w:lang w:val="cs-CZ"/>
        </w:rPr>
        <w:t xml:space="preserve"> </w:t>
      </w:r>
      <w:proofErr w:type="spellStart"/>
      <w:r w:rsidRPr="00A866EF">
        <w:rPr>
          <w:lang w:val="cs-CZ"/>
        </w:rPr>
        <w:t>Denial</w:t>
      </w:r>
      <w:proofErr w:type="spellEnd"/>
      <w:r w:rsidRPr="00A866EF">
        <w:rPr>
          <w:lang w:val="cs-CZ"/>
        </w:rPr>
        <w:t xml:space="preserve"> </w:t>
      </w:r>
      <w:proofErr w:type="spellStart"/>
      <w:r w:rsidRPr="00A866EF">
        <w:rPr>
          <w:lang w:val="cs-CZ"/>
        </w:rPr>
        <w:t>of</w:t>
      </w:r>
      <w:proofErr w:type="spellEnd"/>
      <w:r w:rsidRPr="00A866EF">
        <w:rPr>
          <w:lang w:val="cs-CZ"/>
        </w:rPr>
        <w:t xml:space="preserve"> Service;</w:t>
      </w:r>
    </w:p>
    <w:p w:rsidR="005044F1" w:rsidRPr="00A866EF" w:rsidRDefault="005044F1" w:rsidP="005044F1">
      <w:pPr>
        <w:pStyle w:val="NormalCenter12a"/>
      </w:pPr>
      <w:r w:rsidRPr="00A866EF">
        <w:t>°</w:t>
      </w:r>
    </w:p>
    <w:p w:rsidR="005044F1" w:rsidRPr="00A866EF" w:rsidRDefault="005044F1" w:rsidP="005044F1">
      <w:pPr>
        <w:pStyle w:val="NormalCenter12a"/>
      </w:pPr>
      <w:r w:rsidRPr="00A866EF">
        <w:t>°</w:t>
      </w:r>
      <w:r w:rsidRPr="00A866EF">
        <w:tab/>
        <w:t>°</w:t>
      </w:r>
    </w:p>
    <w:p w:rsidR="005044F1" w:rsidRPr="00A866EF" w:rsidRDefault="005044F1" w:rsidP="005044F1">
      <w:pPr>
        <w:pStyle w:val="NormalHanging12a"/>
      </w:pPr>
      <w:r w:rsidRPr="00A866EF">
        <w:t>30.</w:t>
      </w:r>
      <w:r w:rsidRPr="00A866EF">
        <w:tab/>
        <w:t>pokud jde o další připomínky, které jsou připojeny k rozhodnutí o udělení absolutoria a jsou horizontální povahy, odka</w:t>
      </w:r>
      <w:r w:rsidR="00757C5F">
        <w:t xml:space="preserve">zuje na své usnesení ze dne 11. dubna </w:t>
      </w:r>
      <w:r w:rsidRPr="00A866EF">
        <w:t>2024</w:t>
      </w:r>
      <w:r w:rsidRPr="00A866EF">
        <w:rPr>
          <w:rStyle w:val="FootnoteReference"/>
        </w:rPr>
        <w:footnoteReference w:id="13"/>
      </w:r>
      <w:r w:rsidRPr="00A866EF">
        <w:t xml:space="preserve"> o výkonnosti, finančním řízení a kontrole agentur.</w:t>
      </w:r>
    </w:p>
    <w:p w:rsidR="005044F1" w:rsidRPr="00A866EF" w:rsidRDefault="005044F1" w:rsidP="005044F1">
      <w:pPr>
        <w:widowControl/>
      </w:pPr>
    </w:p>
    <w:p w:rsidR="005044F1" w:rsidRPr="00A866EF" w:rsidRDefault="005044F1" w:rsidP="005044F1"/>
    <w:sectPr w:rsidR="005044F1" w:rsidRPr="00A866EF" w:rsidSect="00A866E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C72" w:rsidRPr="00A866EF" w:rsidRDefault="00465C72">
      <w:r w:rsidRPr="00A866EF">
        <w:separator/>
      </w:r>
    </w:p>
  </w:endnote>
  <w:endnote w:type="continuationSeparator" w:id="0">
    <w:p w:rsidR="00465C72" w:rsidRPr="00A866EF" w:rsidRDefault="00465C72">
      <w:r w:rsidRPr="00A866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4F1" w:rsidRPr="00A866EF" w:rsidRDefault="005044F1" w:rsidP="0075743B">
    <w:pPr>
      <w:pStyle w:val="EPFooter"/>
    </w:pPr>
    <w:r w:rsidRPr="00A866EF">
      <w:t>PE</w:t>
    </w:r>
    <w:r w:rsidRPr="00A866EF">
      <w:rPr>
        <w:rStyle w:val="HideTWBExt"/>
      </w:rPr>
      <w:t>&lt;</w:t>
    </w:r>
    <w:proofErr w:type="spellStart"/>
    <w:r w:rsidRPr="00A866EF">
      <w:rPr>
        <w:rStyle w:val="HideTWBExt"/>
      </w:rPr>
      <w:t>NoPE</w:t>
    </w:r>
    <w:proofErr w:type="spellEnd"/>
    <w:r w:rsidRPr="00A866EF">
      <w:rPr>
        <w:rStyle w:val="HideTWBExt"/>
      </w:rPr>
      <w:t>&gt;</w:t>
    </w:r>
    <w:r w:rsidRPr="00A866EF">
      <w:t>753.539</w:t>
    </w:r>
    <w:r w:rsidRPr="00A866EF">
      <w:rPr>
        <w:rStyle w:val="HideTWBExt"/>
      </w:rPr>
      <w:t>&lt;/</w:t>
    </w:r>
    <w:proofErr w:type="spellStart"/>
    <w:r w:rsidRPr="00A866EF">
      <w:rPr>
        <w:rStyle w:val="HideTWBExt"/>
      </w:rPr>
      <w:t>NoPE</w:t>
    </w:r>
    <w:proofErr w:type="spellEnd"/>
    <w:r w:rsidRPr="00A866EF">
      <w:rPr>
        <w:rStyle w:val="HideTWBExt"/>
      </w:rPr>
      <w:t>&gt;&lt;Version&gt;</w:t>
    </w:r>
    <w:r w:rsidRPr="00A866EF">
      <w:t>v02-00</w:t>
    </w:r>
    <w:r w:rsidRPr="00A866EF">
      <w:rPr>
        <w:rStyle w:val="HideTWBExt"/>
      </w:rPr>
      <w:t>&lt;/</w:t>
    </w:r>
    <w:proofErr w:type="spellStart"/>
    <w:r w:rsidRPr="00A866EF">
      <w:rPr>
        <w:rStyle w:val="HideTWBExt"/>
      </w:rPr>
      <w:t>Version</w:t>
    </w:r>
    <w:proofErr w:type="spellEnd"/>
    <w:r w:rsidRPr="00A866EF">
      <w:rPr>
        <w:rStyle w:val="HideTWBExt"/>
      </w:rPr>
      <w:t>&gt;</w:t>
    </w:r>
    <w:r w:rsidRPr="00A866EF">
      <w:tab/>
    </w:r>
    <w:r w:rsidRPr="00A866EF">
      <w:fldChar w:fldCharType="begin"/>
    </w:r>
    <w:r w:rsidRPr="00A866EF">
      <w:instrText xml:space="preserve"> PAGE  \* MERGEFORMAT </w:instrText>
    </w:r>
    <w:r w:rsidRPr="00A866EF">
      <w:fldChar w:fldCharType="separate"/>
    </w:r>
    <w:r w:rsidRPr="00A866EF">
      <w:rPr>
        <w:noProof/>
      </w:rPr>
      <w:t>4</w:t>
    </w:r>
    <w:r w:rsidRPr="00A866EF">
      <w:fldChar w:fldCharType="end"/>
    </w:r>
    <w:r w:rsidRPr="00A866EF">
      <w:t>/</w:t>
    </w:r>
    <w:fldSimple w:instr=" NUMPAGES  \* MERGEFORMAT ">
      <w:r w:rsidRPr="00A866EF">
        <w:rPr>
          <w:noProof/>
        </w:rPr>
        <w:t>4</w:t>
      </w:r>
    </w:fldSimple>
    <w:r w:rsidRPr="00A866EF">
      <w:tab/>
    </w:r>
    <w:r w:rsidRPr="00A866EF">
      <w:rPr>
        <w:rStyle w:val="HideTWBExt"/>
      </w:rPr>
      <w:t>&lt;PathFdR&gt;</w:t>
    </w:r>
    <w:r w:rsidRPr="00A866EF">
      <w:t>RR\1298768CS.docx</w:t>
    </w:r>
    <w:r w:rsidRPr="00A866EF">
      <w:rPr>
        <w:rStyle w:val="HideTWBExt"/>
      </w:rPr>
      <w:t>&lt;/</w:t>
    </w:r>
    <w:proofErr w:type="spellStart"/>
    <w:r w:rsidRPr="00A866EF">
      <w:rPr>
        <w:rStyle w:val="HideTWBExt"/>
      </w:rPr>
      <w:t>PathFdR</w:t>
    </w:r>
    <w:proofErr w:type="spellEnd"/>
    <w:r w:rsidRPr="00A866EF">
      <w:rPr>
        <w:rStyle w:val="HideTWBExt"/>
      </w:rPr>
      <w:t>&gt;</w:t>
    </w:r>
  </w:p>
  <w:p w:rsidR="005044F1" w:rsidRPr="00A866EF" w:rsidRDefault="005044F1" w:rsidP="0075743B">
    <w:pPr>
      <w:pStyle w:val="EPFooter2"/>
    </w:pPr>
    <w:r w:rsidRPr="00A866EF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4F1" w:rsidRPr="00A866EF" w:rsidRDefault="005044F1" w:rsidP="0075743B">
    <w:pPr>
      <w:pStyle w:val="EPFooter"/>
    </w:pPr>
    <w:r w:rsidRPr="00A866EF">
      <w:rPr>
        <w:rStyle w:val="HideTWBExt"/>
      </w:rPr>
      <w:t>&lt;PathFdR&gt;</w:t>
    </w:r>
    <w:r w:rsidRPr="00A866EF">
      <w:t>RR\1298768CS.docx</w:t>
    </w:r>
    <w:r w:rsidRPr="00A866EF">
      <w:rPr>
        <w:rStyle w:val="HideTWBExt"/>
      </w:rPr>
      <w:t>&lt;/</w:t>
    </w:r>
    <w:proofErr w:type="spellStart"/>
    <w:r w:rsidRPr="00A866EF">
      <w:rPr>
        <w:rStyle w:val="HideTWBExt"/>
      </w:rPr>
      <w:t>PathFdR</w:t>
    </w:r>
    <w:proofErr w:type="spellEnd"/>
    <w:r w:rsidRPr="00A866EF">
      <w:rPr>
        <w:rStyle w:val="HideTWBExt"/>
      </w:rPr>
      <w:t>&gt;</w:t>
    </w:r>
    <w:r w:rsidRPr="00A866EF">
      <w:tab/>
    </w:r>
    <w:r w:rsidRPr="00A866EF">
      <w:tab/>
      <w:t>PE</w:t>
    </w:r>
    <w:r w:rsidRPr="00A866EF">
      <w:rPr>
        <w:rStyle w:val="HideTWBExt"/>
      </w:rPr>
      <w:t>&lt;</w:t>
    </w:r>
    <w:proofErr w:type="spellStart"/>
    <w:r w:rsidRPr="00A866EF">
      <w:rPr>
        <w:rStyle w:val="HideTWBExt"/>
      </w:rPr>
      <w:t>NoPE</w:t>
    </w:r>
    <w:proofErr w:type="spellEnd"/>
    <w:r w:rsidRPr="00A866EF">
      <w:rPr>
        <w:rStyle w:val="HideTWBExt"/>
      </w:rPr>
      <w:t>&gt;</w:t>
    </w:r>
    <w:r w:rsidRPr="00A866EF">
      <w:t>753.539</w:t>
    </w:r>
    <w:r w:rsidRPr="00A866EF">
      <w:rPr>
        <w:rStyle w:val="HideTWBExt"/>
      </w:rPr>
      <w:t>&lt;/</w:t>
    </w:r>
    <w:proofErr w:type="spellStart"/>
    <w:r w:rsidRPr="00A866EF">
      <w:rPr>
        <w:rStyle w:val="HideTWBExt"/>
      </w:rPr>
      <w:t>NoPE</w:t>
    </w:r>
    <w:proofErr w:type="spellEnd"/>
    <w:r w:rsidRPr="00A866EF">
      <w:rPr>
        <w:rStyle w:val="HideTWBExt"/>
      </w:rPr>
      <w:t>&gt;&lt;Version&gt;</w:t>
    </w:r>
    <w:r w:rsidRPr="00A866EF">
      <w:t>v02-00</w:t>
    </w:r>
    <w:r w:rsidRPr="00A866EF">
      <w:rPr>
        <w:rStyle w:val="HideTWBExt"/>
      </w:rPr>
      <w:t>&lt;/</w:t>
    </w:r>
    <w:proofErr w:type="spellStart"/>
    <w:r w:rsidRPr="00A866EF">
      <w:rPr>
        <w:rStyle w:val="HideTWBExt"/>
      </w:rPr>
      <w:t>Version</w:t>
    </w:r>
    <w:proofErr w:type="spellEnd"/>
    <w:r w:rsidRPr="00A866EF">
      <w:rPr>
        <w:rStyle w:val="HideTWBExt"/>
      </w:rPr>
      <w:t>&gt;</w:t>
    </w:r>
  </w:p>
  <w:p w:rsidR="005044F1" w:rsidRPr="00A866EF" w:rsidRDefault="005044F1" w:rsidP="0075743B">
    <w:pPr>
      <w:pStyle w:val="EPFooter2"/>
    </w:pPr>
    <w:r w:rsidRPr="00A866EF">
      <w:t>CS</w:t>
    </w:r>
    <w:r w:rsidRPr="00A866EF">
      <w:tab/>
    </w:r>
    <w:r w:rsidRPr="00A866EF">
      <w:rPr>
        <w:b w:val="0"/>
        <w:i/>
        <w:color w:val="C0C0C0"/>
        <w:sz w:val="22"/>
      </w:rPr>
      <w:t>Jednotná v rozmanitosti</w:t>
    </w:r>
    <w:r w:rsidRPr="00A866EF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66EF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66EF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66E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C72" w:rsidRPr="00A866EF" w:rsidRDefault="00465C72">
      <w:r w:rsidRPr="00A866EF">
        <w:separator/>
      </w:r>
    </w:p>
  </w:footnote>
  <w:footnote w:type="continuationSeparator" w:id="0">
    <w:p w:rsidR="00465C72" w:rsidRPr="00A866EF" w:rsidRDefault="00465C72">
      <w:r w:rsidRPr="00A866EF">
        <w:continuationSeparator/>
      </w:r>
    </w:p>
  </w:footnote>
  <w:footnote w:id="1">
    <w:p w:rsidR="005044F1" w:rsidRPr="00A866EF" w:rsidRDefault="005044F1" w:rsidP="00A866EF">
      <w:pPr>
        <w:pStyle w:val="FootnoteText"/>
        <w:ind w:left="567" w:hanging="567"/>
        <w:rPr>
          <w:sz w:val="24"/>
          <w:lang w:val="cs-CZ"/>
        </w:rPr>
      </w:pPr>
      <w:r w:rsidRPr="00A866EF">
        <w:rPr>
          <w:rStyle w:val="FootnoteReference"/>
          <w:sz w:val="24"/>
          <w:lang w:val="cs-CZ"/>
        </w:rPr>
        <w:footnoteRef/>
      </w:r>
      <w:r w:rsidR="00A866EF" w:rsidRPr="00A866EF">
        <w:rPr>
          <w:sz w:val="24"/>
          <w:lang w:val="cs-CZ"/>
        </w:rPr>
        <w:t xml:space="preserve"> </w:t>
      </w:r>
      <w:r w:rsidR="00A866EF" w:rsidRPr="00A866EF">
        <w:rPr>
          <w:sz w:val="24"/>
          <w:lang w:val="cs-CZ"/>
        </w:rPr>
        <w:tab/>
      </w:r>
      <w:proofErr w:type="spellStart"/>
      <w:r w:rsidRPr="00A866EF">
        <w:rPr>
          <w:sz w:val="24"/>
          <w:lang w:val="cs-CZ"/>
        </w:rPr>
        <w:t>Úř</w:t>
      </w:r>
      <w:proofErr w:type="spellEnd"/>
      <w:r w:rsidRPr="00A866EF">
        <w:rPr>
          <w:sz w:val="24"/>
          <w:lang w:val="cs-CZ"/>
        </w:rPr>
        <w:t xml:space="preserve">. </w:t>
      </w:r>
      <w:proofErr w:type="spellStart"/>
      <w:r w:rsidRPr="00A866EF">
        <w:rPr>
          <w:sz w:val="24"/>
          <w:lang w:val="cs-CZ"/>
        </w:rPr>
        <w:t>věst</w:t>
      </w:r>
      <w:proofErr w:type="spellEnd"/>
      <w:r w:rsidRPr="00A866EF">
        <w:rPr>
          <w:sz w:val="24"/>
          <w:lang w:val="cs-CZ"/>
        </w:rPr>
        <w:t>. C, C/2023/594, 27.10.2023.</w:t>
      </w:r>
    </w:p>
  </w:footnote>
  <w:footnote w:id="2">
    <w:p w:rsidR="005044F1" w:rsidRPr="00A866EF" w:rsidRDefault="005044F1" w:rsidP="00A866EF">
      <w:pPr>
        <w:pStyle w:val="FootnoteText"/>
        <w:ind w:left="567" w:hanging="567"/>
        <w:rPr>
          <w:sz w:val="24"/>
          <w:lang w:val="cs-CZ"/>
        </w:rPr>
      </w:pPr>
      <w:r w:rsidRPr="00A866EF">
        <w:rPr>
          <w:rStyle w:val="FootnoteReference"/>
          <w:sz w:val="24"/>
          <w:lang w:val="cs-CZ"/>
        </w:rPr>
        <w:footnoteRef/>
      </w:r>
      <w:r w:rsidR="00A866EF" w:rsidRPr="00A866EF">
        <w:rPr>
          <w:sz w:val="24"/>
          <w:lang w:val="cs-CZ"/>
        </w:rPr>
        <w:t xml:space="preserve"> </w:t>
      </w:r>
      <w:r w:rsidR="00A866EF" w:rsidRPr="00A866EF">
        <w:rPr>
          <w:sz w:val="24"/>
          <w:lang w:val="cs-CZ"/>
        </w:rPr>
        <w:tab/>
      </w:r>
      <w:proofErr w:type="spellStart"/>
      <w:r w:rsidRPr="00A866EF">
        <w:rPr>
          <w:sz w:val="24"/>
          <w:lang w:val="cs-CZ"/>
        </w:rPr>
        <w:t>Úř</w:t>
      </w:r>
      <w:proofErr w:type="spellEnd"/>
      <w:r w:rsidRPr="00A866EF">
        <w:rPr>
          <w:sz w:val="24"/>
          <w:lang w:val="cs-CZ"/>
        </w:rPr>
        <w:t xml:space="preserve">. </w:t>
      </w:r>
      <w:proofErr w:type="spellStart"/>
      <w:r w:rsidRPr="00A866EF">
        <w:rPr>
          <w:sz w:val="24"/>
          <w:lang w:val="cs-CZ"/>
        </w:rPr>
        <w:t>věst</w:t>
      </w:r>
      <w:proofErr w:type="spellEnd"/>
      <w:r w:rsidRPr="00A866EF">
        <w:rPr>
          <w:sz w:val="24"/>
          <w:lang w:val="cs-CZ"/>
        </w:rPr>
        <w:t>. C, C/2023/112, 12.10.2023.</w:t>
      </w:r>
    </w:p>
  </w:footnote>
  <w:footnote w:id="3">
    <w:p w:rsidR="005044F1" w:rsidRPr="00A866EF" w:rsidRDefault="005044F1" w:rsidP="00A866EF">
      <w:pPr>
        <w:pStyle w:val="FootnoteText"/>
        <w:ind w:left="567" w:hanging="567"/>
        <w:rPr>
          <w:sz w:val="24"/>
          <w:lang w:val="cs-CZ"/>
        </w:rPr>
      </w:pPr>
      <w:r w:rsidRPr="00A866EF">
        <w:rPr>
          <w:rStyle w:val="FootnoteReference"/>
          <w:sz w:val="24"/>
          <w:lang w:val="cs-CZ"/>
        </w:rPr>
        <w:footnoteRef/>
      </w:r>
      <w:r w:rsidR="00A866EF" w:rsidRPr="00A866EF">
        <w:rPr>
          <w:sz w:val="24"/>
          <w:lang w:val="cs-CZ"/>
        </w:rPr>
        <w:t xml:space="preserve"> </w:t>
      </w:r>
      <w:r w:rsidR="00A866EF" w:rsidRPr="00A866EF">
        <w:rPr>
          <w:sz w:val="24"/>
          <w:lang w:val="cs-CZ"/>
        </w:rPr>
        <w:tab/>
      </w:r>
      <w:proofErr w:type="spellStart"/>
      <w:r w:rsidRPr="00A866EF">
        <w:rPr>
          <w:sz w:val="24"/>
          <w:lang w:val="cs-CZ"/>
        </w:rPr>
        <w:t>Úř</w:t>
      </w:r>
      <w:proofErr w:type="spellEnd"/>
      <w:r w:rsidRPr="00A866EF">
        <w:rPr>
          <w:sz w:val="24"/>
          <w:lang w:val="cs-CZ"/>
        </w:rPr>
        <w:t xml:space="preserve">. </w:t>
      </w:r>
      <w:proofErr w:type="spellStart"/>
      <w:r w:rsidRPr="00A866EF">
        <w:rPr>
          <w:sz w:val="24"/>
          <w:lang w:val="cs-CZ"/>
        </w:rPr>
        <w:t>věst</w:t>
      </w:r>
      <w:proofErr w:type="spellEnd"/>
      <w:r w:rsidRPr="00A866EF">
        <w:rPr>
          <w:sz w:val="24"/>
          <w:lang w:val="cs-CZ"/>
        </w:rPr>
        <w:t>. L 193, 30.7.2018, s. 1.</w:t>
      </w:r>
    </w:p>
  </w:footnote>
  <w:footnote w:id="4">
    <w:p w:rsidR="005044F1" w:rsidRPr="00A866EF" w:rsidRDefault="005044F1" w:rsidP="00A866EF">
      <w:pPr>
        <w:pStyle w:val="FootnoteText"/>
        <w:ind w:left="567" w:hanging="567"/>
        <w:rPr>
          <w:sz w:val="24"/>
          <w:lang w:val="cs-CZ"/>
        </w:rPr>
      </w:pPr>
      <w:r w:rsidRPr="00A866EF">
        <w:rPr>
          <w:rStyle w:val="FootnoteReference"/>
          <w:sz w:val="24"/>
          <w:lang w:val="cs-CZ"/>
        </w:rPr>
        <w:footnoteRef/>
      </w:r>
      <w:r w:rsidR="00A866EF" w:rsidRPr="00A866EF">
        <w:rPr>
          <w:sz w:val="24"/>
          <w:lang w:val="cs-CZ"/>
        </w:rPr>
        <w:t xml:space="preserve"> </w:t>
      </w:r>
      <w:r w:rsidR="00A866EF" w:rsidRPr="00A866EF">
        <w:rPr>
          <w:sz w:val="24"/>
          <w:lang w:val="cs-CZ"/>
        </w:rPr>
        <w:tab/>
      </w:r>
      <w:proofErr w:type="spellStart"/>
      <w:r w:rsidRPr="00A866EF">
        <w:rPr>
          <w:sz w:val="24"/>
          <w:lang w:val="cs-CZ"/>
        </w:rPr>
        <w:t>Úř</w:t>
      </w:r>
      <w:proofErr w:type="spellEnd"/>
      <w:r w:rsidRPr="00A866EF">
        <w:rPr>
          <w:sz w:val="24"/>
          <w:lang w:val="cs-CZ"/>
        </w:rPr>
        <w:t xml:space="preserve">. </w:t>
      </w:r>
      <w:proofErr w:type="spellStart"/>
      <w:r w:rsidRPr="00A866EF">
        <w:rPr>
          <w:sz w:val="24"/>
          <w:lang w:val="cs-CZ"/>
        </w:rPr>
        <w:t>věst</w:t>
      </w:r>
      <w:proofErr w:type="spellEnd"/>
      <w:r w:rsidRPr="00A866EF">
        <w:rPr>
          <w:sz w:val="24"/>
          <w:lang w:val="cs-CZ"/>
        </w:rPr>
        <w:t>. L 295, 21.11.2018, s. 138.</w:t>
      </w:r>
    </w:p>
  </w:footnote>
  <w:footnote w:id="5">
    <w:p w:rsidR="005044F1" w:rsidRPr="00A866EF" w:rsidRDefault="005044F1" w:rsidP="00A866EF">
      <w:pPr>
        <w:pStyle w:val="FootnoteText"/>
        <w:ind w:left="567" w:hanging="567"/>
        <w:rPr>
          <w:sz w:val="24"/>
          <w:szCs w:val="24"/>
          <w:lang w:val="cs-CZ"/>
        </w:rPr>
      </w:pPr>
      <w:r w:rsidRPr="00A866EF">
        <w:rPr>
          <w:rStyle w:val="FootnoteReference"/>
          <w:sz w:val="24"/>
          <w:lang w:val="cs-CZ"/>
        </w:rPr>
        <w:footnoteRef/>
      </w:r>
      <w:r w:rsidR="00A866EF" w:rsidRPr="00A866EF">
        <w:rPr>
          <w:sz w:val="24"/>
          <w:lang w:val="cs-CZ"/>
        </w:rPr>
        <w:t xml:space="preserve"> </w:t>
      </w:r>
      <w:r w:rsidR="00A866EF" w:rsidRPr="00A866EF">
        <w:rPr>
          <w:sz w:val="24"/>
          <w:lang w:val="cs-CZ"/>
        </w:rPr>
        <w:tab/>
      </w:r>
      <w:proofErr w:type="spellStart"/>
      <w:r w:rsidRPr="00A866EF">
        <w:rPr>
          <w:sz w:val="24"/>
          <w:lang w:val="cs-CZ"/>
        </w:rPr>
        <w:t>Úř</w:t>
      </w:r>
      <w:proofErr w:type="spellEnd"/>
      <w:r w:rsidRPr="00A866EF">
        <w:rPr>
          <w:sz w:val="24"/>
          <w:lang w:val="cs-CZ"/>
        </w:rPr>
        <w:t xml:space="preserve">. </w:t>
      </w:r>
      <w:proofErr w:type="spellStart"/>
      <w:r w:rsidRPr="00A866EF">
        <w:rPr>
          <w:sz w:val="24"/>
          <w:lang w:val="cs-CZ"/>
        </w:rPr>
        <w:t>věst</w:t>
      </w:r>
      <w:proofErr w:type="spellEnd"/>
      <w:r w:rsidRPr="00A866EF">
        <w:rPr>
          <w:sz w:val="24"/>
          <w:lang w:val="cs-CZ"/>
        </w:rPr>
        <w:t>. L 122, 10.5.2019, s. 1.</w:t>
      </w:r>
    </w:p>
  </w:footnote>
  <w:footnote w:id="6">
    <w:p w:rsidR="005044F1" w:rsidRPr="00A866EF" w:rsidRDefault="005044F1" w:rsidP="00A866EF">
      <w:pPr>
        <w:pStyle w:val="FootnoteText"/>
        <w:ind w:left="567" w:hanging="567"/>
        <w:rPr>
          <w:sz w:val="24"/>
          <w:lang w:val="cs-CZ"/>
        </w:rPr>
      </w:pPr>
      <w:r w:rsidRPr="00A866EF">
        <w:rPr>
          <w:rStyle w:val="FootnoteReference"/>
          <w:sz w:val="24"/>
          <w:lang w:val="cs-CZ"/>
        </w:rPr>
        <w:footnoteRef/>
      </w:r>
      <w:r w:rsidR="00A866EF" w:rsidRPr="00A866EF">
        <w:rPr>
          <w:sz w:val="24"/>
          <w:lang w:val="cs-CZ"/>
        </w:rPr>
        <w:t xml:space="preserve"> </w:t>
      </w:r>
      <w:r w:rsidR="00A866EF" w:rsidRPr="00A866EF">
        <w:rPr>
          <w:sz w:val="24"/>
          <w:lang w:val="cs-CZ"/>
        </w:rPr>
        <w:tab/>
      </w:r>
      <w:proofErr w:type="spellStart"/>
      <w:r w:rsidRPr="00A866EF">
        <w:rPr>
          <w:sz w:val="24"/>
          <w:lang w:val="cs-CZ"/>
        </w:rPr>
        <w:t>Úř</w:t>
      </w:r>
      <w:proofErr w:type="spellEnd"/>
      <w:r w:rsidRPr="00A866EF">
        <w:rPr>
          <w:sz w:val="24"/>
          <w:lang w:val="cs-CZ"/>
        </w:rPr>
        <w:t xml:space="preserve">. </w:t>
      </w:r>
      <w:proofErr w:type="spellStart"/>
      <w:r w:rsidRPr="00A866EF">
        <w:rPr>
          <w:sz w:val="24"/>
          <w:lang w:val="cs-CZ"/>
        </w:rPr>
        <w:t>věst</w:t>
      </w:r>
      <w:proofErr w:type="spellEnd"/>
      <w:r w:rsidRPr="00A866EF">
        <w:rPr>
          <w:sz w:val="24"/>
          <w:lang w:val="cs-CZ"/>
        </w:rPr>
        <w:t>. C, C/2023/594, 27.10.2023.</w:t>
      </w:r>
    </w:p>
  </w:footnote>
  <w:footnote w:id="7">
    <w:p w:rsidR="005044F1" w:rsidRPr="00A866EF" w:rsidRDefault="005044F1" w:rsidP="00A866EF">
      <w:pPr>
        <w:pStyle w:val="FootnoteText"/>
        <w:ind w:left="567" w:hanging="567"/>
        <w:rPr>
          <w:sz w:val="24"/>
          <w:lang w:val="cs-CZ"/>
        </w:rPr>
      </w:pPr>
      <w:r w:rsidRPr="00A866EF">
        <w:rPr>
          <w:rStyle w:val="FootnoteReference"/>
          <w:sz w:val="24"/>
          <w:lang w:val="cs-CZ"/>
        </w:rPr>
        <w:footnoteRef/>
      </w:r>
      <w:r w:rsidR="00A866EF" w:rsidRPr="00A866EF">
        <w:rPr>
          <w:sz w:val="24"/>
          <w:lang w:val="cs-CZ"/>
        </w:rPr>
        <w:t xml:space="preserve"> </w:t>
      </w:r>
      <w:r w:rsidR="00A866EF" w:rsidRPr="00A866EF">
        <w:rPr>
          <w:sz w:val="24"/>
          <w:lang w:val="cs-CZ"/>
        </w:rPr>
        <w:tab/>
      </w:r>
      <w:proofErr w:type="spellStart"/>
      <w:r w:rsidRPr="00A866EF">
        <w:rPr>
          <w:sz w:val="24"/>
          <w:lang w:val="cs-CZ"/>
        </w:rPr>
        <w:t>Úř</w:t>
      </w:r>
      <w:proofErr w:type="spellEnd"/>
      <w:r w:rsidRPr="00A866EF">
        <w:rPr>
          <w:sz w:val="24"/>
          <w:lang w:val="cs-CZ"/>
        </w:rPr>
        <w:t xml:space="preserve">. </w:t>
      </w:r>
      <w:proofErr w:type="spellStart"/>
      <w:r w:rsidRPr="00A866EF">
        <w:rPr>
          <w:sz w:val="24"/>
          <w:lang w:val="cs-CZ"/>
        </w:rPr>
        <w:t>věst</w:t>
      </w:r>
      <w:proofErr w:type="spellEnd"/>
      <w:r w:rsidRPr="00A866EF">
        <w:rPr>
          <w:sz w:val="24"/>
          <w:lang w:val="cs-CZ"/>
        </w:rPr>
        <w:t>. C, C/2023/112, 12.10.2023.</w:t>
      </w:r>
    </w:p>
  </w:footnote>
  <w:footnote w:id="8">
    <w:p w:rsidR="005044F1" w:rsidRPr="00A866EF" w:rsidRDefault="005044F1" w:rsidP="00A866EF">
      <w:pPr>
        <w:pStyle w:val="FootnoteText"/>
        <w:ind w:left="567" w:hanging="567"/>
        <w:rPr>
          <w:sz w:val="24"/>
          <w:lang w:val="cs-CZ"/>
        </w:rPr>
      </w:pPr>
      <w:r w:rsidRPr="00A866EF">
        <w:rPr>
          <w:rStyle w:val="FootnoteReference"/>
          <w:sz w:val="24"/>
          <w:lang w:val="cs-CZ"/>
        </w:rPr>
        <w:footnoteRef/>
      </w:r>
      <w:r w:rsidR="00A866EF" w:rsidRPr="00A866EF">
        <w:rPr>
          <w:sz w:val="24"/>
          <w:lang w:val="cs-CZ"/>
        </w:rPr>
        <w:t xml:space="preserve"> </w:t>
      </w:r>
      <w:r w:rsidR="00A866EF" w:rsidRPr="00A866EF">
        <w:rPr>
          <w:sz w:val="24"/>
          <w:lang w:val="cs-CZ"/>
        </w:rPr>
        <w:tab/>
      </w:r>
      <w:proofErr w:type="spellStart"/>
      <w:r w:rsidRPr="00A866EF">
        <w:rPr>
          <w:sz w:val="24"/>
          <w:lang w:val="cs-CZ"/>
        </w:rPr>
        <w:t>Úř</w:t>
      </w:r>
      <w:proofErr w:type="spellEnd"/>
      <w:r w:rsidRPr="00A866EF">
        <w:rPr>
          <w:sz w:val="24"/>
          <w:lang w:val="cs-CZ"/>
        </w:rPr>
        <w:t xml:space="preserve">. </w:t>
      </w:r>
      <w:proofErr w:type="spellStart"/>
      <w:r w:rsidRPr="00A866EF">
        <w:rPr>
          <w:sz w:val="24"/>
          <w:lang w:val="cs-CZ"/>
        </w:rPr>
        <w:t>věst</w:t>
      </w:r>
      <w:proofErr w:type="spellEnd"/>
      <w:r w:rsidRPr="00A866EF">
        <w:rPr>
          <w:sz w:val="24"/>
          <w:lang w:val="cs-CZ"/>
        </w:rPr>
        <w:t>. L 193, 30.7.2018, s. 1.</w:t>
      </w:r>
    </w:p>
  </w:footnote>
  <w:footnote w:id="9">
    <w:p w:rsidR="005044F1" w:rsidRPr="00A866EF" w:rsidRDefault="005044F1" w:rsidP="00A866EF">
      <w:pPr>
        <w:pStyle w:val="FootnoteText"/>
        <w:ind w:left="567" w:hanging="567"/>
        <w:rPr>
          <w:sz w:val="24"/>
          <w:lang w:val="cs-CZ"/>
        </w:rPr>
      </w:pPr>
      <w:r w:rsidRPr="00A866EF">
        <w:rPr>
          <w:rStyle w:val="FootnoteReference"/>
          <w:sz w:val="24"/>
          <w:lang w:val="cs-CZ"/>
        </w:rPr>
        <w:footnoteRef/>
      </w:r>
      <w:r w:rsidR="00A866EF" w:rsidRPr="00A866EF">
        <w:rPr>
          <w:sz w:val="24"/>
          <w:lang w:val="cs-CZ"/>
        </w:rPr>
        <w:t xml:space="preserve"> </w:t>
      </w:r>
      <w:r w:rsidR="00A866EF" w:rsidRPr="00A866EF">
        <w:rPr>
          <w:sz w:val="24"/>
          <w:lang w:val="cs-CZ"/>
        </w:rPr>
        <w:tab/>
      </w:r>
      <w:proofErr w:type="spellStart"/>
      <w:r w:rsidRPr="00A866EF">
        <w:rPr>
          <w:sz w:val="24"/>
          <w:lang w:val="cs-CZ"/>
        </w:rPr>
        <w:t>Úř</w:t>
      </w:r>
      <w:proofErr w:type="spellEnd"/>
      <w:r w:rsidRPr="00A866EF">
        <w:rPr>
          <w:sz w:val="24"/>
          <w:lang w:val="cs-CZ"/>
        </w:rPr>
        <w:t xml:space="preserve">. </w:t>
      </w:r>
      <w:proofErr w:type="spellStart"/>
      <w:r w:rsidRPr="00A866EF">
        <w:rPr>
          <w:sz w:val="24"/>
          <w:lang w:val="cs-CZ"/>
        </w:rPr>
        <w:t>věst</w:t>
      </w:r>
      <w:proofErr w:type="spellEnd"/>
      <w:r w:rsidRPr="00A866EF">
        <w:rPr>
          <w:sz w:val="24"/>
          <w:lang w:val="cs-CZ"/>
        </w:rPr>
        <w:t>. L 295, 21.11.2018, s. 138.</w:t>
      </w:r>
    </w:p>
  </w:footnote>
  <w:footnote w:id="10">
    <w:p w:rsidR="005044F1" w:rsidRPr="00A866EF" w:rsidRDefault="005044F1" w:rsidP="00A866EF">
      <w:pPr>
        <w:pStyle w:val="FootnoteText"/>
        <w:ind w:left="567" w:hanging="567"/>
        <w:rPr>
          <w:sz w:val="24"/>
          <w:szCs w:val="24"/>
          <w:lang w:val="cs-CZ"/>
        </w:rPr>
      </w:pPr>
      <w:r w:rsidRPr="00A866EF">
        <w:rPr>
          <w:rStyle w:val="FootnoteReference"/>
          <w:sz w:val="24"/>
          <w:lang w:val="cs-CZ"/>
        </w:rPr>
        <w:footnoteRef/>
      </w:r>
      <w:r w:rsidR="00A866EF" w:rsidRPr="00A866EF">
        <w:rPr>
          <w:sz w:val="24"/>
          <w:lang w:val="cs-CZ"/>
        </w:rPr>
        <w:t xml:space="preserve"> </w:t>
      </w:r>
      <w:r w:rsidR="00A866EF" w:rsidRPr="00A866EF">
        <w:rPr>
          <w:sz w:val="24"/>
          <w:lang w:val="cs-CZ"/>
        </w:rPr>
        <w:tab/>
      </w:r>
      <w:proofErr w:type="spellStart"/>
      <w:r w:rsidRPr="00A866EF">
        <w:rPr>
          <w:sz w:val="24"/>
          <w:lang w:val="cs-CZ"/>
        </w:rPr>
        <w:t>Úř</w:t>
      </w:r>
      <w:proofErr w:type="spellEnd"/>
      <w:r w:rsidRPr="00A866EF">
        <w:rPr>
          <w:sz w:val="24"/>
          <w:lang w:val="cs-CZ"/>
        </w:rPr>
        <w:t xml:space="preserve">. </w:t>
      </w:r>
      <w:proofErr w:type="spellStart"/>
      <w:r w:rsidRPr="00A866EF">
        <w:rPr>
          <w:sz w:val="24"/>
          <w:lang w:val="cs-CZ"/>
        </w:rPr>
        <w:t>věst</w:t>
      </w:r>
      <w:proofErr w:type="spellEnd"/>
      <w:r w:rsidRPr="00A866EF">
        <w:rPr>
          <w:sz w:val="24"/>
          <w:lang w:val="cs-CZ"/>
        </w:rPr>
        <w:t>. L 122, 10.5.2019, s. 1.</w:t>
      </w:r>
    </w:p>
  </w:footnote>
  <w:footnote w:id="11">
    <w:p w:rsidR="005044F1" w:rsidRPr="00A866EF" w:rsidRDefault="005044F1" w:rsidP="00A866EF">
      <w:pPr>
        <w:pStyle w:val="FootnoteText"/>
        <w:ind w:left="567" w:hanging="567"/>
        <w:rPr>
          <w:sz w:val="24"/>
          <w:lang w:val="cs-CZ"/>
        </w:rPr>
      </w:pPr>
      <w:r w:rsidRPr="00A866EF">
        <w:rPr>
          <w:rStyle w:val="FootnoteReference"/>
          <w:sz w:val="24"/>
          <w:lang w:val="cs-CZ"/>
        </w:rPr>
        <w:footnoteRef/>
      </w:r>
      <w:r w:rsidR="00A866EF" w:rsidRPr="00A866EF">
        <w:rPr>
          <w:sz w:val="24"/>
          <w:lang w:val="cs-CZ"/>
        </w:rPr>
        <w:t xml:space="preserve"> </w:t>
      </w:r>
      <w:r w:rsidR="00A866EF" w:rsidRPr="00A866EF">
        <w:rPr>
          <w:sz w:val="24"/>
          <w:lang w:val="cs-CZ"/>
        </w:rPr>
        <w:tab/>
      </w:r>
      <w:proofErr w:type="spellStart"/>
      <w:r w:rsidRPr="00A866EF">
        <w:rPr>
          <w:sz w:val="24"/>
          <w:lang w:val="cs-CZ"/>
        </w:rPr>
        <w:t>Úř</w:t>
      </w:r>
      <w:proofErr w:type="spellEnd"/>
      <w:r w:rsidRPr="00A866EF">
        <w:rPr>
          <w:sz w:val="24"/>
          <w:lang w:val="cs-CZ"/>
        </w:rPr>
        <w:t xml:space="preserve">. </w:t>
      </w:r>
      <w:proofErr w:type="spellStart"/>
      <w:r w:rsidRPr="00A866EF">
        <w:rPr>
          <w:sz w:val="24"/>
          <w:lang w:val="cs-CZ"/>
        </w:rPr>
        <w:t>věst</w:t>
      </w:r>
      <w:proofErr w:type="spellEnd"/>
      <w:r w:rsidRPr="00A866EF">
        <w:rPr>
          <w:sz w:val="24"/>
          <w:lang w:val="cs-CZ"/>
        </w:rPr>
        <w:t>. C 38, 31.1.2023, s. 194.</w:t>
      </w:r>
    </w:p>
  </w:footnote>
  <w:footnote w:id="12">
    <w:p w:rsidR="000E66D7" w:rsidRPr="004817D7" w:rsidRDefault="000E66D7" w:rsidP="004817D7">
      <w:pPr>
        <w:pStyle w:val="FootnoteText"/>
        <w:ind w:left="567" w:hanging="567"/>
        <w:rPr>
          <w:sz w:val="24"/>
          <w:szCs w:val="24"/>
          <w:lang w:val="cs-CZ"/>
        </w:rPr>
      </w:pPr>
      <w:r>
        <w:rPr>
          <w:rStyle w:val="FootnoteReference"/>
        </w:rPr>
        <w:footnoteRef/>
      </w:r>
      <w:r w:rsidRPr="004817D7">
        <w:rPr>
          <w:lang w:val="cs-CZ"/>
        </w:rPr>
        <w:t xml:space="preserve"> </w:t>
      </w:r>
      <w:r>
        <w:rPr>
          <w:lang w:val="cs-CZ"/>
        </w:rPr>
        <w:tab/>
      </w:r>
      <w:r w:rsidRPr="004817D7">
        <w:rPr>
          <w:sz w:val="24"/>
          <w:szCs w:val="24"/>
          <w:lang w:val="cs-CZ"/>
        </w:rPr>
        <w:t>Nařízení Evropského parlamentu a Rady (EU) 2018/1725 ze dne 23. října 2018 o ochraně fyzických osob v souvislosti se zpracováním osobních údajů orgány, institucemi a jinými subjekty Unie a o volném pohybu těchto údajů a o zrušení nařízení (ES) č. 45/2001 a rozhodnutí č. 1247/2002/ES (</w:t>
      </w:r>
      <w:proofErr w:type="spellStart"/>
      <w:r w:rsidRPr="004817D7">
        <w:rPr>
          <w:sz w:val="24"/>
          <w:szCs w:val="24"/>
          <w:lang w:val="cs-CZ"/>
        </w:rPr>
        <w:t>Úř</w:t>
      </w:r>
      <w:proofErr w:type="spellEnd"/>
      <w:r w:rsidRPr="004817D7">
        <w:rPr>
          <w:sz w:val="24"/>
          <w:szCs w:val="24"/>
          <w:lang w:val="cs-CZ"/>
        </w:rPr>
        <w:t xml:space="preserve">. </w:t>
      </w:r>
      <w:proofErr w:type="spellStart"/>
      <w:r w:rsidRPr="004817D7">
        <w:rPr>
          <w:sz w:val="24"/>
          <w:szCs w:val="24"/>
          <w:lang w:val="cs-CZ"/>
        </w:rPr>
        <w:t>věst</w:t>
      </w:r>
      <w:proofErr w:type="spellEnd"/>
      <w:r w:rsidRPr="004817D7">
        <w:rPr>
          <w:sz w:val="24"/>
          <w:szCs w:val="24"/>
          <w:lang w:val="cs-CZ"/>
        </w:rPr>
        <w:t>. L 295, 21.11.2018, s. 39).</w:t>
      </w:r>
    </w:p>
  </w:footnote>
  <w:footnote w:id="13">
    <w:p w:rsidR="005044F1" w:rsidRPr="00A866EF" w:rsidRDefault="005044F1" w:rsidP="00A866EF">
      <w:pPr>
        <w:pStyle w:val="FootnoteText"/>
        <w:ind w:left="567" w:hanging="567"/>
        <w:rPr>
          <w:sz w:val="24"/>
          <w:lang w:val="cs-CZ"/>
        </w:rPr>
      </w:pPr>
      <w:r w:rsidRPr="00A866EF">
        <w:rPr>
          <w:rStyle w:val="FootnoteReference"/>
          <w:sz w:val="24"/>
          <w:lang w:val="cs-CZ"/>
        </w:rPr>
        <w:footnoteRef/>
      </w:r>
      <w:r w:rsidR="00A866EF" w:rsidRPr="00A866EF">
        <w:rPr>
          <w:sz w:val="24"/>
          <w:lang w:val="cs-CZ"/>
        </w:rPr>
        <w:t xml:space="preserve"> </w:t>
      </w:r>
      <w:r w:rsidR="00A866EF" w:rsidRPr="00A866EF">
        <w:rPr>
          <w:sz w:val="24"/>
          <w:lang w:val="cs-CZ"/>
        </w:rPr>
        <w:tab/>
      </w:r>
      <w:r w:rsidRPr="00A866EF">
        <w:rPr>
          <w:sz w:val="24"/>
          <w:lang w:val="cs-CZ"/>
        </w:rPr>
        <w:t xml:space="preserve">Přijaté texty, </w:t>
      </w:r>
      <w:r w:rsidRPr="00A866EF">
        <w:rPr>
          <w:sz w:val="24"/>
          <w:lang w:val="cs-CZ"/>
        </w:rPr>
        <w:t>P9_TA(2024)0</w:t>
      </w:r>
      <w:r w:rsidR="004817D7">
        <w:rPr>
          <w:sz w:val="24"/>
          <w:lang w:val="cs-CZ"/>
        </w:rPr>
        <w:t>280</w:t>
      </w:r>
      <w:bookmarkStart w:id="12" w:name="_GoBack"/>
      <w:bookmarkEnd w:id="12"/>
      <w:r w:rsidRPr="00A866EF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66E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66E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866E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99/2024"/>
    <w:docVar w:name="dvlangue" w:val="CS"/>
    <w:docVar w:name="dvnumam" w:val="0"/>
    <w:docVar w:name="dvpe" w:val="753.539"/>
    <w:docVar w:name="dvrapporteur" w:val="Zpravodaj: "/>
    <w:docVar w:name="dvtitre" w:val="1. Rozhodnutí Evropského parlamentu ze dne.... 2024 o udělení absolutoria za plnění rozpočtu Agentury Evropské unie pro justiční spolupráci v trestních věcech (Eurojust) na rozpočtový rok 2022(2023/2168(DEC))"/>
  </w:docVars>
  <w:rsids>
    <w:rsidRoot w:val="00465C72"/>
    <w:rsid w:val="00002272"/>
    <w:rsid w:val="00064002"/>
    <w:rsid w:val="000677B9"/>
    <w:rsid w:val="000831BA"/>
    <w:rsid w:val="000A42CC"/>
    <w:rsid w:val="000E66D7"/>
    <w:rsid w:val="000E7DD9"/>
    <w:rsid w:val="0010095E"/>
    <w:rsid w:val="00125B37"/>
    <w:rsid w:val="00187494"/>
    <w:rsid w:val="001A01D2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5C72"/>
    <w:rsid w:val="00471C19"/>
    <w:rsid w:val="004817D7"/>
    <w:rsid w:val="004867E3"/>
    <w:rsid w:val="00494A28"/>
    <w:rsid w:val="004C0004"/>
    <w:rsid w:val="004C5D52"/>
    <w:rsid w:val="005044F1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57C5F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66EF"/>
    <w:rsid w:val="00AB441E"/>
    <w:rsid w:val="00AB6293"/>
    <w:rsid w:val="00AD4C21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190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E6D1B5"/>
  <w15:chartTrackingRefBased/>
  <w15:docId w15:val="{B6071F35-9EC8-48C7-82BE-2D381F7B4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044F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044F1"/>
    <w:pPr>
      <w:spacing w:before="480" w:after="240"/>
    </w:pPr>
  </w:style>
  <w:style w:type="paragraph" w:customStyle="1" w:styleId="PageHeading">
    <w:name w:val="PageHeading"/>
    <w:basedOn w:val="Normal"/>
    <w:rsid w:val="005044F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5044F1"/>
    <w:rPr>
      <w:b/>
    </w:rPr>
  </w:style>
  <w:style w:type="paragraph" w:customStyle="1" w:styleId="NormalHanging12a">
    <w:name w:val="NormalHanging12a"/>
    <w:basedOn w:val="Normal"/>
    <w:link w:val="NormalHanging12aChar"/>
    <w:rsid w:val="005044F1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5044F1"/>
    <w:pPr>
      <w:spacing w:after="240"/>
      <w:jc w:val="center"/>
    </w:pPr>
  </w:style>
  <w:style w:type="paragraph" w:styleId="Header">
    <w:name w:val="header"/>
    <w:basedOn w:val="Normal"/>
    <w:link w:val="HeaderChar"/>
    <w:rsid w:val="005044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044F1"/>
    <w:rPr>
      <w:sz w:val="24"/>
      <w:lang w:val="cs-CZ"/>
    </w:rPr>
  </w:style>
  <w:style w:type="paragraph" w:customStyle="1" w:styleId="EPFooter">
    <w:name w:val="EPFooter"/>
    <w:basedOn w:val="Normal"/>
    <w:rsid w:val="005044F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5044F1"/>
    <w:rPr>
      <w:sz w:val="24"/>
      <w:lang w:val="cs-CZ"/>
    </w:rPr>
  </w:style>
  <w:style w:type="character" w:customStyle="1" w:styleId="Normal12HangingChar">
    <w:name w:val="Normal12Hanging Char"/>
    <w:link w:val="Normal12Hanging"/>
    <w:locked/>
    <w:rsid w:val="005044F1"/>
    <w:rPr>
      <w:sz w:val="24"/>
    </w:rPr>
  </w:style>
  <w:style w:type="paragraph" w:customStyle="1" w:styleId="Normal12Hanging">
    <w:name w:val="Normal12Hanging"/>
    <w:basedOn w:val="Normal"/>
    <w:link w:val="Normal12HangingChar"/>
    <w:rsid w:val="005044F1"/>
    <w:pPr>
      <w:spacing w:after="240"/>
      <w:ind w:left="567" w:hanging="567"/>
    </w:pPr>
    <w:rPr>
      <w:lang w:val="en-GB"/>
    </w:rPr>
  </w:style>
  <w:style w:type="paragraph" w:styleId="Footer">
    <w:name w:val="footer"/>
    <w:basedOn w:val="Normal"/>
    <w:link w:val="FooterChar"/>
    <w:rsid w:val="00757C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57C5F"/>
    <w:rPr>
      <w:sz w:val="24"/>
      <w:lang w:val="cs-CZ"/>
    </w:rPr>
  </w:style>
  <w:style w:type="paragraph" w:styleId="BalloonText">
    <w:name w:val="Balloon Text"/>
    <w:basedOn w:val="Normal"/>
    <w:link w:val="BalloonTextChar"/>
    <w:rsid w:val="000E66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E66D7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9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A9EDA-D611-4F62-9490-DFBB4960A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4492</Words>
  <Characters>25609</Characters>
  <Application>Microsoft Office Word</Application>
  <DocSecurity>0</DocSecurity>
  <Lines>213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2024-04-11T11:14:00Z</dcterms:created>
  <dcterms:modified xsi:type="dcterms:W3CDTF">2024-04-11T11:14:00Z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A9-0099/2024</vt:lpwstr>
  </property>
  <property fmtid="{D5CDD505-2E9C-101B-9397-08002B2CF9AE}" pid="4" name="&lt;Type&gt;">
    <vt:lpwstr>RR</vt:lpwstr>
  </property>
</Properties>
</file>