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12B7" w14:paraId="63AA3A1D" w14:textId="77777777" w:rsidTr="0010095E">
        <w:trPr>
          <w:trHeight w:hRule="exact" w:val="1418"/>
        </w:trPr>
        <w:tc>
          <w:tcPr>
            <w:tcW w:w="6804" w:type="dxa"/>
            <w:shd w:val="clear" w:color="auto" w:fill="auto"/>
            <w:vAlign w:val="center"/>
          </w:tcPr>
          <w:p w14:paraId="57424E69" w14:textId="77777777" w:rsidR="00751A4A" w:rsidRPr="00E512B7" w:rsidRDefault="00714E86" w:rsidP="0010095E">
            <w:pPr>
              <w:pStyle w:val="EPName"/>
            </w:pPr>
            <w:r w:rsidRPr="00E512B7">
              <w:t>Europa-Parlamentet</w:t>
            </w:r>
          </w:p>
          <w:p w14:paraId="25C6FC2C" w14:textId="77777777" w:rsidR="00751A4A" w:rsidRPr="00E512B7" w:rsidRDefault="00817416" w:rsidP="00756632">
            <w:pPr>
              <w:pStyle w:val="EPTerm"/>
              <w:rPr>
                <w:rStyle w:val="HideTWBExt"/>
                <w:noProof w:val="0"/>
                <w:vanish w:val="0"/>
                <w:color w:val="auto"/>
              </w:rPr>
            </w:pPr>
            <w:r w:rsidRPr="00E512B7">
              <w:t>2019-2024</w:t>
            </w:r>
          </w:p>
        </w:tc>
        <w:tc>
          <w:tcPr>
            <w:tcW w:w="2268" w:type="dxa"/>
            <w:shd w:val="clear" w:color="auto" w:fill="auto"/>
          </w:tcPr>
          <w:p w14:paraId="5DC4D848" w14:textId="77777777" w:rsidR="00751A4A" w:rsidRPr="00E512B7" w:rsidRDefault="00187494" w:rsidP="0010095E">
            <w:pPr>
              <w:pStyle w:val="EPLogo"/>
            </w:pPr>
            <w:r w:rsidRPr="00E512B7">
              <w:rPr>
                <w:noProof/>
                <w:lang w:val="en-GB"/>
              </w:rPr>
              <w:drawing>
                <wp:inline distT="0" distB="0" distL="0" distR="0" wp14:anchorId="1F3024EC" wp14:editId="15053D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846353" w14:textId="77777777" w:rsidR="00D058B8" w:rsidRPr="00E512B7" w:rsidRDefault="00D058B8" w:rsidP="004C5D52">
      <w:pPr>
        <w:pStyle w:val="LineTop"/>
      </w:pPr>
    </w:p>
    <w:p w14:paraId="35E31323" w14:textId="77777777" w:rsidR="00680577" w:rsidRPr="00E512B7" w:rsidRDefault="00714E86" w:rsidP="00680577">
      <w:pPr>
        <w:pStyle w:val="EPBodyTA1"/>
      </w:pPr>
      <w:r w:rsidRPr="00E512B7">
        <w:t>VEDTAGNE TEKSTER</w:t>
      </w:r>
    </w:p>
    <w:p w14:paraId="6361F117" w14:textId="77777777" w:rsidR="00D058B8" w:rsidRPr="00E512B7" w:rsidRDefault="00D058B8" w:rsidP="00D058B8">
      <w:pPr>
        <w:pStyle w:val="LineBottom"/>
      </w:pPr>
    </w:p>
    <w:p w14:paraId="3F6AF538" w14:textId="0D5F837E" w:rsidR="00714E86" w:rsidRPr="00E512B7" w:rsidRDefault="00714E86" w:rsidP="00714E86">
      <w:pPr>
        <w:pStyle w:val="ATHeading1"/>
      </w:pPr>
      <w:bookmarkStart w:id="0" w:name="TANumber"/>
      <w:r w:rsidRPr="00E512B7">
        <w:t>P9_TA(2024)0</w:t>
      </w:r>
      <w:r w:rsidR="00EA6F77">
        <w:t>246</w:t>
      </w:r>
      <w:bookmarkEnd w:id="0"/>
    </w:p>
    <w:p w14:paraId="054E3479" w14:textId="77777777" w:rsidR="00714E86" w:rsidRPr="00E512B7" w:rsidRDefault="00714E86" w:rsidP="00714E86">
      <w:pPr>
        <w:pStyle w:val="ATHeading2"/>
      </w:pPr>
      <w:bookmarkStart w:id="1" w:name="title"/>
      <w:r w:rsidRPr="00E512B7">
        <w:t>Decharge 2022: Den Europæiske Unions Agentur for Strafferetligt Samarbejde (Eurojust)</w:t>
      </w:r>
      <w:bookmarkEnd w:id="1"/>
    </w:p>
    <w:p w14:paraId="243FB23E" w14:textId="77777777" w:rsidR="00714E86" w:rsidRPr="00E512B7" w:rsidRDefault="00714E86" w:rsidP="00714E86">
      <w:pPr>
        <w:rPr>
          <w:i/>
          <w:vanish/>
        </w:rPr>
      </w:pPr>
      <w:r w:rsidRPr="00E512B7">
        <w:rPr>
          <w:i/>
        </w:rPr>
        <w:fldChar w:fldCharType="begin"/>
      </w:r>
      <w:r w:rsidRPr="00E512B7">
        <w:rPr>
          <w:i/>
        </w:rPr>
        <w:instrText xml:space="preserve"> TC"(</w:instrText>
      </w:r>
      <w:bookmarkStart w:id="2" w:name="DocNumber"/>
      <w:r w:rsidRPr="00E512B7">
        <w:rPr>
          <w:i/>
        </w:rPr>
        <w:instrText>A9-0099/2024</w:instrText>
      </w:r>
      <w:bookmarkEnd w:id="2"/>
      <w:r w:rsidRPr="00E512B7">
        <w:rPr>
          <w:i/>
        </w:rPr>
        <w:instrText xml:space="preserve"> - Ordfører: Petri Sarvamaa)"\l3 \n&gt; \* MERGEFORMAT </w:instrText>
      </w:r>
      <w:r w:rsidRPr="00E512B7">
        <w:rPr>
          <w:i/>
        </w:rPr>
        <w:fldChar w:fldCharType="end"/>
      </w:r>
    </w:p>
    <w:p w14:paraId="3AA5B569" w14:textId="77777777" w:rsidR="00714E86" w:rsidRPr="00E512B7" w:rsidRDefault="00714E86" w:rsidP="00714E86">
      <w:pPr>
        <w:rPr>
          <w:vanish/>
        </w:rPr>
      </w:pPr>
      <w:bookmarkStart w:id="3" w:name="Commission"/>
      <w:r w:rsidRPr="00E512B7">
        <w:rPr>
          <w:vanish/>
        </w:rPr>
        <w:t>Budgetkontroludvalget</w:t>
      </w:r>
      <w:bookmarkEnd w:id="3"/>
    </w:p>
    <w:p w14:paraId="022D6287" w14:textId="77777777" w:rsidR="00714E86" w:rsidRPr="00E512B7" w:rsidRDefault="00714E86" w:rsidP="00714E86">
      <w:pPr>
        <w:rPr>
          <w:vanish/>
        </w:rPr>
      </w:pPr>
      <w:bookmarkStart w:id="4" w:name="PE"/>
      <w:r w:rsidRPr="00E512B7">
        <w:rPr>
          <w:vanish/>
        </w:rPr>
        <w:t>PE753.539</w:t>
      </w:r>
      <w:bookmarkEnd w:id="4"/>
    </w:p>
    <w:p w14:paraId="22297F4E" w14:textId="77777777" w:rsidR="00714E86" w:rsidRPr="00E512B7" w:rsidRDefault="00714E86" w:rsidP="00714E86">
      <w:pPr>
        <w:pStyle w:val="ATHeading3"/>
      </w:pPr>
      <w:bookmarkStart w:id="5" w:name="Sujet"/>
      <w:r w:rsidRPr="00E512B7">
        <w:t>1. Europa-Parlamentets afgørelse af 11. april 2024 om decharge for gennemførelsen af budgettet for Den Europæiske Unions Agentur for Strafferetligt Samarbejde (Eurojust) for regnskabsåret 2022</w:t>
      </w:r>
      <w:bookmarkEnd w:id="5"/>
      <w:r w:rsidRPr="00E512B7">
        <w:t xml:space="preserve"> </w:t>
      </w:r>
      <w:bookmarkStart w:id="6" w:name="References"/>
      <w:r w:rsidRPr="00E512B7">
        <w:t>(2023/2168(DEC))</w:t>
      </w:r>
      <w:bookmarkEnd w:id="6"/>
    </w:p>
    <w:p w14:paraId="2D0597E6" w14:textId="77777777" w:rsidR="00BE225D" w:rsidRPr="00E512B7" w:rsidRDefault="00BE225D" w:rsidP="00BE225D">
      <w:pPr>
        <w:pStyle w:val="EPComma"/>
      </w:pPr>
      <w:bookmarkStart w:id="7" w:name="TextBodyBegin"/>
      <w:bookmarkEnd w:id="7"/>
      <w:r w:rsidRPr="00E512B7">
        <w:rPr>
          <w:i/>
        </w:rPr>
        <w:t>Europa-Parlamentet,</w:t>
      </w:r>
    </w:p>
    <w:p w14:paraId="4AA124C0" w14:textId="77777777" w:rsidR="00BE225D" w:rsidRPr="00E512B7" w:rsidRDefault="00BE225D" w:rsidP="00BE225D">
      <w:pPr>
        <w:pStyle w:val="NormalHanging12a"/>
      </w:pPr>
      <w:r w:rsidRPr="00E512B7">
        <w:t>–</w:t>
      </w:r>
      <w:r w:rsidRPr="00E512B7">
        <w:tab/>
        <w:t>der henviser til det endelige årsregnskab for Den Europæiske Unions Agentur for Strafferetligt Samarbejde (Eurojust) for regnskabsåret 2022,</w:t>
      </w:r>
    </w:p>
    <w:p w14:paraId="230BBD8E" w14:textId="77777777" w:rsidR="00BE225D" w:rsidRPr="00E512B7" w:rsidRDefault="00BE225D" w:rsidP="00BE225D">
      <w:pPr>
        <w:pStyle w:val="NormalHanging12a"/>
      </w:pPr>
      <w:r w:rsidRPr="00E512B7">
        <w:t>–</w:t>
      </w:r>
      <w:r w:rsidRPr="00E512B7">
        <w:tab/>
        <w:t>der henviser til Revisionsrettens årsberetning om EU-agenturerne for regnskabsåret 2022, med agenturernes svar</w:t>
      </w:r>
      <w:r w:rsidRPr="00E512B7">
        <w:rPr>
          <w:rStyle w:val="FootnoteReference"/>
        </w:rPr>
        <w:footnoteReference w:id="1"/>
      </w:r>
      <w:r w:rsidRPr="00E512B7">
        <w:t>,</w:t>
      </w:r>
    </w:p>
    <w:p w14:paraId="1473C854" w14:textId="77777777" w:rsidR="00BE225D" w:rsidRPr="00E512B7" w:rsidRDefault="00BE225D" w:rsidP="00BE225D">
      <w:pPr>
        <w:pStyle w:val="NormalHanging12a"/>
      </w:pPr>
      <w:r w:rsidRPr="00E512B7">
        <w:t>–</w:t>
      </w:r>
      <w:r w:rsidRPr="00E512B7">
        <w:tab/>
        <w:t>der henviser til Revisionsrettens erklæring</w:t>
      </w:r>
      <w:r w:rsidRPr="00E512B7">
        <w:rPr>
          <w:rStyle w:val="FootnoteReference"/>
        </w:rPr>
        <w:footnoteReference w:id="2"/>
      </w:r>
      <w:r w:rsidRPr="00E512B7">
        <w:t xml:space="preserve"> for regnskabsåret 2022 om regnskabernes rigtighed og de underliggende transaktioners lovlighed og formelle rigtighed, jf. artikel 287 i traktaten om Den Europæiske Unions funktionsmåde,</w:t>
      </w:r>
    </w:p>
    <w:p w14:paraId="38D90CE4" w14:textId="48EE9F62" w:rsidR="00BE225D" w:rsidRPr="00E512B7" w:rsidRDefault="00BE225D" w:rsidP="00BE225D">
      <w:pPr>
        <w:pStyle w:val="NormalHanging12a"/>
      </w:pPr>
      <w:r w:rsidRPr="00E512B7">
        <w:t>–</w:t>
      </w:r>
      <w:r w:rsidRPr="00E512B7">
        <w:tab/>
        <w:t>der henviser til Rådets henstilling af 22. februar 2024 om decharge til agenturet for gennemførelsen af budgettet for regnskabsåret 2022 (0</w:t>
      </w:r>
      <w:r w:rsidR="004C0A85" w:rsidRPr="00E512B7">
        <w:t>6180</w:t>
      </w:r>
      <w:r w:rsidRPr="00E512B7">
        <w:t>/2024 – C9</w:t>
      </w:r>
      <w:r w:rsidRPr="00E512B7">
        <w:noBreakHyphen/>
        <w:t>0</w:t>
      </w:r>
      <w:r w:rsidR="004C0A85" w:rsidRPr="00E512B7">
        <w:t>106</w:t>
      </w:r>
      <w:r w:rsidRPr="00E512B7">
        <w:t>/2024),</w:t>
      </w:r>
    </w:p>
    <w:p w14:paraId="79D06084" w14:textId="77777777" w:rsidR="00BE225D" w:rsidRPr="00E512B7" w:rsidRDefault="00BE225D" w:rsidP="00BE225D">
      <w:pPr>
        <w:pStyle w:val="NormalHanging12a"/>
      </w:pPr>
      <w:r w:rsidRPr="00E512B7">
        <w:t>–</w:t>
      </w:r>
      <w:r w:rsidRPr="00E512B7">
        <w:tab/>
        <w:t>der henviser til artikel 319 i traktaten om Den Europæiske Unions funktionsmåde,</w:t>
      </w:r>
    </w:p>
    <w:p w14:paraId="4A13920D" w14:textId="77777777" w:rsidR="00BE225D" w:rsidRPr="00E512B7" w:rsidRDefault="00BE225D" w:rsidP="00BE225D">
      <w:pPr>
        <w:pStyle w:val="NormalHanging12a"/>
      </w:pPr>
      <w:r w:rsidRPr="00E512B7">
        <w:t>–</w:t>
      </w:r>
      <w:r w:rsidRPr="00E512B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E512B7">
        <w:rPr>
          <w:rStyle w:val="FootnoteReference"/>
        </w:rPr>
        <w:footnoteReference w:id="3"/>
      </w:r>
      <w:r w:rsidRPr="00E512B7">
        <w:t>, særlig artikel 70,</w:t>
      </w:r>
    </w:p>
    <w:p w14:paraId="6BD6DE5A" w14:textId="77777777" w:rsidR="00BE225D" w:rsidRPr="00E512B7" w:rsidRDefault="00BE225D" w:rsidP="00BE225D">
      <w:pPr>
        <w:pStyle w:val="NormalHanging12a"/>
      </w:pPr>
      <w:r w:rsidRPr="00E512B7">
        <w:t>–</w:t>
      </w:r>
      <w:r w:rsidRPr="00E512B7">
        <w:tab/>
        <w:t xml:space="preserve">der henviser til Europa-Parlamentets og Rådets forordning (EU) 2018/1727 af 14. november 2018 om Den Europæiske Unions Agentur for Strafferetligt Samarbejde </w:t>
      </w:r>
      <w:r w:rsidRPr="00E512B7">
        <w:lastRenderedPageBreak/>
        <w:t>(Eurojust) og om erstatning og ophævelse af Rådets afgørelse 2002/187/RIA</w:t>
      </w:r>
      <w:r w:rsidRPr="00E512B7">
        <w:rPr>
          <w:rStyle w:val="FootnoteReference"/>
        </w:rPr>
        <w:footnoteReference w:id="4"/>
      </w:r>
      <w:r w:rsidRPr="00E512B7">
        <w:t>, særlig artikel 63,</w:t>
      </w:r>
    </w:p>
    <w:p w14:paraId="2D1D1689" w14:textId="77777777" w:rsidR="00BE225D" w:rsidRPr="00E512B7" w:rsidRDefault="00BE225D" w:rsidP="00BE225D">
      <w:pPr>
        <w:pStyle w:val="NormalHanging12a"/>
      </w:pPr>
      <w:r w:rsidRPr="00E512B7">
        <w:t>–</w:t>
      </w:r>
      <w:r w:rsidRPr="00E512B7">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E512B7">
        <w:rPr>
          <w:rStyle w:val="FootnoteReference"/>
        </w:rPr>
        <w:footnoteReference w:id="5"/>
      </w:r>
      <w:r w:rsidRPr="00E512B7">
        <w:t>, særlig artikel 105,</w:t>
      </w:r>
    </w:p>
    <w:p w14:paraId="4FF658B7" w14:textId="77777777" w:rsidR="00BE225D" w:rsidRPr="00E512B7" w:rsidRDefault="00BE225D" w:rsidP="00BE225D">
      <w:pPr>
        <w:pStyle w:val="NormalHanging12a"/>
      </w:pPr>
      <w:r w:rsidRPr="00E512B7">
        <w:t>–</w:t>
      </w:r>
      <w:r w:rsidRPr="00E512B7">
        <w:tab/>
        <w:t>der henviser til forretningsordenens artikel 100 og bilag V,</w:t>
      </w:r>
    </w:p>
    <w:p w14:paraId="38B6413E" w14:textId="77777777" w:rsidR="00BE225D" w:rsidRPr="00E512B7" w:rsidRDefault="00BE225D" w:rsidP="00BE225D">
      <w:pPr>
        <w:pStyle w:val="NormalHanging12a"/>
      </w:pPr>
      <w:r w:rsidRPr="00E512B7">
        <w:t>–</w:t>
      </w:r>
      <w:r w:rsidRPr="00E512B7">
        <w:tab/>
        <w:t>der henviser til udtalelse fra Udvalget om Borgernes Rettigheder og Retlige og Indre Anliggender,</w:t>
      </w:r>
    </w:p>
    <w:p w14:paraId="42F1BC6B" w14:textId="77777777" w:rsidR="00BE225D" w:rsidRPr="00E512B7" w:rsidRDefault="00BE225D" w:rsidP="00BE225D">
      <w:pPr>
        <w:pStyle w:val="NormalHanging12a"/>
      </w:pPr>
      <w:r w:rsidRPr="00E512B7">
        <w:t>–</w:t>
      </w:r>
      <w:r w:rsidRPr="00E512B7">
        <w:tab/>
        <w:t>der henviser til betænkning fra Budgetkontroludvalget (A9-0099/2024),</w:t>
      </w:r>
    </w:p>
    <w:p w14:paraId="4ED626FE" w14:textId="77777777" w:rsidR="00BE225D" w:rsidRPr="00E512B7" w:rsidRDefault="00BE225D" w:rsidP="00BE225D">
      <w:pPr>
        <w:pStyle w:val="NormalHanging12a"/>
      </w:pPr>
      <w:r w:rsidRPr="00E512B7">
        <w:t>1.</w:t>
      </w:r>
      <w:r w:rsidRPr="00E512B7">
        <w:tab/>
        <w:t xml:space="preserve">meddeler den administrerende direktør for Den Europæiske Unions Agentur for Strafferetligt Samarbejde (Eurojust) decharge for gennemførelsen af agenturets budget for regnskabsåret 2022; </w:t>
      </w:r>
    </w:p>
    <w:p w14:paraId="08A2BB1D" w14:textId="77777777" w:rsidR="00BE225D" w:rsidRPr="00E512B7" w:rsidRDefault="00BE225D" w:rsidP="00BE225D">
      <w:pPr>
        <w:pStyle w:val="NormalHanging12a"/>
      </w:pPr>
      <w:r w:rsidRPr="00E512B7">
        <w:t>2.</w:t>
      </w:r>
      <w:r w:rsidRPr="00E512B7">
        <w:tab/>
        <w:t>fremsætter sine bemærkninger i nedenstående beslutning;</w:t>
      </w:r>
    </w:p>
    <w:p w14:paraId="65F0FD08" w14:textId="77777777" w:rsidR="00BE225D" w:rsidRPr="00E512B7" w:rsidRDefault="00BE225D" w:rsidP="00BE225D">
      <w:pPr>
        <w:pStyle w:val="NormalHanging12a"/>
      </w:pPr>
      <w:r w:rsidRPr="00E512B7">
        <w:t>3.</w:t>
      </w:r>
      <w:r w:rsidRPr="00E512B7">
        <w:tab/>
        <w:t xml:space="preserve">pålægger sin formand at sende denne afgørelse og beslutningen, der er en integrerende del heraf, til den administrerende direktør for Den Europæiske Unions Agentur for Strafferetligt Samarbejde (Eurojust), Rådet, Kommissionen og Revisionsretten og drage omsorg for, at de offentliggøres i </w:t>
      </w:r>
      <w:r w:rsidRPr="00E512B7">
        <w:rPr>
          <w:i/>
          <w:iCs/>
        </w:rPr>
        <w:t>Den Europæiske Unions Tidende</w:t>
      </w:r>
      <w:r w:rsidRPr="00E512B7">
        <w:t xml:space="preserve"> (L-udgaven).</w:t>
      </w:r>
    </w:p>
    <w:p w14:paraId="69281045" w14:textId="77777777" w:rsidR="00BE225D" w:rsidRPr="00E512B7" w:rsidRDefault="00BE225D" w:rsidP="00BE225D"/>
    <w:p w14:paraId="41050447" w14:textId="77777777" w:rsidR="00BE225D" w:rsidRPr="00E512B7" w:rsidRDefault="00BE225D" w:rsidP="00BE225D">
      <w:pPr>
        <w:widowControl/>
        <w:rPr>
          <w:rFonts w:ascii="Arial" w:hAnsi="Arial" w:cs="Arial"/>
          <w:b/>
        </w:rPr>
        <w:sectPr w:rsidR="00BE225D" w:rsidRPr="00E512B7" w:rsidSect="00CC623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7881F021" w14:textId="77777777" w:rsidR="00BE225D" w:rsidRPr="00E512B7" w:rsidRDefault="00BE225D" w:rsidP="004C0A85">
      <w:pPr>
        <w:pStyle w:val="ATHeading3"/>
      </w:pPr>
      <w:bookmarkStart w:id="8" w:name="_Toc146794380"/>
      <w:bookmarkStart w:id="9" w:name="_Toc161148546"/>
      <w:bookmarkStart w:id="10" w:name="_Toc161824506"/>
      <w:r w:rsidRPr="00E512B7">
        <w:t xml:space="preserve">2. </w:t>
      </w:r>
      <w:r w:rsidR="004C0A85" w:rsidRPr="00E512B7">
        <w:t>Europa-Parlamentets afgørelse</w:t>
      </w:r>
      <w:bookmarkEnd w:id="8"/>
      <w:bookmarkEnd w:id="9"/>
      <w:bookmarkEnd w:id="10"/>
      <w:r w:rsidR="004C0A85" w:rsidRPr="00E512B7">
        <w:t xml:space="preserve"> af 11. april 2024 </w:t>
      </w:r>
      <w:r w:rsidRPr="00E512B7">
        <w:t>om afslutning af regnskaberne for Den Europæiske Unions Agentur for Strafferetligt Samarbejde (Eurojust) for regnskabsåret 2022</w:t>
      </w:r>
      <w:r w:rsidR="004C0A85" w:rsidRPr="00E512B7">
        <w:t xml:space="preserve"> </w:t>
      </w:r>
      <w:r w:rsidRPr="00E512B7">
        <w:t>(2023/2168(DEC))</w:t>
      </w:r>
    </w:p>
    <w:p w14:paraId="2BE6281D" w14:textId="77777777" w:rsidR="00BE225D" w:rsidRPr="00E512B7" w:rsidRDefault="00BE225D" w:rsidP="00BE225D">
      <w:pPr>
        <w:pStyle w:val="EPComma"/>
      </w:pPr>
      <w:r w:rsidRPr="00E512B7">
        <w:rPr>
          <w:i/>
          <w:iCs/>
        </w:rPr>
        <w:t>Europa-Parlamentet</w:t>
      </w:r>
      <w:r w:rsidRPr="00E512B7">
        <w:t>,</w:t>
      </w:r>
    </w:p>
    <w:p w14:paraId="379D9968" w14:textId="77777777" w:rsidR="00BE225D" w:rsidRPr="00E512B7" w:rsidRDefault="00BE225D" w:rsidP="00BE225D">
      <w:pPr>
        <w:pStyle w:val="NormalHanging12a"/>
      </w:pPr>
      <w:r w:rsidRPr="00E512B7">
        <w:t>–</w:t>
      </w:r>
      <w:r w:rsidRPr="00E512B7">
        <w:tab/>
        <w:t>der henviser til det endelige årsregnskab for Den Europæiske Unions Agentur for Strafferetligt Samarbejde (Eurojust) for regnskabsåret 2022,</w:t>
      </w:r>
    </w:p>
    <w:p w14:paraId="3412FF74" w14:textId="77777777" w:rsidR="00BE225D" w:rsidRPr="00E512B7" w:rsidRDefault="00BE225D" w:rsidP="00BE225D">
      <w:pPr>
        <w:pStyle w:val="NormalHanging12a"/>
      </w:pPr>
      <w:r w:rsidRPr="00E512B7">
        <w:t>–</w:t>
      </w:r>
      <w:r w:rsidRPr="00E512B7">
        <w:tab/>
        <w:t>der henviser til Revisionsrettens årsberetning om EU-agenturerne for regnskabsåret 2022, med agenturernes svar</w:t>
      </w:r>
      <w:r w:rsidRPr="00E512B7">
        <w:rPr>
          <w:rStyle w:val="FootnoteReference"/>
        </w:rPr>
        <w:footnoteReference w:id="6"/>
      </w:r>
      <w:r w:rsidRPr="00E512B7">
        <w:t>,</w:t>
      </w:r>
    </w:p>
    <w:p w14:paraId="57DEC25B" w14:textId="77777777" w:rsidR="00BE225D" w:rsidRPr="00E512B7" w:rsidRDefault="00BE225D" w:rsidP="00BE225D">
      <w:pPr>
        <w:pStyle w:val="NormalHanging12a"/>
      </w:pPr>
      <w:r w:rsidRPr="00E512B7">
        <w:t>–</w:t>
      </w:r>
      <w:r w:rsidRPr="00E512B7">
        <w:tab/>
        <w:t>der henviser til Revisionsrettens erklæring</w:t>
      </w:r>
      <w:r w:rsidRPr="00E512B7">
        <w:rPr>
          <w:rStyle w:val="FootnoteReference"/>
        </w:rPr>
        <w:footnoteReference w:id="7"/>
      </w:r>
      <w:r w:rsidRPr="00E512B7">
        <w:t xml:space="preserve"> for regnskabsåret 2022 om regnskabernes rigtighed og de underliggende transaktioners lovlighed og formelle rigtighed, jf. artikel 287 i traktaten om Den Europæiske Unions funktionsmåde,</w:t>
      </w:r>
    </w:p>
    <w:p w14:paraId="17D30643" w14:textId="71B7139C" w:rsidR="00BE225D" w:rsidRPr="00E512B7" w:rsidRDefault="00BE225D" w:rsidP="00BE225D">
      <w:pPr>
        <w:pStyle w:val="NormalHanging12a"/>
      </w:pPr>
      <w:r w:rsidRPr="00E512B7">
        <w:t>–</w:t>
      </w:r>
      <w:r w:rsidRPr="00E512B7">
        <w:tab/>
        <w:t>der henviser til Rådets henstilling af 22. februar 2024 om decharge til agenturet for gennemførelsen af budgettet for regnskabsåret 2022 (0</w:t>
      </w:r>
      <w:r w:rsidR="004C0A85" w:rsidRPr="00E512B7">
        <w:t>6180</w:t>
      </w:r>
      <w:r w:rsidRPr="00E512B7">
        <w:t>/2024 – C9</w:t>
      </w:r>
      <w:r w:rsidRPr="00E512B7">
        <w:noBreakHyphen/>
        <w:t>0</w:t>
      </w:r>
      <w:r w:rsidR="004C0A85" w:rsidRPr="00E512B7">
        <w:t>106</w:t>
      </w:r>
      <w:r w:rsidRPr="00E512B7">
        <w:t>/2024),</w:t>
      </w:r>
    </w:p>
    <w:p w14:paraId="15A3ECB8" w14:textId="77777777" w:rsidR="00BE225D" w:rsidRPr="00E512B7" w:rsidRDefault="00BE225D" w:rsidP="00BE225D">
      <w:pPr>
        <w:pStyle w:val="NormalHanging12a"/>
      </w:pPr>
      <w:r w:rsidRPr="00E512B7">
        <w:t>–</w:t>
      </w:r>
      <w:r w:rsidRPr="00E512B7">
        <w:tab/>
        <w:t>der henviser til artikel 319 i traktaten om Den Europæiske Unions funktionsmåde,</w:t>
      </w:r>
    </w:p>
    <w:p w14:paraId="4CBD010C" w14:textId="77777777" w:rsidR="00BE225D" w:rsidRPr="00E512B7" w:rsidRDefault="00BE225D" w:rsidP="00BE225D">
      <w:pPr>
        <w:pStyle w:val="NormalHanging12a"/>
      </w:pPr>
      <w:r w:rsidRPr="00E512B7">
        <w:t>–</w:t>
      </w:r>
      <w:r w:rsidRPr="00E512B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E512B7">
        <w:rPr>
          <w:rStyle w:val="FootnoteReference"/>
        </w:rPr>
        <w:footnoteReference w:id="8"/>
      </w:r>
      <w:r w:rsidRPr="00E512B7">
        <w:t>, særlig artikel 70,</w:t>
      </w:r>
    </w:p>
    <w:p w14:paraId="09DDF7AA" w14:textId="77777777" w:rsidR="00BE225D" w:rsidRPr="00E512B7" w:rsidRDefault="00BE225D" w:rsidP="00BE225D">
      <w:pPr>
        <w:pStyle w:val="NormalHanging12a"/>
      </w:pPr>
      <w:r w:rsidRPr="00E512B7">
        <w:t>–</w:t>
      </w:r>
      <w:r w:rsidRPr="00E512B7">
        <w:tab/>
        <w:t>der henviser til Europa-Parlamentets og Rådets forordning (EU) 2018/1727 af 14. november 2018 om Den Europæiske Unions Agentur for Strafferetligt Samarbejde (Eurojust) og om erstatning og ophævelse af Rådets afgørelse 2002/187/RIA</w:t>
      </w:r>
      <w:r w:rsidRPr="00E512B7">
        <w:rPr>
          <w:rStyle w:val="FootnoteReference"/>
        </w:rPr>
        <w:footnoteReference w:id="9"/>
      </w:r>
      <w:r w:rsidRPr="00E512B7">
        <w:t>, særlig artikel 63,</w:t>
      </w:r>
    </w:p>
    <w:p w14:paraId="2372E11E" w14:textId="77777777" w:rsidR="00BE225D" w:rsidRPr="00E512B7" w:rsidRDefault="00BE225D" w:rsidP="00BE225D">
      <w:pPr>
        <w:pStyle w:val="NormalHanging12a"/>
      </w:pPr>
      <w:r w:rsidRPr="00E512B7">
        <w:t>–</w:t>
      </w:r>
      <w:r w:rsidRPr="00E512B7">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E512B7">
        <w:rPr>
          <w:rStyle w:val="FootnoteReference"/>
        </w:rPr>
        <w:footnoteReference w:id="10"/>
      </w:r>
      <w:r w:rsidRPr="00E512B7">
        <w:t>, særlig artikel 105,</w:t>
      </w:r>
    </w:p>
    <w:p w14:paraId="093303C2" w14:textId="77777777" w:rsidR="00BE225D" w:rsidRPr="00E512B7" w:rsidRDefault="00BE225D" w:rsidP="00BE225D">
      <w:pPr>
        <w:pStyle w:val="NormalHanging12a"/>
      </w:pPr>
      <w:r w:rsidRPr="00E512B7">
        <w:t>–</w:t>
      </w:r>
      <w:r w:rsidRPr="00E512B7">
        <w:tab/>
        <w:t>der henviser til forretningsordenens artikel 100 og bilag V,</w:t>
      </w:r>
    </w:p>
    <w:p w14:paraId="0523E460" w14:textId="77777777" w:rsidR="00BE225D" w:rsidRPr="00E512B7" w:rsidRDefault="00BE225D" w:rsidP="00BE225D">
      <w:pPr>
        <w:pStyle w:val="NormalHanging12a"/>
      </w:pPr>
      <w:r w:rsidRPr="00E512B7">
        <w:t>–</w:t>
      </w:r>
      <w:r w:rsidRPr="00E512B7">
        <w:tab/>
        <w:t>der henviser til udtalelse fra Udvalget om Borgernes Rettigheder og Retlige og Indre Anliggender,</w:t>
      </w:r>
    </w:p>
    <w:p w14:paraId="4CFCE182" w14:textId="77777777" w:rsidR="00BE225D" w:rsidRPr="00E512B7" w:rsidRDefault="00BE225D" w:rsidP="00BE225D">
      <w:pPr>
        <w:pStyle w:val="NormalHanging12a"/>
      </w:pPr>
      <w:r w:rsidRPr="00E512B7">
        <w:t>–</w:t>
      </w:r>
      <w:r w:rsidRPr="00E512B7">
        <w:tab/>
        <w:t>der henviser til betænkning fra Budgetkontroludvalget (A9-0099/2024),</w:t>
      </w:r>
    </w:p>
    <w:p w14:paraId="1C641FA1" w14:textId="77777777" w:rsidR="00BE225D" w:rsidRPr="00E512B7" w:rsidRDefault="00BE225D" w:rsidP="00BE225D">
      <w:pPr>
        <w:pStyle w:val="NormalHanging12a"/>
      </w:pPr>
      <w:r w:rsidRPr="00E512B7">
        <w:t>1.</w:t>
      </w:r>
      <w:r w:rsidRPr="00E512B7">
        <w:tab/>
        <w:t>godkender afslutningen af regnskaberne for Den Europæiske Unions Agentur for Strafferetligt Samarbejde (Eurojust) for regnskabsåret 2022;</w:t>
      </w:r>
    </w:p>
    <w:p w14:paraId="481E3071" w14:textId="77777777" w:rsidR="00BE225D" w:rsidRPr="00E512B7" w:rsidRDefault="00BE225D" w:rsidP="00BE225D">
      <w:pPr>
        <w:pStyle w:val="NormalHanging12a"/>
      </w:pPr>
      <w:r w:rsidRPr="00E512B7">
        <w:t>2.</w:t>
      </w:r>
      <w:r w:rsidRPr="00E512B7">
        <w:tab/>
        <w:t xml:space="preserve">pålægger sin formand at sende denne afgørelse til den administrerende direktør for Den Europæiske Unions Agentur for Strafferetligt Samarbejde (Eurojust), Rådet, Kommissionen og Revisionsretten og drage omsorg for, at den offentliggøres i </w:t>
      </w:r>
      <w:r w:rsidRPr="00E512B7">
        <w:rPr>
          <w:i/>
          <w:iCs/>
        </w:rPr>
        <w:t>Den Europæiske Unions Tidende</w:t>
      </w:r>
      <w:r w:rsidRPr="00E512B7">
        <w:t xml:space="preserve"> (L-udgaven).</w:t>
      </w:r>
    </w:p>
    <w:p w14:paraId="4935276E" w14:textId="77777777" w:rsidR="00BE225D" w:rsidRPr="00E512B7" w:rsidRDefault="00BE225D" w:rsidP="00BE225D"/>
    <w:p w14:paraId="173692A3" w14:textId="77777777" w:rsidR="00BE225D" w:rsidRPr="00E512B7" w:rsidRDefault="00BE225D" w:rsidP="00BE225D">
      <w:pPr>
        <w:widowControl/>
        <w:rPr>
          <w:rFonts w:ascii="Arial" w:hAnsi="Arial" w:cs="Arial"/>
          <w:b/>
        </w:rPr>
        <w:sectPr w:rsidR="00BE225D" w:rsidRPr="00E512B7" w:rsidSect="00CC623E">
          <w:footnotePr>
            <w:numRestart w:val="eachPage"/>
          </w:footnotePr>
          <w:endnotePr>
            <w:numFmt w:val="decimal"/>
          </w:endnotePr>
          <w:pgSz w:w="11906" w:h="16838"/>
          <w:pgMar w:top="1134" w:right="1418" w:bottom="1418" w:left="1418" w:header="567" w:footer="567" w:gutter="0"/>
          <w:cols w:space="720"/>
          <w:docGrid w:linePitch="326"/>
        </w:sectPr>
      </w:pPr>
    </w:p>
    <w:p w14:paraId="23A42B5E" w14:textId="77777777" w:rsidR="00BE225D" w:rsidRPr="00E512B7" w:rsidRDefault="00BE225D" w:rsidP="004C0A85">
      <w:pPr>
        <w:pStyle w:val="ATHeading3"/>
      </w:pPr>
      <w:bookmarkStart w:id="11" w:name="_Toc146794381"/>
      <w:bookmarkStart w:id="12" w:name="_Toc161148547"/>
      <w:bookmarkStart w:id="13" w:name="_Toc161824507"/>
      <w:r w:rsidRPr="00E512B7">
        <w:t xml:space="preserve">3. </w:t>
      </w:r>
      <w:r w:rsidR="004C0A85" w:rsidRPr="00E512B7">
        <w:t>Europa-Parlamentets beslutning</w:t>
      </w:r>
      <w:bookmarkEnd w:id="11"/>
      <w:bookmarkEnd w:id="12"/>
      <w:bookmarkEnd w:id="13"/>
      <w:r w:rsidR="004C0A85" w:rsidRPr="00E512B7">
        <w:t xml:space="preserve"> af 11. april 2024 </w:t>
      </w:r>
      <w:r w:rsidRPr="00E512B7">
        <w:t>med bemærkningerne, der er en integrerende del af afgørelsen om decharge for gennemførelsen af budgettet for Den Europæiske Unions Agentur for Strafferetligt Samarbejde (Eurojust) for regnskabsåret 2022</w:t>
      </w:r>
      <w:r w:rsidR="004C0A85" w:rsidRPr="00E512B7">
        <w:t xml:space="preserve"> </w:t>
      </w:r>
      <w:r w:rsidRPr="00E512B7">
        <w:t>(2023/2168(DEC))</w:t>
      </w:r>
    </w:p>
    <w:p w14:paraId="6C2078CE" w14:textId="77777777" w:rsidR="00BE225D" w:rsidRPr="00E512B7" w:rsidRDefault="00BE225D" w:rsidP="00BE225D">
      <w:pPr>
        <w:pStyle w:val="EPComma"/>
      </w:pPr>
      <w:r w:rsidRPr="00E512B7">
        <w:rPr>
          <w:i/>
          <w:iCs/>
        </w:rPr>
        <w:t>Europa-Parlamentet</w:t>
      </w:r>
      <w:r w:rsidRPr="00E512B7">
        <w:t>,</w:t>
      </w:r>
    </w:p>
    <w:p w14:paraId="34C777DD" w14:textId="77777777" w:rsidR="00BE225D" w:rsidRPr="00E512B7" w:rsidRDefault="00BE225D" w:rsidP="00BE225D">
      <w:pPr>
        <w:pStyle w:val="NormalHanging12a"/>
      </w:pPr>
      <w:r w:rsidRPr="00E512B7">
        <w:t>–</w:t>
      </w:r>
      <w:r w:rsidRPr="00E512B7">
        <w:tab/>
        <w:t>der henviser til sin afgørelse om decharge for gennemførelsen af budgettet for Den Europæiske Unions Agentur for Strafferetligt Samarbejde (Eurojust) for regnskabsåret 2022,</w:t>
      </w:r>
    </w:p>
    <w:p w14:paraId="634E2B08" w14:textId="77777777" w:rsidR="00BE225D" w:rsidRPr="00E512B7" w:rsidRDefault="00BE225D" w:rsidP="00BE225D">
      <w:pPr>
        <w:pStyle w:val="NormalHanging12a"/>
      </w:pPr>
      <w:r w:rsidRPr="00E512B7">
        <w:t>–</w:t>
      </w:r>
      <w:r w:rsidRPr="00E512B7">
        <w:tab/>
        <w:t>der henviser til forretningsordenens artikel 100 og bilag V,</w:t>
      </w:r>
    </w:p>
    <w:p w14:paraId="48D5B244" w14:textId="77777777" w:rsidR="00BE225D" w:rsidRPr="00E512B7" w:rsidRDefault="00BE225D" w:rsidP="00BE225D">
      <w:pPr>
        <w:pStyle w:val="NormalHanging12a"/>
      </w:pPr>
      <w:r w:rsidRPr="00E512B7">
        <w:t>–</w:t>
      </w:r>
      <w:r w:rsidRPr="00E512B7">
        <w:tab/>
        <w:t>der henviser til udtalelse fra Udvalget om Borgernes Rettigheder og Retlige og Indre Anliggender,</w:t>
      </w:r>
    </w:p>
    <w:p w14:paraId="4924A4CF" w14:textId="77777777" w:rsidR="00BE225D" w:rsidRPr="00E512B7" w:rsidRDefault="00BE225D" w:rsidP="00BE225D">
      <w:pPr>
        <w:pStyle w:val="NormalHanging12a"/>
      </w:pPr>
      <w:r w:rsidRPr="00E512B7">
        <w:t>–</w:t>
      </w:r>
      <w:r w:rsidRPr="00E512B7">
        <w:tab/>
        <w:t>der henviser til betænkning fra Budgetkontroludvalget (A9-0099/2024),</w:t>
      </w:r>
    </w:p>
    <w:p w14:paraId="1DD36554" w14:textId="77777777" w:rsidR="00BE225D" w:rsidRPr="00E512B7" w:rsidRDefault="00BE225D" w:rsidP="00BE225D">
      <w:pPr>
        <w:pStyle w:val="Normal12Hanging"/>
        <w:rPr>
          <w:szCs w:val="24"/>
          <w:lang w:val="da-DK"/>
        </w:rPr>
      </w:pPr>
      <w:r w:rsidRPr="00E512B7">
        <w:rPr>
          <w:lang w:val="da-DK"/>
        </w:rPr>
        <w:t>A.</w:t>
      </w:r>
      <w:r w:rsidRPr="00E512B7">
        <w:rPr>
          <w:lang w:val="da-DK"/>
        </w:rPr>
        <w:tab/>
        <w:t>der henviser til, at det endelige budget for Den Europæiske Unions Agentur for Strafferetligt Samarbejde (Eurojust) ("agenturet") for regnskabsåret 2022 ifølge dets oversigt over indtægter og udgifter</w:t>
      </w:r>
      <w:r w:rsidRPr="00E512B7">
        <w:rPr>
          <w:rStyle w:val="FootnoteReference"/>
          <w:szCs w:val="24"/>
          <w:lang w:val="da-DK"/>
        </w:rPr>
        <w:footnoteReference w:id="11"/>
      </w:r>
      <w:r w:rsidRPr="00E512B7">
        <w:rPr>
          <w:lang w:val="da-DK"/>
        </w:rPr>
        <w:t xml:space="preserve"> var på 50 183 522 EUR, hvilket udgør en stigning på 5,84 % i forhold til 2021; der henviser til, at agenturets budget næsten udelukkende stammer fra EU-budgettet;</w:t>
      </w:r>
    </w:p>
    <w:p w14:paraId="51E30FF8" w14:textId="77777777" w:rsidR="00BE225D" w:rsidRPr="00E512B7" w:rsidRDefault="00BE225D" w:rsidP="00BE225D">
      <w:pPr>
        <w:pStyle w:val="Normal12Hanging"/>
        <w:rPr>
          <w:szCs w:val="24"/>
          <w:lang w:val="da-DK"/>
        </w:rPr>
      </w:pPr>
      <w:r w:rsidRPr="00E512B7">
        <w:rPr>
          <w:lang w:val="da-DK"/>
        </w:rPr>
        <w:t>B.</w:t>
      </w:r>
      <w:r w:rsidRPr="00E512B7">
        <w:rPr>
          <w:lang w:val="da-DK"/>
        </w:rPr>
        <w:tab/>
        <w:t>der henviser til, at Revisionsretten i sin beretning om agenturets årsregnskab for regnskabsåret 2022 ("Revisionsrettens beretning") fastslår, at den har fået rimelig sikkerhed for, at agenturets årsregnskab er rigtigt, og at de underliggende transaktioner er lovlige og formelt rigtige;</w:t>
      </w:r>
    </w:p>
    <w:p w14:paraId="0EE88FBD" w14:textId="77777777" w:rsidR="00BE225D" w:rsidRPr="00E512B7" w:rsidRDefault="00BE225D" w:rsidP="00BE225D">
      <w:pPr>
        <w:pStyle w:val="Normal12Hanging"/>
        <w:rPr>
          <w:b/>
          <w:i/>
          <w:szCs w:val="24"/>
          <w:lang w:val="da-DK"/>
        </w:rPr>
      </w:pPr>
      <w:r w:rsidRPr="00E512B7">
        <w:rPr>
          <w:b/>
          <w:i/>
          <w:lang w:val="da-DK"/>
        </w:rPr>
        <w:t>Budgetmæssig og økonomisk forvaltning</w:t>
      </w:r>
    </w:p>
    <w:p w14:paraId="0ADEF5B1" w14:textId="77777777" w:rsidR="00BE225D" w:rsidRPr="00E512B7" w:rsidRDefault="00BE225D" w:rsidP="00BE225D">
      <w:pPr>
        <w:pStyle w:val="Normal12Hanging"/>
        <w:rPr>
          <w:szCs w:val="24"/>
          <w:lang w:val="da-DK"/>
        </w:rPr>
      </w:pPr>
      <w:r w:rsidRPr="00E512B7">
        <w:rPr>
          <w:lang w:val="da-DK"/>
        </w:rPr>
        <w:t>1.</w:t>
      </w:r>
      <w:r w:rsidRPr="00E512B7">
        <w:rPr>
          <w:lang w:val="da-DK"/>
        </w:rPr>
        <w:tab/>
        <w:t>bemærker med tilfredshed, at budgetovervågningsindsatsen resulterede i en budgetgennemførelsesgrad på 99,93 % for forpligtelsesbevillingerne for 2022; bemærker, at udnyttelsesgraden for betalingsbevillinger i 2022 var på 89,22 %, svarende til en stigning på 4,64 % i forhold til 2021;</w:t>
      </w:r>
    </w:p>
    <w:p w14:paraId="26844B56" w14:textId="17782B8E" w:rsidR="00BE225D" w:rsidRPr="00E512B7" w:rsidRDefault="00BE225D" w:rsidP="00BE225D">
      <w:pPr>
        <w:pStyle w:val="Normal12Hanging"/>
        <w:rPr>
          <w:szCs w:val="24"/>
          <w:lang w:val="da-DK"/>
        </w:rPr>
      </w:pPr>
      <w:r w:rsidRPr="00E512B7">
        <w:rPr>
          <w:lang w:val="da-DK"/>
        </w:rPr>
        <w:t>2.</w:t>
      </w:r>
      <w:r w:rsidRPr="00E512B7">
        <w:rPr>
          <w:lang w:val="da-DK"/>
        </w:rPr>
        <w:tab/>
        <w:t>bemærker, at der opstod forskellige nye finansieringsbehov i løbet af 2022, herunder i forbindelse med infrastruktur til det nye sagsstyringssystem (CMS), forstærkning med henblik på de nye opgaver relateret til databasen med bevismateriale om de alvorligste internationale forbrydelser</w:t>
      </w:r>
      <w:r w:rsidR="004C0A85" w:rsidRPr="00E512B7">
        <w:rPr>
          <w:lang w:val="da-DK"/>
        </w:rPr>
        <w:t xml:space="preserve"> (CICED</w:t>
      </w:r>
      <w:r w:rsidRPr="00E512B7">
        <w:rPr>
          <w:lang w:val="da-DK"/>
        </w:rPr>
        <w:t>) og lønstigninger som følge af høj inflation; bemærker, at disse finansieringsbehov blev dækket gennem to ændringsbudgetter (på i alt 5,7 mio. EUR) og flere budgetoverførsler;</w:t>
      </w:r>
    </w:p>
    <w:p w14:paraId="3C4AF962" w14:textId="782B9F01" w:rsidR="00BE225D" w:rsidRPr="00E512B7" w:rsidRDefault="00BE225D" w:rsidP="00BE225D">
      <w:pPr>
        <w:pStyle w:val="Normal12Hanging"/>
        <w:rPr>
          <w:szCs w:val="24"/>
          <w:lang w:val="da-DK"/>
        </w:rPr>
      </w:pPr>
      <w:r w:rsidRPr="00E512B7">
        <w:rPr>
          <w:lang w:val="da-DK"/>
        </w:rPr>
        <w:t>3.</w:t>
      </w:r>
      <w:r w:rsidRPr="00E512B7">
        <w:rPr>
          <w:lang w:val="da-DK"/>
        </w:rPr>
        <w:tab/>
        <w:t>noterer sig agenturets udrulning i 2022 af Kommissionens nye finansielle forvaltnings- og regnskabssystem (SUMMA) og de dermed forbundne tekniske problemer, som påvirkede agenturets budgetgennemførelse og rapportering; bemærker navnlig agenturets synspunkt om, at disse problemer også påvirkede den høje andel af betalinger, der ikke blev gennemført til tiden (52,9 %), og komplicerede overvågningen af områder med høj omkostningsvolatilitet såsom koordineringsmøder; noterer sig i denne forbindelse bemærkningen i Revisionsrettens beretning om, at agenturet i strid med nogle af bestemmelserne i finansforordningen ikke ajourførte sin risikostyrings- og kontrolstrategi for at dække de risici, der er forbundet med gennemførelsen af SUMMA, eller dets finansielle kredsløb og strategien for forudgående og efterfølgende kontrol og ikke specifikt kontrollerer de rettigheder, der er tildelt en bruger i systemet, hvilket udgør en risiko for, at brugerrollerne i SUMMA muligvis ikke tildeles og ajourføres korrekt;</w:t>
      </w:r>
    </w:p>
    <w:p w14:paraId="234E07F5" w14:textId="77777777" w:rsidR="00BE225D" w:rsidRPr="00E512B7" w:rsidRDefault="00BE225D" w:rsidP="00BE225D">
      <w:pPr>
        <w:pStyle w:val="NormalHanging12a"/>
      </w:pPr>
      <w:r w:rsidRPr="00E512B7">
        <w:t>4.</w:t>
      </w:r>
      <w:r w:rsidRPr="00E512B7">
        <w:tab/>
        <w:t>noterer sig med bekymring Revisionsrettens bemærkninger om, at agenturet ikke overholdt de betalingsfrister, der er fastsat i finansforordningen, for 1 222 af i alt 2 308 betalinger (52,9 %); minder om og understreger, at betalingerne i 720 ud af alle tilfælde (31,5 %) var mere end 30 dage forsinkede; bemærker, at agenturet tilskriver denne mangel, som efter Revisionsrettens opfattelse udsætter agenturet for økonomiske og omdømmemæssige risici og er i strid med princippet om sparsommelighed, gennemførelsen af SUMMA; noterer sig agenturets svar om, at SUMMA har været i en pilotfase, og at der var forsinkelser og tekniske vanskeligheder i forbindelse med behandlingen af transaktionerne, hvilket påvirkede personaleuddannelsen og skabte visse udfordringer for budgetforvaltningen; noterer sig endelig, at agenturet på trods af det øgede antal forsinkede betalinger ikke har betalt nogen morarenter; opfordrer agenturet til at adressere denne bemærkning fuldt ud, håndtere de tekniske vanskeligheder i forbindelse med behandlingen af transaktionerne og aflægge rapport til dechargemyndigheden om de opnåede fremskridt;</w:t>
      </w:r>
    </w:p>
    <w:p w14:paraId="0394164D" w14:textId="77777777" w:rsidR="00BE225D" w:rsidRPr="00E512B7" w:rsidRDefault="00BE225D" w:rsidP="00BE225D">
      <w:pPr>
        <w:pStyle w:val="Normal12Hanging"/>
        <w:rPr>
          <w:b/>
          <w:i/>
          <w:szCs w:val="24"/>
          <w:lang w:val="da-DK"/>
        </w:rPr>
      </w:pPr>
      <w:r w:rsidRPr="00E512B7">
        <w:rPr>
          <w:b/>
          <w:i/>
          <w:lang w:val="da-DK"/>
        </w:rPr>
        <w:t>Performance</w:t>
      </w:r>
    </w:p>
    <w:p w14:paraId="632848B5" w14:textId="77777777" w:rsidR="00BE225D" w:rsidRPr="00E512B7" w:rsidRDefault="00BE225D" w:rsidP="00BE225D">
      <w:pPr>
        <w:pStyle w:val="NormalHanging12a"/>
        <w:rPr>
          <w:szCs w:val="24"/>
        </w:rPr>
      </w:pPr>
      <w:r w:rsidRPr="00E512B7">
        <w:t>5.</w:t>
      </w:r>
      <w:r w:rsidRPr="00E512B7">
        <w:tab/>
        <w:t>noterer sig, at agenturet anvender centrale resultatindikatorer (KPI'er) til at vurdere merværdien af sine aktiviteter og med henblik på at forbedre sin budgetforvaltning; fremhæver agenturets nye flerårige strategi for 2022-2024, der fastsætter fem mål, som hver dækker en række strategiske indsatsområder; bemærker, at agenturet definerede 67 KPI'er i sin årlige arbejdsplan for 2022 og 14 flerårige KPI'er for den flerårige strategi; bemærker, at agenturet, med undtagelse af de KPI'er, der anses for ikke at være målelige eller relevante, nåede målene for 47 ud af 59 KPI'er (88 %), hvilket er en stigning i forhold til 2021 (73 %); bemærker, at agenturet i 2022 gjorde stabile fremskridt med hensyn til at nå sine flerårige KPI'er, idet 10 af dem (72 %) var på rette vej med hensyn til at nå deres mål, og tre (21 %) krævede yderligere opmærksomhed, mens der vil blive rapporteret om de endelige resultater for KPI'erne i den flerårige strategi ved udgangen af 2024;</w:t>
      </w:r>
    </w:p>
    <w:p w14:paraId="1B7A4590" w14:textId="3C7FE0F3" w:rsidR="00BE225D" w:rsidRPr="00E512B7" w:rsidRDefault="00BE225D" w:rsidP="00BE225D">
      <w:pPr>
        <w:pStyle w:val="NormalHanging12a"/>
      </w:pPr>
      <w:r w:rsidRPr="00E512B7">
        <w:t>6.</w:t>
      </w:r>
      <w:r w:rsidRPr="00E512B7">
        <w:tab/>
        <w:t xml:space="preserve">bemærker, at antallet af sager, som medlemsstaterne henviste til agenturet, fortsatte med at stige, således at der i alt blev behandlet 11 544 sager i 2022 (hvoraf 5 227 var nyligt indledte), hvilket udgør en stigning på 14 % i forhold til 2021; roser i denne forbindelse agenturets bidrag til at yde juridisk rådgivning, analyse og bistand til operationer, der har resulteret i 941 operationelle resultater til støtte for 528 sager, herunder med hensyn til komplekse sager, der førte til anholdelse af menneskesmuglere (herunder migranter), samt en indsats mod kriminelle netværk på områder som hvidvask af penge, seksuel udnyttelse, svindel med onlineinvesteringer eller narkotikahandel; bemærker endvidere med tilfredshed, at agenturet i 2022 støttede 265 fælles efterforskningshold (heraf 78 nyligt oprettede fælles efterforskningshold), organiserede 528 koordineringsmøder og 22 koordineringscentre, lettede gennemførelsen af 1 262 europæiske arrestordrer (heraf 504 nye sager) og gjorde det muligt at anvende 5 415 europæiske efterforskningskendelser (hvoraf ca. halvdelen blev indledt for nylig); bemærker, at agenturet opretholder samarbejdsforbindelser med </w:t>
      </w:r>
      <w:r w:rsidR="004C0A85" w:rsidRPr="00E512B7">
        <w:t>Det Europæiske Kontor for Bekæmpelse af Svig (</w:t>
      </w:r>
      <w:r w:rsidRPr="00E512B7">
        <w:t>OLAF</w:t>
      </w:r>
      <w:r w:rsidR="004C0A85" w:rsidRPr="00E512B7">
        <w:t>)</w:t>
      </w:r>
      <w:r w:rsidRPr="00E512B7">
        <w:t xml:space="preserve"> med henblik på at styrke bekæmpelsen af forbrydelser, der skader </w:t>
      </w:r>
      <w:r w:rsidR="004C0A85" w:rsidRPr="00E512B7">
        <w:t xml:space="preserve">Unionens </w:t>
      </w:r>
      <w:r w:rsidRPr="00E512B7">
        <w:t>finansielle interesser;</w:t>
      </w:r>
    </w:p>
    <w:p w14:paraId="3CCB57D1" w14:textId="77777777" w:rsidR="00BE225D" w:rsidRPr="00E512B7" w:rsidRDefault="00BE225D" w:rsidP="00BE225D">
      <w:pPr>
        <w:pStyle w:val="NormalHanging12a"/>
        <w:rPr>
          <w:szCs w:val="24"/>
        </w:rPr>
      </w:pPr>
      <w:r w:rsidRPr="00E512B7">
        <w:t>7.</w:t>
      </w:r>
      <w:r w:rsidRPr="00E512B7">
        <w:tab/>
        <w:t>roser agenturet for de foranstaltninger, der er truffet som reaktion på den russiske ulovlige og uprovokerede invasion af Ukraine i 2022; bemærker, at agenturet tre uger efter krigens begyndelse støttede oprettelsen af det fælles efterforskningshold til efterforskning af påståede centrale internationale forbrydelser begået i Ukraine med henblik på at lette efterforskning og retsforfølgning i de berørte stater; bemærker, at agenturet ydede juridisk og operationel støtte til de nationale kontorer i forbindelse med udvidelsen af aftalen om det fælles efterforskningshold til nye parter (Estland, Letland, Rumænien og Slovakiet) samt juridiske analyser og udtalelser vedrørende Den Internationale Straffedomstols deltagelse i det fælles efterforskningshold; bemærker endvidere, at agenturet yder operationel støtte til taskforcen "EU Freeze and Seize", som Kommissionen har oprettet, ved at koordinere medlemsstaternes håndhævelse af EU-sanktioner gennem strafferetten, hvilket gøres gennem forskellige tiltag, såsom regelmæssigt at krydstjekke listen over personer og virksomheder, som Unionen har sanktioneret, med agenturets data om eksisterende sager, der behandles af agenturet, og indsamle relevante oplysninger på nationalt plan om tidligere og igangværende efterforskninger vedrørende personer, der er opført på sanktionslisten, for at lette straffesager;</w:t>
      </w:r>
    </w:p>
    <w:p w14:paraId="5FF4B0BC" w14:textId="46610C1D" w:rsidR="00BE225D" w:rsidRPr="00E512B7" w:rsidRDefault="00BE225D" w:rsidP="00BE225D">
      <w:pPr>
        <w:pStyle w:val="NormalHanging12a"/>
      </w:pPr>
      <w:r w:rsidRPr="00E512B7">
        <w:t>8.</w:t>
      </w:r>
      <w:r w:rsidRPr="00E512B7">
        <w:tab/>
        <w:t xml:space="preserve">glæder sig over, at agenturet i 2022 styrkede sit operationelle og strategiske samarbejde med forskellige interessenter såsom de europæiske agenturer for retlige og indre anliggender (RIA), EU-institutionerne, OLAF, </w:t>
      </w:r>
      <w:r w:rsidR="004C0A85" w:rsidRPr="00E512B7">
        <w:t>Den Europæiske Anklagemyndighed (</w:t>
      </w:r>
      <w:r w:rsidRPr="00E512B7">
        <w:t>EPPO</w:t>
      </w:r>
      <w:r w:rsidR="004C0A85" w:rsidRPr="00E512B7">
        <w:t>)</w:t>
      </w:r>
      <w:r w:rsidRPr="00E512B7">
        <w:t xml:space="preserve"> samt retlige netværk, tredjelande og internationale organisationer; bemærker navnlig agenturets samarbejde med </w:t>
      </w:r>
      <w:r w:rsidR="004C0A85" w:rsidRPr="00E512B7">
        <w:t xml:space="preserve">Den Europæiske Unions </w:t>
      </w:r>
      <w:r w:rsidRPr="00E512B7">
        <w:t xml:space="preserve">Agentur for den Operationelle Forvaltning af Store IT-systemer inden for Området med Frihed, Sikkerhed og Retfærdighed (eu-LISA) om en fælles rapport om kunstig intelligens (AI) til støtte for grænseoverskridende samarbejde på det strafferetlige område, med </w:t>
      </w:r>
      <w:r w:rsidR="004C0A85" w:rsidRPr="00E512B7">
        <w:t xml:space="preserve">Det Europæiske Unions </w:t>
      </w:r>
      <w:r w:rsidRPr="00E512B7">
        <w:t xml:space="preserve">Agentur for Uddannelse inden for Retshåndhævelse (Cepol) om 16 kurser, der dækker retligt samarbejde, og med </w:t>
      </w:r>
      <w:r w:rsidR="004C0A85" w:rsidRPr="00E512B7">
        <w:t xml:space="preserve">Det Europæiske Unions </w:t>
      </w:r>
      <w:r w:rsidRPr="00E512B7">
        <w:t>Agentur for Retshåndhævelsessamarbejde (Europol) om SIRIUS-projektet og Europols "hit/intet hit"-system, med nationale myndigheder fra 20 medlemsstater, Europol, OLAF og EPPO om Operation Sentinel; fremhæver agenturets bidrag til Kommissionens initiativer inden for digitalisering af retsvæsenet (bl.a. SIS II, CMS og ECRIS-TCN); bemærker, at agenturet har været afhængigt af et stadigt voksende netværk af kontaktpunkter med de kompetente myndigheder i tredjelande, og at agenturets samlede antal kontaktpunkter i 2022 voksede til at omfatte Australien, Bahrain og Marokko; roser udvidelsen af agenturets samarbejde om straffesager på internationalt plan, navnlig gennem Euromedprogrammet for retlige anliggender med de sydlige partnerlande og et EU-finansieret projekt med fokus på grænseoverskridende strafferetligt samarbejde på Vestbalkan;</w:t>
      </w:r>
    </w:p>
    <w:p w14:paraId="492D04E6" w14:textId="77777777" w:rsidR="00BE225D" w:rsidRPr="00E512B7" w:rsidRDefault="00BE225D" w:rsidP="00E512B7">
      <w:pPr>
        <w:pStyle w:val="NormalHanging12a"/>
      </w:pPr>
      <w:r w:rsidRPr="00E512B7">
        <w:t>9.</w:t>
      </w:r>
      <w:r w:rsidRPr="00E512B7">
        <w:tab/>
        <w:t>påskønner det tværnationale samarbejde mellem retlige myndigheder, som agenturet har været med til at fremme i tæt samarbejde med alle aktører i den strafferetlige kæde, og som bidrog til anholdelsen af mere end 4 000 mistænkte, beslaglæggelse og/eller indefrysning af kriminelle aktiver til en værdi af næsten 3 mia. EUR samt til beslaglæggelse af narkotika til en værdi af næsten 12 mia. EUR;</w:t>
      </w:r>
    </w:p>
    <w:p w14:paraId="5F21B4E8" w14:textId="77777777" w:rsidR="00BE225D" w:rsidRPr="00E512B7" w:rsidRDefault="00BE225D" w:rsidP="00BE225D">
      <w:pPr>
        <w:pStyle w:val="NormalHanging12a"/>
        <w:rPr>
          <w:b/>
          <w:i/>
          <w:szCs w:val="24"/>
        </w:rPr>
      </w:pPr>
      <w:r w:rsidRPr="00E512B7">
        <w:rPr>
          <w:b/>
          <w:i/>
        </w:rPr>
        <w:t>Effektivitet og gevinster</w:t>
      </w:r>
    </w:p>
    <w:p w14:paraId="2B2621D1" w14:textId="77777777" w:rsidR="00BE225D" w:rsidRPr="00E512B7" w:rsidRDefault="00BE225D" w:rsidP="00BE225D">
      <w:pPr>
        <w:pStyle w:val="NormalHanging12a"/>
        <w:rPr>
          <w:szCs w:val="24"/>
        </w:rPr>
      </w:pPr>
      <w:r w:rsidRPr="00E512B7">
        <w:t>10.</w:t>
      </w:r>
      <w:r w:rsidRPr="00E512B7">
        <w:tab/>
        <w:t xml:space="preserve">fremhæver, at agenturet, ud over udrulningen af SUMMA, yderligere styrkede sine aktivitetsbaserede forvaltningsprocesser og -værktøjer ved at øge effektiviteten, datakvaliteten/-integriteten og anvendeligheden af sit planlægningsværktøj, ved at indføre et nyt værktøj til registrering af aktiviteter og ved at fortsætte sin gradvise overgang fra output til resultatbaserede KPI'er; roser agenturet for at indlede en drøftelse med Europol med henblik på at undersøge den potentielle deling af lægetjenester i fremtiden; roser endvidere agenturets beslutning om at fastholde visse effektivitetsgevinster, der er opnået under </w:t>
      </w:r>
      <w:r w:rsidR="004C0A85" w:rsidRPr="00E512B7">
        <w:t>covid-19-</w:t>
      </w:r>
      <w:r w:rsidRPr="00E512B7">
        <w:t>pandemien; noterer sig på baggrund af agenturets svar på Parlamentets skriftlige forespørgsler, at agenturet i 2022 afholdt 47 % af koordineringsmøderne og alle personaleuddannelses- og udvælgelsesprocedurer online og dermed reducerede de dermed forbundne finansielle og menneskelige omkostninger betydeligt, ligesom det afholdt 29 % af alle koordineringsmøder i hybridform;</w:t>
      </w:r>
    </w:p>
    <w:p w14:paraId="70EC1A3A" w14:textId="77777777" w:rsidR="00BE225D" w:rsidRPr="00E512B7" w:rsidRDefault="00BE225D" w:rsidP="00BE225D">
      <w:pPr>
        <w:pStyle w:val="NormalHanging12a"/>
        <w:rPr>
          <w:szCs w:val="24"/>
        </w:rPr>
      </w:pPr>
      <w:r w:rsidRPr="00E512B7">
        <w:t>11.</w:t>
      </w:r>
      <w:r w:rsidRPr="00E512B7">
        <w:tab/>
        <w:t>bemærker, at der blev igangsat to organisationsomfattende projekter i 2022 med henblik på at øge effektiviteten, agenturets selvbetjeningsportal og Pexip, det nye videokonferencesystem for koordineringsmøder og koordineringscentre, med op til mindst 10 simultantolkninger; bemærker endvidere, at analysen af migrationen af det eksisterende extranet og udvælgelsen af leverandører til udskiftning af bibliotekssystemet er afsluttet, mens et certificeret e-signaturværktøj stadig er undervejs med forventet resultat i 2024; roser agenturet for at gennemføre fire nye SYSPER-moduler (vurdering, jobtitler/jobbeskrivelser, NDP'er, rapportering) ud over de fem moduler, der allerede er gennemført i de foregående år; noterer sig agenturets tilsagn om fuldt ud at gennemføre SYSPER senest i 2024;</w:t>
      </w:r>
    </w:p>
    <w:p w14:paraId="2CB711F7" w14:textId="5AEB9E00" w:rsidR="00BE225D" w:rsidRPr="00E512B7" w:rsidRDefault="00BE225D" w:rsidP="00BE225D">
      <w:pPr>
        <w:pStyle w:val="NormalHanging12a"/>
        <w:rPr>
          <w:szCs w:val="24"/>
        </w:rPr>
      </w:pPr>
      <w:r w:rsidRPr="00E512B7">
        <w:t>12.</w:t>
      </w:r>
      <w:r w:rsidRPr="00E512B7">
        <w:tab/>
        <w:t xml:space="preserve">bemærker på baggrund af Revisionsrettens beretning, at agenturet endnu ikke er blandt de agenturer, der har udarbejdet virksomhedsplaner med henblik på at forbedre deres aktiviteters energieffektivitet og klimaneutralitet, har en eller anden form for miljørapportering integreret i deres årlige aktivitetsrapporter </w:t>
      </w:r>
      <w:r w:rsidR="004933CA" w:rsidRPr="00E512B7">
        <w:t>eller er</w:t>
      </w:r>
      <w:r w:rsidRPr="00E512B7">
        <w:t xml:space="preserve"> </w:t>
      </w:r>
      <w:r w:rsidR="0096024E" w:rsidRPr="00E512B7">
        <w:t>registrer</w:t>
      </w:r>
      <w:r w:rsidR="004933CA" w:rsidRPr="00E512B7">
        <w:t>et i henhold til ordningen</w:t>
      </w:r>
      <w:r w:rsidR="0096024E" w:rsidRPr="00E512B7">
        <w:t xml:space="preserve"> for miljøledelse og miljørevision (</w:t>
      </w:r>
      <w:r w:rsidRPr="00E512B7">
        <w:t>EMAS</w:t>
      </w:r>
      <w:r w:rsidR="0096024E" w:rsidRPr="00E512B7">
        <w:t>)</w:t>
      </w:r>
      <w:r w:rsidRPr="00E512B7">
        <w:t>; minder om, at agenturet i 2021 indledte gennemførelsen af rammen for overholdelse af EMAS og ISO 14001; bemærker i denne forbindelse, at agenturet i 2022 modtog den endelige rapport fra det eksterne konsulentfirma, herunder alle relevante oplysninger om de miljørelaterede bestemmelser i Nederlandene; bemærker endvidere, at agenturet i 2022 tilsluttede sig det offentlige udbud om konsulentbistand inden for miljøledelsessystemer og reduktion af og kompensation for drivhusgasemissioner;</w:t>
      </w:r>
    </w:p>
    <w:p w14:paraId="063903FB" w14:textId="77777777" w:rsidR="00BE225D" w:rsidRPr="00E512B7" w:rsidRDefault="00BE225D" w:rsidP="00BE225D">
      <w:pPr>
        <w:pStyle w:val="Normal12Hanging"/>
        <w:rPr>
          <w:b/>
          <w:i/>
          <w:szCs w:val="24"/>
          <w:lang w:val="da-DK"/>
        </w:rPr>
      </w:pPr>
      <w:r w:rsidRPr="00E512B7">
        <w:rPr>
          <w:b/>
          <w:i/>
          <w:lang w:val="da-DK"/>
        </w:rPr>
        <w:t>Personalepolitik</w:t>
      </w:r>
    </w:p>
    <w:p w14:paraId="545A6017" w14:textId="77777777" w:rsidR="00BE225D" w:rsidRPr="00E512B7" w:rsidRDefault="00BE225D" w:rsidP="00BE225D">
      <w:pPr>
        <w:pStyle w:val="Normal12Hanging"/>
        <w:rPr>
          <w:szCs w:val="24"/>
          <w:lang w:val="da-DK"/>
        </w:rPr>
      </w:pPr>
      <w:r w:rsidRPr="00E512B7">
        <w:rPr>
          <w:lang w:val="da-DK"/>
        </w:rPr>
        <w:t>13.</w:t>
      </w:r>
      <w:r w:rsidRPr="00E512B7">
        <w:rPr>
          <w:lang w:val="da-DK"/>
        </w:rPr>
        <w:tab/>
        <w:t>bemærker, at gennemførelsesgraden for agenturets stillingsfortegnelse pr. 31. december 2022 var 100 % (det samme som i 2021) med 221 midlertidigt ansatte ud af de 221 midlertidigt ansatte, som var godkendt i henhold til Unionens budget for 2022, mens 209 midlertidig ansatte var i tjeneste, og der var sendt 12 breve med jobtilbud afsted; bemærker, at der desuden arbejdede 18 kontraktansatte og 22 udstationerede nationale eksperter for agenturet i 2022; bemærker endvidere, at der blev foretaget en omklassificering, som førte til, at 53 medarbejdere blev omklassificeret;</w:t>
      </w:r>
    </w:p>
    <w:p w14:paraId="2A253D21" w14:textId="77777777" w:rsidR="00BE225D" w:rsidRPr="00E512B7" w:rsidRDefault="00BE225D" w:rsidP="00BE225D">
      <w:pPr>
        <w:pStyle w:val="NormalHanging12a"/>
      </w:pPr>
      <w:r w:rsidRPr="00E512B7">
        <w:t>14.</w:t>
      </w:r>
      <w:r w:rsidRPr="00E512B7">
        <w:tab/>
        <w:t>noterer sig kønsfordelingen i agenturet for 2022 med 6 mænd (60 %) og 4 kvinder (40 %) i top- og mellemlederstillinger, 16 mænd (64 %) og 9 kvinder (36 %) i agenturets bestyrelse, og at personalet som helhed består af 85 mænd (33 %) og 175 kvinder (67 %); opfordrer agenturet til at sikre en bedre kønsbalance på alle personaleniveauer og til yderligere at tilskynde kvindelige kandidater til at søge lederstillinger samt mandlige kandidater til at ansøge ved eksterne udvælgelsesprocedurer for de resterende stillinger; anerkender, at agenturet ikke er ansvarligt for sammensætningen af dets bestyrelse (i det følgende benævnt "kollegium"), da de nationale medlemmer af kollegiet udpeges direkte af de respektive medlemsstater; anmoder Kommissionen og medlemsstaterne om at tage hensyn til vigtigheden af at sikre kønsbalance, når de indstiller deres medlemmer til agenturets kollegium;</w:t>
      </w:r>
    </w:p>
    <w:p w14:paraId="71A6EE9B" w14:textId="77777777" w:rsidR="00BE225D" w:rsidRPr="00E512B7" w:rsidRDefault="00BE225D" w:rsidP="00BE225D">
      <w:pPr>
        <w:pStyle w:val="NormalHanging12a"/>
        <w:rPr>
          <w:szCs w:val="24"/>
        </w:rPr>
      </w:pPr>
      <w:r w:rsidRPr="00E512B7">
        <w:t>15.</w:t>
      </w:r>
      <w:r w:rsidRPr="00E512B7">
        <w:tab/>
        <w:t>bemærker, at agenturet mellem 2017 og 2022 søgte rådgivning fra et eksternt advokatfirma med speciale i Unionens tjenestemandsret i forbindelse med flere anmodninger om bistand i forbindelse med påstået mobning; bemærker, at en anmodning om bistand, der blev modtaget i 2021, førte til, at der blev indledt to separate administrative undersøgelser, hvor agenturet søgte støtte fra to eksterne undersøgere; bemærker, at undersøgelserne i begge tilfælde blev afsluttet uden yderligere foranstaltninger, men at en af dem blev indbragt for domstolen; opfordrer agenturet til at underrette dechargemyndigheden om resultatet i denne sag;</w:t>
      </w:r>
    </w:p>
    <w:p w14:paraId="2C1CA56C" w14:textId="77777777" w:rsidR="00BE225D" w:rsidRPr="00E512B7" w:rsidRDefault="00BE225D" w:rsidP="00BE225D">
      <w:pPr>
        <w:pStyle w:val="NormalHanging12a"/>
        <w:rPr>
          <w:szCs w:val="24"/>
        </w:rPr>
      </w:pPr>
      <w:r w:rsidRPr="00E512B7">
        <w:t>16.</w:t>
      </w:r>
      <w:r w:rsidRPr="00E512B7">
        <w:tab/>
        <w:t>fremhæver, at agenturet i 2022 vedtog gennemførelsesbestemmelser til personalevedtægten vedrørende bl.a. gennemførelse af administrative undersøgelser og disciplinærsager, hjemmeorlov for personale, der gør tjeneste i et tredjeland, og udbetaling af uddannelsestillæg til ansatte på visse betingelser; glæder sig over de foranstaltninger, som agenturet har truffet for integration af personer med handicap, samt agenturets tilsagn om inden for rammerne af gennemførelsen af HR-strategien at vedtage "chartret om mangfoldighed og inklusion", der er godkendt af RIA-netværkets arbejdsgruppe om mangfoldighed og inklusion;</w:t>
      </w:r>
    </w:p>
    <w:p w14:paraId="6202F67A" w14:textId="77777777" w:rsidR="00BE225D" w:rsidRPr="00E512B7" w:rsidRDefault="00BE225D" w:rsidP="00BE225D">
      <w:pPr>
        <w:pStyle w:val="NormalHanging12a"/>
      </w:pPr>
      <w:r w:rsidRPr="00E512B7">
        <w:t>17.</w:t>
      </w:r>
      <w:r w:rsidRPr="00E512B7">
        <w:tab/>
        <w:t>bemærker, at agenturets personale primært udførte telearbejde indtil marts 2022; bemærker, at alt personale pr. april 2022 vendte tilbage til agenturets lokaler; bemærker i denne forbindelse, at agenturet indførte overgangsforanstaltninger vedrørende arbejde på kontoret og telearbejde og organiserede workshopper for at hjælpe personalet med mentalt at tilpasse sig en tilbagevenden til kontoret efter konstant telearbejde i to år; bemærker også, at resultaterne af agenturets personaleundersøgelse fra 2023 viser, at de velfærdsforanstaltninger, som agenturet traf i 2022, effektivt afbødede den indvirkning, som udvidet telearbejde havde på personalet; bemærker navnlig, at 96 % af respondenterne var positive med hensyn til at kunne koordinere med teammedlemmer, selv om de arbejdede fra forskellige steder;</w:t>
      </w:r>
    </w:p>
    <w:p w14:paraId="26B682C9" w14:textId="77777777" w:rsidR="00BE225D" w:rsidRPr="00E512B7" w:rsidRDefault="00BE225D" w:rsidP="00BE225D">
      <w:pPr>
        <w:pStyle w:val="NormalHanging12a"/>
        <w:rPr>
          <w:b/>
          <w:i/>
        </w:rPr>
      </w:pPr>
      <w:r w:rsidRPr="00E512B7">
        <w:t>18.</w:t>
      </w:r>
      <w:r w:rsidRPr="00E512B7">
        <w:tab/>
        <w:t>bemærker med tilfredshed, at agenturet pr. 31. december 2022 bestod af ansatte fra 26 medlemsstater; bemærker, at de mest repræsenterede nationaliteter blandt agenturets personale var Nederlandene, Italien, Spanien og Rumænien; minder om betydningen af geografisk balance og opfordrer agenturet til fortsat at træffe de nødvendige foranstaltninger til at opnå en afbalanceret og retfærdig geografisk repræsentation;</w:t>
      </w:r>
    </w:p>
    <w:p w14:paraId="42C4120A" w14:textId="77777777" w:rsidR="00BE225D" w:rsidRPr="00E512B7" w:rsidRDefault="00BE225D" w:rsidP="00BE225D">
      <w:pPr>
        <w:pStyle w:val="Normal12Hanging"/>
        <w:rPr>
          <w:b/>
          <w:i/>
          <w:szCs w:val="24"/>
          <w:lang w:val="da-DK"/>
        </w:rPr>
      </w:pPr>
      <w:r w:rsidRPr="00E512B7">
        <w:rPr>
          <w:b/>
          <w:i/>
          <w:lang w:val="da-DK"/>
        </w:rPr>
        <w:t>Udbud</w:t>
      </w:r>
    </w:p>
    <w:p w14:paraId="76F4EC3C" w14:textId="77777777" w:rsidR="00BE225D" w:rsidRPr="00E512B7" w:rsidRDefault="00BE225D" w:rsidP="00BE225D">
      <w:pPr>
        <w:pStyle w:val="NormalHanging12a"/>
      </w:pPr>
      <w:r w:rsidRPr="00E512B7">
        <w:t>19.</w:t>
      </w:r>
      <w:r w:rsidRPr="00E512B7">
        <w:tab/>
        <w:t>minder om bemærkningen i Revisionsrettens beretning for 2020 om, at en rammekontrakt om leasing af køretøjer med en enkelt økonomisk aktør ikke var hensigtsmæssig i forhold til arten af de krævede tjenesteydelser, og at den kontrakt, der blev tildelt som resultatet af proceduren, samt alle de dermed forbundne betalinger var regelstridige; noterer sig på baggrund af Revisionsrettens beretning, at agenturet i 2022 regelstridigt udbetalte 59 281 EUR under denne kontrakt, og at bemærkningen stadig er udestående; opfordrer agenturet til at undersøge muligheden for at bringe denne rammekontrakt til ophør og iværksætte en ny procedure med genåbning af konkurrencen, som Revisionsretten fandt passende i forbindelse med leasing af køretøjer;</w:t>
      </w:r>
    </w:p>
    <w:p w14:paraId="2D17BB80" w14:textId="77777777" w:rsidR="00BE225D" w:rsidRPr="00E512B7" w:rsidRDefault="00BE225D" w:rsidP="00BE225D">
      <w:pPr>
        <w:pStyle w:val="NormalHanging12a"/>
        <w:rPr>
          <w:szCs w:val="24"/>
        </w:rPr>
      </w:pPr>
      <w:r w:rsidRPr="00E512B7">
        <w:t>20.</w:t>
      </w:r>
      <w:r w:rsidRPr="00E512B7">
        <w:tab/>
        <w:t>noterer sig på baggrund af agenturets opfølgningsrapport om decharge for 2021 (i det følgende benævnt "opfølgningsrapporten"), at agenturet fortsætter med at teste værktøjet til forvaltning af offentlige udbud (PPMT) med henblik på at gøre brug af det i forbindelse med alle nye udbudsprocedurer, der bliver iværksat fra 2024 og fremefter;</w:t>
      </w:r>
    </w:p>
    <w:p w14:paraId="0280E12A" w14:textId="77777777" w:rsidR="00BE225D" w:rsidRPr="00E512B7" w:rsidRDefault="00BE225D" w:rsidP="00BE225D">
      <w:pPr>
        <w:pStyle w:val="Normal12Hanging"/>
        <w:rPr>
          <w:b/>
          <w:i/>
          <w:szCs w:val="24"/>
          <w:lang w:val="da-DK"/>
        </w:rPr>
      </w:pPr>
      <w:r w:rsidRPr="00E512B7">
        <w:rPr>
          <w:b/>
          <w:i/>
          <w:lang w:val="da-DK"/>
        </w:rPr>
        <w:t>Forebyggelse og håndtering af interessekonflikter samt gennemsigtighed</w:t>
      </w:r>
    </w:p>
    <w:p w14:paraId="254ABC8F" w14:textId="77777777" w:rsidR="00BE225D" w:rsidRPr="00E512B7" w:rsidRDefault="00BE225D" w:rsidP="00BE225D">
      <w:pPr>
        <w:pStyle w:val="Normal12Hanging"/>
        <w:rPr>
          <w:szCs w:val="24"/>
          <w:lang w:val="da-DK"/>
        </w:rPr>
      </w:pPr>
      <w:r w:rsidRPr="00E512B7">
        <w:rPr>
          <w:lang w:val="da-DK"/>
        </w:rPr>
        <w:t>21.</w:t>
      </w:r>
      <w:r w:rsidRPr="00E512B7">
        <w:rPr>
          <w:lang w:val="da-DK"/>
        </w:rPr>
        <w:tab/>
        <w:t>noterer sig agenturets standardprocedure for håndtering af interessekonflikter, der gælder for alle kandidater, der tilbydes en stilling i agenturet, nytilkomne, personale, der skifter stilling, samt for alt personale, der forlader agenturet; fremhæver, at agenturet har indført etiske regler for medlemmerne af kollegiet og bestyrelsen, dog uden en politik på området "svingdørsproblematikker"; bemærker, at der i 2022 blev indberettet og håndteret sager om interessekonflikter, navnlig med hensyn til kollegiets medlemmers involvering i personalerelaterede procedurer; bemærker med tilfredshed, at de berørte personer erklærede sig for inhabile og ikke deltog i kollegiets drøftelser og beslutningstagning i denne henseende;</w:t>
      </w:r>
    </w:p>
    <w:p w14:paraId="3F308B8D" w14:textId="1C1955A5" w:rsidR="00BE225D" w:rsidRPr="00E512B7" w:rsidRDefault="00BE225D" w:rsidP="00BE225D">
      <w:pPr>
        <w:pStyle w:val="Normal12Hanging"/>
        <w:rPr>
          <w:szCs w:val="24"/>
          <w:lang w:val="da-DK"/>
        </w:rPr>
      </w:pPr>
      <w:r w:rsidRPr="00E512B7">
        <w:rPr>
          <w:lang w:val="da-DK"/>
        </w:rPr>
        <w:t>22.</w:t>
      </w:r>
      <w:r w:rsidRPr="00E512B7">
        <w:rPr>
          <w:lang w:val="da-DK"/>
        </w:rPr>
        <w:tab/>
        <w:t>bemærker, at møderne i agenturets bestyrelse med eksterne gæster, der besøgte agenturet, blev offentliggjort på agenturets twitterkonto i 2022 og fra 2023 på agenturets offentlige websted, selv om agenturet ikke har møder med lobbyister; beklager dybt, at agenturet på trods af Parlamentets gentagne opfordringer i flere dechargebeslutninger stadig ikke offentliggør CV'er for alle sine ledende medarbejdere, interne eksperter og eksterne eksperter på sit websted; opfordrer indtrængende agenturet til at offentliggøre disse CV'er eller forklare årsagerne til, at agenturet endnu ikke har gjort det;</w:t>
      </w:r>
    </w:p>
    <w:p w14:paraId="44666349" w14:textId="77777777" w:rsidR="00BE225D" w:rsidRPr="00E512B7" w:rsidRDefault="00BE225D" w:rsidP="00BE225D">
      <w:pPr>
        <w:pStyle w:val="Normal12Hanging"/>
        <w:rPr>
          <w:b/>
          <w:i/>
          <w:szCs w:val="24"/>
          <w:lang w:val="da-DK"/>
        </w:rPr>
      </w:pPr>
      <w:r w:rsidRPr="00E512B7">
        <w:rPr>
          <w:b/>
          <w:i/>
          <w:lang w:val="da-DK"/>
        </w:rPr>
        <w:t>Intern kontrol</w:t>
      </w:r>
    </w:p>
    <w:p w14:paraId="26FBB0CD" w14:textId="77777777" w:rsidR="00BE225D" w:rsidRPr="00E512B7" w:rsidRDefault="00BE225D" w:rsidP="00BE225D">
      <w:pPr>
        <w:pStyle w:val="NormalHanging12a"/>
        <w:rPr>
          <w:szCs w:val="24"/>
        </w:rPr>
      </w:pPr>
      <w:r w:rsidRPr="00E512B7">
        <w:t>23.</w:t>
      </w:r>
      <w:r w:rsidRPr="00E512B7">
        <w:tab/>
        <w:t>minder om, at en OLAF-undersøgelse, der blev gennemført efter en anonym klage vedrørende påstande om uregelmæssigheder i ansættelsesprocedurerne, var i gangværende i 2021; bemærker, at OLAF i 2022 rapporterede, at der ikke var blevet konstateret uregelmæssigheder i forbindelse hermed; bemærker endvidere i denne forbindelse, at OLAF af fortrolighedshensyn besluttede ikke at dele flere oplysninger på det tidspunkt, eftersom denne undersøgelse til dels stadig verserede ved udgangen af 2022; glæder sig på baggrund af opfølgningsrapporten over agenturets tilsagn om at holde dechargemyndigheden underrettet om enhver udvikling i denne sag i god tid;</w:t>
      </w:r>
    </w:p>
    <w:p w14:paraId="20BA74AD" w14:textId="77777777" w:rsidR="00BE225D" w:rsidRPr="00E512B7" w:rsidRDefault="00BE225D" w:rsidP="00BE225D">
      <w:pPr>
        <w:pStyle w:val="NormalHanging12a"/>
        <w:rPr>
          <w:szCs w:val="24"/>
        </w:rPr>
      </w:pPr>
      <w:r w:rsidRPr="00E512B7">
        <w:t>24.</w:t>
      </w:r>
      <w:r w:rsidRPr="00E512B7">
        <w:tab/>
        <w:t>bemærker, at der ved udgangen af 2022 var fire væsentligt forsinkede anbefalinger fra Kommissionens Interne Revisionstjeneste (IAS) fra 2019 og 2021; bemærker i denne forbindelse for så vidt angår IAS' anbefaling fra 2021 på eget initiativ om operationelle opgaver, at agenturets relevante interne arbejdsgruppe nåede til enighed om et strategisk dokument og en handlingsplan med foranstaltninger på kort og mellemlang sigt, hvoraf nogle allerede er blevet gennemført i 2023, hvorved agenturet med forbehold af IAS' endelige vurdering har markeret denne anbefaling som gennemført; bemærker endvidere på baggrund af opfølgningsrapporten for så vidt angår IAS' anbefaling fra 2021 om, at agenturet skulle gennemføre en iCAT-undersøgelse for at styrke vurderingen af bløde kontroller, at iværksættelsen af denne undersøgelse, der var planlagt i fjerde kvartal af 2022, blev forsinket på grund af gennemførelsen af større tværorganisatoriske projekter (f.eks. SUMMA), stigningen i arbejdsbyrden som følge af nye prioriteter i forbindelse med krigen i Ukraine og overgangsperioden mellem den tidligere administrerende direktørs afgang og udnævnelsen af den nye; bemærker i denne forbindelse, at de relevante iCAT-spørgsmål blev integreret i agenturets undersøgelse af personalets engagement (SES), der blev iværksat i andet kvartal af 2023; bemærker endelig, at denne anbefaling med forbehold for IAS' endelige vurdering også anses for at være gennemført af agenturet; opfordrer agenturet til at fremskynde gennemførelsen af de resterende udestående anbefalinger fra IAS, navnlig dem, der er væsentligt forsinkede;</w:t>
      </w:r>
    </w:p>
    <w:p w14:paraId="2C1AE046" w14:textId="77777777" w:rsidR="00BE225D" w:rsidRPr="00E512B7" w:rsidRDefault="00BE225D" w:rsidP="00BE225D">
      <w:pPr>
        <w:pStyle w:val="NormalHanging12a"/>
      </w:pPr>
      <w:r w:rsidRPr="00E512B7">
        <w:t>25.</w:t>
      </w:r>
      <w:r w:rsidRPr="00E512B7">
        <w:tab/>
        <w:t>bemærker med bekymring den betydelige stigning i antallet og værdien af tilfælde af manglende overholdelse i 2022 (43 tilfælde til en værdi af 294 000 EUR) i forhold til 2021 (33 tilfælde til en værdi af 18 000 EUR), og at disse tilfælde hovedsagelig var forbundet med spørgsmål, som f.eks. en faktura, der var højere end den retlige forpligtelse, en budgetmæssige forpligtelse, der fandt sted efter tildelingen af den retlige forpligtelse, eller fraværet af en købsordre eller en specifik kontrakt; noterer sig agenturets forklaring om, at denne stigning hænger sammen med de vanskeligheder, der opstod i forbindelse med den budgetmæssige og økonomiske forvaltning i 2022 som følge af indførelsen af SUMMA; opfordrer agenturet til at forholde sig til disse bemærkninger og undersøge modeller til at sikre, at denne form for situationer ikke længere vil forekomme i fremtiden;</w:t>
      </w:r>
    </w:p>
    <w:p w14:paraId="1E1AA597" w14:textId="77777777" w:rsidR="00BE225D" w:rsidRPr="00E512B7" w:rsidRDefault="00BE225D" w:rsidP="00BE225D">
      <w:pPr>
        <w:pStyle w:val="NormalHanging12a"/>
        <w:rPr>
          <w:szCs w:val="24"/>
        </w:rPr>
      </w:pPr>
      <w:r w:rsidRPr="00E512B7">
        <w:t>26.</w:t>
      </w:r>
      <w:r w:rsidRPr="00E512B7">
        <w:tab/>
        <w:t>bemærker, at komponenterne i og principperne for agenturets interne kontrolramme var til stede og fungerede i 2022, og at systemet generelt var effektivt, omend der var behov for visse forbedringer med hensyn til f.eks. gennemførelsen af SUMMA og behovet for at vedtage en katastrofeberedskabsplan; roser agenturet for vedtagelsen af en politik for følsomme funktioner, udkastet til vurdering af omkostningseffektiviteten og fordelene ved at udpege en intern revisionsfunktion (IAC) og fraværet af kritiske revisionshenstillinger eller -bemærkninger i 2022; opfordrer agenturet til at underrette dechargemyndigheden om resultatet af vurderingen vedrørende en intern revisionsfunktion; roser endelig agenturet for de yderligere foranstaltninger som opfølgning på vedtagelsen i 2021 af agenturets strategi for bekæmpelse af svig; bemærker i denne forbindelse, at agenturet i 2022 vedtog nye interne procedurer for forvaltning af aktiver og lagerbeholdninger;</w:t>
      </w:r>
    </w:p>
    <w:p w14:paraId="7F4F4241" w14:textId="77777777" w:rsidR="00BE225D" w:rsidRPr="00E512B7" w:rsidRDefault="00BE225D" w:rsidP="00BE225D">
      <w:pPr>
        <w:pStyle w:val="Normal12Hanging"/>
        <w:rPr>
          <w:b/>
          <w:i/>
          <w:szCs w:val="24"/>
          <w:lang w:val="da-DK"/>
        </w:rPr>
      </w:pPr>
      <w:r w:rsidRPr="00E512B7">
        <w:rPr>
          <w:b/>
          <w:i/>
          <w:lang w:val="da-DK"/>
        </w:rPr>
        <w:t>Øvrige bemærkninger</w:t>
      </w:r>
    </w:p>
    <w:p w14:paraId="1EADC4DB" w14:textId="77777777" w:rsidR="00BE225D" w:rsidRPr="00E512B7" w:rsidRDefault="00BE225D" w:rsidP="00BE225D">
      <w:pPr>
        <w:pStyle w:val="Normal12Hanging"/>
        <w:rPr>
          <w:szCs w:val="24"/>
          <w:lang w:val="da-DK"/>
        </w:rPr>
      </w:pPr>
      <w:r w:rsidRPr="00E512B7">
        <w:rPr>
          <w:lang w:val="da-DK"/>
        </w:rPr>
        <w:t>27.</w:t>
      </w:r>
      <w:r w:rsidRPr="00E512B7">
        <w:rPr>
          <w:lang w:val="da-DK"/>
        </w:rPr>
        <w:tab/>
        <w:t>roser agenturet for at investere i sine kommunikationsaktiviteter med henblik på at øge agenturets synlighed og forståelse af dets arbejde og nå ud til et bredt publikum; bemærker som følge heraf en stigning i agenturets parametre for sociale medier på 40 %, antallet af besøgende på agenturets websted med næsten 100 % og antallet af pressemeddelelser og nyhedsartikler med 16 % i 2022 i forhold til 2021, idet sidstnævnte indikator førte til en stigning på næsten fem gange så mange omtaler i forhold til 2021;</w:t>
      </w:r>
    </w:p>
    <w:p w14:paraId="0B65C82C" w14:textId="77777777" w:rsidR="00BE225D" w:rsidRPr="00E512B7" w:rsidRDefault="00BE225D" w:rsidP="00BE225D">
      <w:pPr>
        <w:pStyle w:val="Normal12Hanging"/>
        <w:rPr>
          <w:szCs w:val="24"/>
          <w:lang w:val="da-DK"/>
        </w:rPr>
      </w:pPr>
      <w:r w:rsidRPr="00E512B7">
        <w:rPr>
          <w:lang w:val="da-DK"/>
        </w:rPr>
        <w:t>28.</w:t>
      </w:r>
      <w:r w:rsidRPr="00E512B7">
        <w:rPr>
          <w:lang w:val="da-DK"/>
        </w:rPr>
        <w:tab/>
        <w:t>roser agenturets fortsatte bestræbelser i 2022 på at styrke sin overholdelse af databeskyttelsesreglerne; glæder sig over forøgelsen af agenturets databeskyttelsesrådgivers team med yderligere to medarbejdere til de nye opgaver i forbindelse med forordning (EU) 2018/1725</w:t>
      </w:r>
      <w:r w:rsidR="00CA0D2F" w:rsidRPr="00E512B7">
        <w:rPr>
          <w:rStyle w:val="FootnoteReference"/>
          <w:lang w:val="da-DK"/>
        </w:rPr>
        <w:footnoteReference w:id="12"/>
      </w:r>
      <w:r w:rsidRPr="00E512B7">
        <w:rPr>
          <w:lang w:val="da-DK"/>
        </w:rPr>
        <w:t xml:space="preserve"> og udvidelsen af agenturets mandat i forbindelse med centrale internationale forbrydelser, som indebærer øgede databeskyttelseskrav; bemærker, at databeskyttelsesrådgiveren og Den Europæiske Tilsynsførende for Databeskyttelse i 2022 fortsatte med at afholde regelmæssige møder (hver anden måned) samt ad hoc-møder og høringer om forskellige databeskyttelsesspørgsmål såsom f.eks. brud på datasikkerheden og klager;</w:t>
      </w:r>
    </w:p>
    <w:p w14:paraId="5ABD05D1" w14:textId="77777777" w:rsidR="00BE225D" w:rsidRPr="00E512B7" w:rsidRDefault="00BE225D" w:rsidP="00BE225D">
      <w:pPr>
        <w:pStyle w:val="Normal12Hanging"/>
        <w:rPr>
          <w:szCs w:val="24"/>
          <w:lang w:val="da-DK"/>
        </w:rPr>
      </w:pPr>
      <w:r w:rsidRPr="00E512B7">
        <w:rPr>
          <w:lang w:val="da-DK"/>
        </w:rPr>
        <w:t>29.</w:t>
      </w:r>
      <w:r w:rsidRPr="00E512B7">
        <w:rPr>
          <w:lang w:val="da-DK"/>
        </w:rPr>
        <w:tab/>
        <w:t>roser endvidere agenturet for i 2022 at gennemføre flere foranstaltninger med henblik på at øge cybersikkerheden og beskyttelsen af de digitale optegnelser, som det er i besiddelse af, såsom bl.a. udrulningen af centralt forvaltede og sikrede virksomhedsmobiltelefoner, indførelsen af interne informationsmøder vedrørende CyberCafe og gennemførelsen af beskyttelse mod bl.a. distributed denial of service-angreb;</w:t>
      </w:r>
    </w:p>
    <w:p w14:paraId="209507DB" w14:textId="77777777" w:rsidR="00BE225D" w:rsidRPr="00E512B7" w:rsidRDefault="00BE225D" w:rsidP="00BE225D">
      <w:pPr>
        <w:pStyle w:val="NormalCenter12a"/>
      </w:pPr>
      <w:r w:rsidRPr="00E512B7">
        <w:t>°</w:t>
      </w:r>
    </w:p>
    <w:p w14:paraId="105B29BD" w14:textId="77777777" w:rsidR="00BE225D" w:rsidRPr="00E512B7" w:rsidRDefault="00BE225D" w:rsidP="00BE225D">
      <w:pPr>
        <w:pStyle w:val="NormalCenter12a"/>
      </w:pPr>
      <w:r w:rsidRPr="00E512B7">
        <w:t>°</w:t>
      </w:r>
      <w:r w:rsidRPr="00E512B7">
        <w:tab/>
        <w:t>°</w:t>
      </w:r>
    </w:p>
    <w:p w14:paraId="145CEE96" w14:textId="12F76726" w:rsidR="00BE225D" w:rsidRPr="00E512B7" w:rsidRDefault="00BE225D" w:rsidP="00BE225D">
      <w:pPr>
        <w:pStyle w:val="NormalHanging12a"/>
      </w:pPr>
      <w:r w:rsidRPr="00E512B7">
        <w:t>30.</w:t>
      </w:r>
      <w:r w:rsidRPr="00E512B7">
        <w:tab/>
        <w:t xml:space="preserve">henviser med hensyn til de øvrige bemærkninger, der ledsager dechargeafgørelsen, og som er af horisontal karakter, til sin beslutning af </w:t>
      </w:r>
      <w:r w:rsidR="00CA0D2F" w:rsidRPr="00E512B7">
        <w:t xml:space="preserve">11. april </w:t>
      </w:r>
      <w:r w:rsidRPr="00E512B7">
        <w:t>2024</w:t>
      </w:r>
      <w:r w:rsidRPr="00E512B7">
        <w:rPr>
          <w:rStyle w:val="FootnoteReference"/>
        </w:rPr>
        <w:footnoteReference w:id="13"/>
      </w:r>
      <w:bookmarkStart w:id="14" w:name="_GoBack"/>
      <w:bookmarkEnd w:id="14"/>
      <w:r w:rsidRPr="00E512B7">
        <w:t xml:space="preserve"> om agenturernes resultater, økonomiske forvaltning og kontrol.</w:t>
      </w:r>
    </w:p>
    <w:sectPr w:rsidR="00BE225D" w:rsidRPr="00E512B7" w:rsidSect="00CC623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33F2C" w14:textId="77777777" w:rsidR="00714E86" w:rsidRPr="00CC623E" w:rsidRDefault="00714E86">
      <w:r w:rsidRPr="00CC623E">
        <w:separator/>
      </w:r>
    </w:p>
  </w:endnote>
  <w:endnote w:type="continuationSeparator" w:id="0">
    <w:p w14:paraId="39BBABFA" w14:textId="77777777" w:rsidR="00714E86" w:rsidRPr="00CC623E" w:rsidRDefault="00714E86">
      <w:r w:rsidRPr="00CC62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99729" w14:textId="77777777" w:rsidR="00BE225D" w:rsidRPr="00CC623E" w:rsidRDefault="00BE225D" w:rsidP="00A26D9E">
    <w:pPr>
      <w:pStyle w:val="EPFooter"/>
    </w:pPr>
    <w:r w:rsidRPr="00CC623E">
      <w:t>PE</w:t>
    </w:r>
    <w:r w:rsidRPr="00CC623E">
      <w:rPr>
        <w:rStyle w:val="HideTWBExt"/>
      </w:rPr>
      <w:t>&lt;NoPE&gt;</w:t>
    </w:r>
    <w:r w:rsidRPr="00CC623E">
      <w:t>753.539</w:t>
    </w:r>
    <w:r w:rsidRPr="00CC623E">
      <w:rPr>
        <w:rStyle w:val="HideTWBExt"/>
      </w:rPr>
      <w:t>&lt;/NoPE&gt;&lt;Version&gt;</w:t>
    </w:r>
    <w:r w:rsidRPr="00CC623E">
      <w:t>v02-00</w:t>
    </w:r>
    <w:r w:rsidRPr="00CC623E">
      <w:rPr>
        <w:rStyle w:val="HideTWBExt"/>
      </w:rPr>
      <w:t>&lt;/Version&gt;</w:t>
    </w:r>
    <w:r w:rsidRPr="00CC623E">
      <w:tab/>
    </w:r>
    <w:r w:rsidRPr="00CC623E">
      <w:fldChar w:fldCharType="begin"/>
    </w:r>
    <w:r w:rsidRPr="00CC623E">
      <w:instrText xml:space="preserve"> PAGE  \* MERGEFORMAT </w:instrText>
    </w:r>
    <w:r w:rsidRPr="00CC623E">
      <w:fldChar w:fldCharType="separate"/>
    </w:r>
    <w:r w:rsidRPr="00CC623E">
      <w:rPr>
        <w:noProof/>
      </w:rPr>
      <w:t>4</w:t>
    </w:r>
    <w:r w:rsidRPr="00CC623E">
      <w:fldChar w:fldCharType="end"/>
    </w:r>
    <w:r w:rsidRPr="00CC623E">
      <w:t>/</w:t>
    </w:r>
    <w:r w:rsidR="00EA6F77">
      <w:fldChar w:fldCharType="begin"/>
    </w:r>
    <w:r w:rsidR="00EA6F77">
      <w:instrText xml:space="preserve"> NUMPAGES  \* MERGEFORMAT </w:instrText>
    </w:r>
    <w:r w:rsidR="00EA6F77">
      <w:fldChar w:fldCharType="separate"/>
    </w:r>
    <w:r w:rsidRPr="00CC623E">
      <w:rPr>
        <w:noProof/>
      </w:rPr>
      <w:t>4</w:t>
    </w:r>
    <w:r w:rsidR="00EA6F77">
      <w:rPr>
        <w:noProof/>
      </w:rPr>
      <w:fldChar w:fldCharType="end"/>
    </w:r>
    <w:r w:rsidRPr="00CC623E">
      <w:tab/>
    </w:r>
    <w:r w:rsidRPr="00CC623E">
      <w:rPr>
        <w:rStyle w:val="HideTWBExt"/>
      </w:rPr>
      <w:t>&lt;PathFdR&gt;</w:t>
    </w:r>
    <w:r w:rsidRPr="00CC623E">
      <w:t>RR\1298768DA.docx</w:t>
    </w:r>
    <w:r w:rsidRPr="00CC623E">
      <w:rPr>
        <w:rStyle w:val="HideTWBExt"/>
      </w:rPr>
      <w:t>&lt;/PathFdR&gt;</w:t>
    </w:r>
  </w:p>
  <w:p w14:paraId="0428E2E1" w14:textId="77777777" w:rsidR="00BE225D" w:rsidRPr="00CC623E" w:rsidRDefault="00BE225D" w:rsidP="00A26D9E">
    <w:pPr>
      <w:pStyle w:val="EPFooter2"/>
    </w:pPr>
    <w:r w:rsidRPr="00CC623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CA403" w14:textId="77777777" w:rsidR="00BE225D" w:rsidRPr="00CC623E" w:rsidRDefault="00BE225D" w:rsidP="00A26D9E">
    <w:pPr>
      <w:pStyle w:val="EPFooter"/>
    </w:pPr>
    <w:r w:rsidRPr="00CC623E">
      <w:rPr>
        <w:rStyle w:val="HideTWBExt"/>
      </w:rPr>
      <w:t>&lt;PathFdR&gt;</w:t>
    </w:r>
    <w:r w:rsidRPr="00CC623E">
      <w:t>RR\1298768DA.docx</w:t>
    </w:r>
    <w:r w:rsidRPr="00CC623E">
      <w:rPr>
        <w:rStyle w:val="HideTWBExt"/>
      </w:rPr>
      <w:t>&lt;/PathFdR&gt;</w:t>
    </w:r>
    <w:r w:rsidRPr="00CC623E">
      <w:tab/>
    </w:r>
    <w:r w:rsidRPr="00CC623E">
      <w:tab/>
      <w:t>PE</w:t>
    </w:r>
    <w:r w:rsidRPr="00CC623E">
      <w:rPr>
        <w:rStyle w:val="HideTWBExt"/>
      </w:rPr>
      <w:t>&lt;NoPE&gt;</w:t>
    </w:r>
    <w:r w:rsidRPr="00CC623E">
      <w:t>753.539</w:t>
    </w:r>
    <w:r w:rsidRPr="00CC623E">
      <w:rPr>
        <w:rStyle w:val="HideTWBExt"/>
      </w:rPr>
      <w:t>&lt;/NoPE&gt;&lt;Version&gt;</w:t>
    </w:r>
    <w:r w:rsidRPr="00CC623E">
      <w:t>v02-00</w:t>
    </w:r>
    <w:r w:rsidRPr="00CC623E">
      <w:rPr>
        <w:rStyle w:val="HideTWBExt"/>
      </w:rPr>
      <w:t>&lt;/Version&gt;</w:t>
    </w:r>
  </w:p>
  <w:p w14:paraId="1BACFEE7" w14:textId="77777777" w:rsidR="00BE225D" w:rsidRPr="00CC623E" w:rsidRDefault="00BE225D" w:rsidP="00A26D9E">
    <w:pPr>
      <w:pStyle w:val="EPFooter2"/>
    </w:pPr>
    <w:r w:rsidRPr="00CC623E">
      <w:t>DA</w:t>
    </w:r>
    <w:r w:rsidRPr="00CC623E">
      <w:tab/>
    </w:r>
    <w:r w:rsidRPr="00CC623E">
      <w:rPr>
        <w:b w:val="0"/>
        <w:i/>
        <w:color w:val="C0C0C0"/>
        <w:sz w:val="22"/>
      </w:rPr>
      <w:t>Forenet i mangfoldighed</w:t>
    </w:r>
    <w:r w:rsidRPr="00CC623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54A11" w14:textId="77777777" w:rsidR="00064002" w:rsidRPr="00CC623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29D88" w14:textId="77777777" w:rsidR="00064002" w:rsidRPr="00CC623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A3616" w14:textId="77777777" w:rsidR="00064002" w:rsidRPr="00CC62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F31657" w14:textId="77777777" w:rsidR="00714E86" w:rsidRPr="00CC623E" w:rsidRDefault="00714E86">
      <w:r w:rsidRPr="00CC623E">
        <w:separator/>
      </w:r>
    </w:p>
  </w:footnote>
  <w:footnote w:type="continuationSeparator" w:id="0">
    <w:p w14:paraId="52946F27" w14:textId="77777777" w:rsidR="00714E86" w:rsidRPr="00CC623E" w:rsidRDefault="00714E86">
      <w:r w:rsidRPr="00CC623E">
        <w:continuationSeparator/>
      </w:r>
    </w:p>
  </w:footnote>
  <w:footnote w:id="1">
    <w:p w14:paraId="11C0572E" w14:textId="77777777" w:rsidR="00BE225D" w:rsidRPr="00E512B7" w:rsidRDefault="00BE225D" w:rsidP="00CC623E">
      <w:pPr>
        <w:pStyle w:val="FootnoteText"/>
        <w:ind w:left="567" w:hanging="567"/>
        <w:rPr>
          <w:sz w:val="24"/>
        </w:rPr>
      </w:pPr>
      <w:r w:rsidRPr="00CC623E">
        <w:rPr>
          <w:rStyle w:val="FootnoteReference"/>
          <w:sz w:val="24"/>
          <w:lang w:val="da-DK"/>
        </w:rPr>
        <w:footnoteRef/>
      </w:r>
      <w:r w:rsidR="00CC623E" w:rsidRPr="00E512B7">
        <w:rPr>
          <w:sz w:val="24"/>
        </w:rPr>
        <w:t xml:space="preserve"> </w:t>
      </w:r>
      <w:r w:rsidR="00CC623E" w:rsidRPr="00E512B7">
        <w:rPr>
          <w:sz w:val="24"/>
        </w:rPr>
        <w:tab/>
      </w:r>
      <w:r w:rsidRPr="00E512B7">
        <w:rPr>
          <w:sz w:val="24"/>
        </w:rPr>
        <w:t>EUT C, C/2023/594, 27.10.2023.</w:t>
      </w:r>
    </w:p>
  </w:footnote>
  <w:footnote w:id="2">
    <w:p w14:paraId="1ADD4206" w14:textId="77777777" w:rsidR="00BE225D" w:rsidRPr="00E512B7" w:rsidRDefault="00BE225D" w:rsidP="00CC623E">
      <w:pPr>
        <w:pStyle w:val="FootnoteText"/>
        <w:ind w:left="567" w:hanging="567"/>
        <w:rPr>
          <w:sz w:val="24"/>
        </w:rPr>
      </w:pPr>
      <w:r w:rsidRPr="00CC623E">
        <w:rPr>
          <w:rStyle w:val="FootnoteReference"/>
          <w:sz w:val="24"/>
          <w:lang w:val="da-DK"/>
        </w:rPr>
        <w:footnoteRef/>
      </w:r>
      <w:r w:rsidR="00CC623E" w:rsidRPr="00E512B7">
        <w:rPr>
          <w:sz w:val="24"/>
        </w:rPr>
        <w:t xml:space="preserve"> </w:t>
      </w:r>
      <w:r w:rsidR="00CC623E" w:rsidRPr="00E512B7">
        <w:rPr>
          <w:sz w:val="24"/>
        </w:rPr>
        <w:tab/>
      </w:r>
      <w:r w:rsidRPr="00E512B7">
        <w:rPr>
          <w:sz w:val="24"/>
        </w:rPr>
        <w:t>EUT C, C/2023/112, 12.10.2023.</w:t>
      </w:r>
    </w:p>
  </w:footnote>
  <w:footnote w:id="3">
    <w:p w14:paraId="353AB081" w14:textId="77777777" w:rsidR="00BE225D" w:rsidRPr="00CC623E" w:rsidRDefault="00BE225D" w:rsidP="00CC623E">
      <w:pPr>
        <w:pStyle w:val="FootnoteText"/>
        <w:ind w:left="567" w:hanging="567"/>
        <w:rPr>
          <w:sz w:val="24"/>
          <w:lang w:val="da-DK"/>
        </w:rPr>
      </w:pPr>
      <w:r w:rsidRPr="00CC623E">
        <w:rPr>
          <w:rStyle w:val="FootnoteReference"/>
          <w:sz w:val="24"/>
          <w:lang w:val="da-DK"/>
        </w:rPr>
        <w:footnoteRef/>
      </w:r>
      <w:r w:rsidR="00CC623E" w:rsidRPr="00CC623E">
        <w:rPr>
          <w:sz w:val="24"/>
          <w:lang w:val="da-DK"/>
        </w:rPr>
        <w:t xml:space="preserve"> </w:t>
      </w:r>
      <w:r w:rsidR="00CC623E" w:rsidRPr="00CC623E">
        <w:rPr>
          <w:sz w:val="24"/>
          <w:lang w:val="da-DK"/>
        </w:rPr>
        <w:tab/>
      </w:r>
      <w:r w:rsidRPr="00CC623E">
        <w:rPr>
          <w:sz w:val="24"/>
          <w:lang w:val="da-DK"/>
        </w:rPr>
        <w:t>EUT L 193 af 30.7.2018, s. 1.</w:t>
      </w:r>
    </w:p>
  </w:footnote>
  <w:footnote w:id="4">
    <w:p w14:paraId="279213EA" w14:textId="77777777" w:rsidR="00BE225D" w:rsidRPr="00CC623E" w:rsidRDefault="00BE225D" w:rsidP="00CC623E">
      <w:pPr>
        <w:pStyle w:val="FootnoteText"/>
        <w:ind w:left="567" w:hanging="567"/>
        <w:rPr>
          <w:sz w:val="24"/>
          <w:lang w:val="da-DK"/>
        </w:rPr>
      </w:pPr>
      <w:r w:rsidRPr="00CC623E">
        <w:rPr>
          <w:rStyle w:val="FootnoteReference"/>
          <w:sz w:val="24"/>
          <w:lang w:val="da-DK"/>
        </w:rPr>
        <w:footnoteRef/>
      </w:r>
      <w:r w:rsidR="00CC623E" w:rsidRPr="00CC623E">
        <w:rPr>
          <w:sz w:val="24"/>
          <w:lang w:val="da-DK"/>
        </w:rPr>
        <w:t xml:space="preserve"> </w:t>
      </w:r>
      <w:r w:rsidR="00CC623E" w:rsidRPr="00CC623E">
        <w:rPr>
          <w:sz w:val="24"/>
          <w:lang w:val="da-DK"/>
        </w:rPr>
        <w:tab/>
      </w:r>
      <w:r w:rsidRPr="00CC623E">
        <w:rPr>
          <w:sz w:val="24"/>
          <w:lang w:val="da-DK"/>
        </w:rPr>
        <w:t>EUT L 295 af 21.11.2018, s. 138.</w:t>
      </w:r>
    </w:p>
  </w:footnote>
  <w:footnote w:id="5">
    <w:p w14:paraId="2A12C3B0" w14:textId="77777777" w:rsidR="00BE225D" w:rsidRPr="00CC623E" w:rsidRDefault="00BE225D" w:rsidP="00CC623E">
      <w:pPr>
        <w:pStyle w:val="FootnoteText"/>
        <w:ind w:left="567" w:hanging="567"/>
        <w:rPr>
          <w:sz w:val="24"/>
          <w:szCs w:val="24"/>
          <w:lang w:val="da-DK"/>
        </w:rPr>
      </w:pPr>
      <w:r w:rsidRPr="00CC623E">
        <w:rPr>
          <w:rStyle w:val="FootnoteReference"/>
          <w:sz w:val="24"/>
          <w:lang w:val="da-DK"/>
        </w:rPr>
        <w:footnoteRef/>
      </w:r>
      <w:r w:rsidR="00CC623E" w:rsidRPr="00CC623E">
        <w:rPr>
          <w:sz w:val="24"/>
          <w:lang w:val="da-DK"/>
        </w:rPr>
        <w:t xml:space="preserve"> </w:t>
      </w:r>
      <w:r w:rsidR="00CC623E" w:rsidRPr="00CC623E">
        <w:rPr>
          <w:sz w:val="24"/>
          <w:lang w:val="da-DK"/>
        </w:rPr>
        <w:tab/>
      </w:r>
      <w:r w:rsidRPr="00CC623E">
        <w:rPr>
          <w:sz w:val="24"/>
          <w:lang w:val="da-DK"/>
        </w:rPr>
        <w:t>EUT L 122 af 10.5.2019, s. 1.</w:t>
      </w:r>
    </w:p>
  </w:footnote>
  <w:footnote w:id="6">
    <w:p w14:paraId="2CE9FBF3" w14:textId="77777777" w:rsidR="00BE225D" w:rsidRPr="00CC623E" w:rsidRDefault="00BE225D" w:rsidP="00CC623E">
      <w:pPr>
        <w:pStyle w:val="FootnoteText"/>
        <w:ind w:left="567" w:hanging="567"/>
        <w:rPr>
          <w:sz w:val="24"/>
          <w:lang w:val="da-DK"/>
        </w:rPr>
      </w:pPr>
      <w:r w:rsidRPr="00CC623E">
        <w:rPr>
          <w:rStyle w:val="FootnoteReference"/>
          <w:sz w:val="24"/>
          <w:lang w:val="da-DK"/>
        </w:rPr>
        <w:footnoteRef/>
      </w:r>
      <w:r w:rsidR="00CC623E" w:rsidRPr="00CC623E">
        <w:rPr>
          <w:sz w:val="24"/>
          <w:lang w:val="da-DK"/>
        </w:rPr>
        <w:t xml:space="preserve"> </w:t>
      </w:r>
      <w:r w:rsidR="00CC623E" w:rsidRPr="00CC623E">
        <w:rPr>
          <w:sz w:val="24"/>
          <w:lang w:val="da-DK"/>
        </w:rPr>
        <w:tab/>
      </w:r>
      <w:r w:rsidRPr="00CC623E">
        <w:rPr>
          <w:sz w:val="24"/>
          <w:lang w:val="da-DK"/>
        </w:rPr>
        <w:t>EUT C, C/2023/594, 27.10.2023.</w:t>
      </w:r>
    </w:p>
  </w:footnote>
  <w:footnote w:id="7">
    <w:p w14:paraId="277357EB" w14:textId="77777777" w:rsidR="00BE225D" w:rsidRPr="00E512B7" w:rsidRDefault="00BE225D" w:rsidP="00CC623E">
      <w:pPr>
        <w:pStyle w:val="FootnoteText"/>
        <w:ind w:left="567" w:hanging="567"/>
        <w:rPr>
          <w:sz w:val="24"/>
        </w:rPr>
      </w:pPr>
      <w:r w:rsidRPr="00CC623E">
        <w:rPr>
          <w:rStyle w:val="FootnoteReference"/>
          <w:sz w:val="24"/>
          <w:lang w:val="da-DK"/>
        </w:rPr>
        <w:footnoteRef/>
      </w:r>
      <w:r w:rsidR="00CC623E" w:rsidRPr="00E512B7">
        <w:rPr>
          <w:sz w:val="24"/>
        </w:rPr>
        <w:t xml:space="preserve"> </w:t>
      </w:r>
      <w:r w:rsidR="00CC623E" w:rsidRPr="00E512B7">
        <w:rPr>
          <w:sz w:val="24"/>
        </w:rPr>
        <w:tab/>
      </w:r>
      <w:r w:rsidRPr="00E512B7">
        <w:rPr>
          <w:sz w:val="24"/>
        </w:rPr>
        <w:t>EUT C, C/2023/112, 12.10.2023.</w:t>
      </w:r>
    </w:p>
  </w:footnote>
  <w:footnote w:id="8">
    <w:p w14:paraId="0F00A685" w14:textId="77777777" w:rsidR="00BE225D" w:rsidRPr="00E512B7" w:rsidRDefault="00BE225D" w:rsidP="00CC623E">
      <w:pPr>
        <w:pStyle w:val="FootnoteText"/>
        <w:ind w:left="567" w:hanging="567"/>
        <w:rPr>
          <w:sz w:val="24"/>
        </w:rPr>
      </w:pPr>
      <w:r w:rsidRPr="00CC623E">
        <w:rPr>
          <w:rStyle w:val="FootnoteReference"/>
          <w:sz w:val="24"/>
          <w:lang w:val="da-DK"/>
        </w:rPr>
        <w:footnoteRef/>
      </w:r>
      <w:r w:rsidR="00CC623E" w:rsidRPr="00E512B7">
        <w:rPr>
          <w:sz w:val="24"/>
        </w:rPr>
        <w:t xml:space="preserve"> </w:t>
      </w:r>
      <w:r w:rsidR="00CC623E" w:rsidRPr="00E512B7">
        <w:rPr>
          <w:sz w:val="24"/>
        </w:rPr>
        <w:tab/>
      </w:r>
      <w:r w:rsidRPr="00E512B7">
        <w:rPr>
          <w:sz w:val="24"/>
        </w:rPr>
        <w:t>EUT L 193 af 30.7.2018, s. 1.</w:t>
      </w:r>
    </w:p>
  </w:footnote>
  <w:footnote w:id="9">
    <w:p w14:paraId="2700EF1F" w14:textId="77777777" w:rsidR="00BE225D" w:rsidRPr="00CC623E" w:rsidRDefault="00BE225D" w:rsidP="00CC623E">
      <w:pPr>
        <w:pStyle w:val="FootnoteText"/>
        <w:ind w:left="567" w:hanging="567"/>
        <w:rPr>
          <w:sz w:val="24"/>
          <w:lang w:val="da-DK"/>
        </w:rPr>
      </w:pPr>
      <w:r w:rsidRPr="00CC623E">
        <w:rPr>
          <w:rStyle w:val="FootnoteReference"/>
          <w:sz w:val="24"/>
          <w:lang w:val="da-DK"/>
        </w:rPr>
        <w:footnoteRef/>
      </w:r>
      <w:r w:rsidR="00CC623E" w:rsidRPr="00CC623E">
        <w:rPr>
          <w:sz w:val="24"/>
          <w:lang w:val="da-DK"/>
        </w:rPr>
        <w:t xml:space="preserve"> </w:t>
      </w:r>
      <w:r w:rsidR="00CC623E" w:rsidRPr="00CC623E">
        <w:rPr>
          <w:sz w:val="24"/>
          <w:lang w:val="da-DK"/>
        </w:rPr>
        <w:tab/>
      </w:r>
      <w:r w:rsidRPr="00CC623E">
        <w:rPr>
          <w:sz w:val="24"/>
          <w:lang w:val="da-DK"/>
        </w:rPr>
        <w:t>EUT L 295 af 21.11.2018, s. 138.</w:t>
      </w:r>
    </w:p>
  </w:footnote>
  <w:footnote w:id="10">
    <w:p w14:paraId="69E23194" w14:textId="77777777" w:rsidR="00BE225D" w:rsidRPr="00CC623E" w:rsidRDefault="00BE225D" w:rsidP="00CC623E">
      <w:pPr>
        <w:pStyle w:val="FootnoteText"/>
        <w:ind w:left="567" w:hanging="567"/>
        <w:rPr>
          <w:sz w:val="24"/>
          <w:szCs w:val="24"/>
          <w:lang w:val="da-DK"/>
        </w:rPr>
      </w:pPr>
      <w:r w:rsidRPr="00CC623E">
        <w:rPr>
          <w:rStyle w:val="FootnoteReference"/>
          <w:sz w:val="24"/>
          <w:lang w:val="da-DK"/>
        </w:rPr>
        <w:footnoteRef/>
      </w:r>
      <w:r w:rsidR="00CC623E" w:rsidRPr="00CC623E">
        <w:rPr>
          <w:sz w:val="24"/>
          <w:lang w:val="da-DK"/>
        </w:rPr>
        <w:t xml:space="preserve"> </w:t>
      </w:r>
      <w:r w:rsidR="00CC623E" w:rsidRPr="00CC623E">
        <w:rPr>
          <w:sz w:val="24"/>
          <w:lang w:val="da-DK"/>
        </w:rPr>
        <w:tab/>
      </w:r>
      <w:r w:rsidRPr="00CC623E">
        <w:rPr>
          <w:sz w:val="24"/>
          <w:lang w:val="da-DK"/>
        </w:rPr>
        <w:t>EUT L 122 af 10.5.2019, s. 1.</w:t>
      </w:r>
    </w:p>
  </w:footnote>
  <w:footnote w:id="11">
    <w:p w14:paraId="2594F93F" w14:textId="77777777" w:rsidR="00BE225D" w:rsidRPr="00CC623E" w:rsidRDefault="00BE225D" w:rsidP="00CC623E">
      <w:pPr>
        <w:pStyle w:val="FootnoteText"/>
        <w:ind w:left="567" w:hanging="567"/>
        <w:rPr>
          <w:sz w:val="24"/>
          <w:lang w:val="da-DK"/>
        </w:rPr>
      </w:pPr>
      <w:r w:rsidRPr="00CC623E">
        <w:rPr>
          <w:rStyle w:val="FootnoteReference"/>
          <w:sz w:val="24"/>
          <w:lang w:val="da-DK"/>
        </w:rPr>
        <w:footnoteRef/>
      </w:r>
      <w:r w:rsidR="00CC623E" w:rsidRPr="00CC623E">
        <w:rPr>
          <w:sz w:val="24"/>
          <w:lang w:val="da-DK"/>
        </w:rPr>
        <w:t xml:space="preserve"> </w:t>
      </w:r>
      <w:r w:rsidR="00CC623E" w:rsidRPr="00CC623E">
        <w:rPr>
          <w:sz w:val="24"/>
          <w:lang w:val="da-DK"/>
        </w:rPr>
        <w:tab/>
      </w:r>
      <w:r w:rsidRPr="00CC623E">
        <w:rPr>
          <w:sz w:val="24"/>
          <w:lang w:val="da-DK"/>
        </w:rPr>
        <w:t>EUT C 38 af 31.1.2023, s. 194.</w:t>
      </w:r>
    </w:p>
  </w:footnote>
  <w:footnote w:id="12">
    <w:p w14:paraId="5F2AB0BD" w14:textId="77777777" w:rsidR="00CA0D2F" w:rsidRPr="00E512B7" w:rsidRDefault="00CA0D2F" w:rsidP="00E512B7">
      <w:pPr>
        <w:pStyle w:val="FootnoteText"/>
        <w:ind w:left="567" w:hanging="567"/>
        <w:rPr>
          <w:sz w:val="24"/>
          <w:lang w:val="da-DK"/>
        </w:rPr>
      </w:pPr>
      <w:r w:rsidRPr="00E512B7">
        <w:rPr>
          <w:rStyle w:val="FootnoteReference"/>
          <w:sz w:val="24"/>
        </w:rPr>
        <w:footnoteRef/>
      </w:r>
      <w:r w:rsidRPr="00E512B7">
        <w:rPr>
          <w:sz w:val="24"/>
          <w:lang w:val="da-DK"/>
        </w:rPr>
        <w:t xml:space="preserve"> </w:t>
      </w:r>
      <w:r w:rsidRPr="00E512B7">
        <w:rPr>
          <w:sz w:val="24"/>
          <w:lang w:val="da-DK"/>
        </w:rPr>
        <w:tab/>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footnote>
  <w:footnote w:id="13">
    <w:p w14:paraId="03CB2E1C" w14:textId="42EF83DB" w:rsidR="00BE225D" w:rsidRPr="00CC623E" w:rsidRDefault="00BE225D" w:rsidP="00CC623E">
      <w:pPr>
        <w:pStyle w:val="FootnoteText"/>
        <w:ind w:left="567" w:hanging="567"/>
        <w:rPr>
          <w:sz w:val="24"/>
          <w:lang w:val="da-DK"/>
        </w:rPr>
      </w:pPr>
      <w:r w:rsidRPr="00CC623E">
        <w:rPr>
          <w:rStyle w:val="FootnoteReference"/>
          <w:sz w:val="24"/>
          <w:lang w:val="da-DK"/>
        </w:rPr>
        <w:footnoteRef/>
      </w:r>
      <w:r w:rsidR="00CC623E" w:rsidRPr="00CC623E">
        <w:rPr>
          <w:sz w:val="24"/>
          <w:lang w:val="da-DK"/>
        </w:rPr>
        <w:t xml:space="preserve"> </w:t>
      </w:r>
      <w:r w:rsidR="00CC623E" w:rsidRPr="00CC623E">
        <w:rPr>
          <w:sz w:val="24"/>
          <w:lang w:val="da-DK"/>
        </w:rPr>
        <w:tab/>
      </w:r>
      <w:r w:rsidRPr="00CC623E">
        <w:rPr>
          <w:sz w:val="24"/>
          <w:lang w:val="da-DK"/>
        </w:rPr>
        <w:t>Vedtagne tekster, P9_TA(2024</w:t>
      </w:r>
      <w:r w:rsidRPr="00EA6F77">
        <w:rPr>
          <w:sz w:val="24"/>
          <w:lang w:val="da-DK"/>
        </w:rPr>
        <w:t>)0</w:t>
      </w:r>
      <w:r w:rsidR="00EA6F77">
        <w:rPr>
          <w:sz w:val="24"/>
          <w:lang w:val="da-DK"/>
        </w:rPr>
        <w:t>280</w:t>
      </w:r>
      <w:r w:rsidRPr="00EA6F7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B31E0" w14:textId="77777777" w:rsidR="00064002" w:rsidRPr="00CC62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486E2" w14:textId="77777777" w:rsidR="00064002" w:rsidRPr="00CC62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9158A" w14:textId="77777777" w:rsidR="00064002" w:rsidRPr="00CC62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DA"/>
    <w:docVar w:name="dvnumam" w:val="0"/>
    <w:docVar w:name="dvpe" w:val="753.539"/>
    <w:docVar w:name="dvrapporteur" w:val="Ordfører: "/>
    <w:docVar w:name="dvtitre" w:val="1. Europa-Parlamentets afgørelse af 11. april 2024 om decharge for gennemførelsen af budgettet for Den Europæiske Unions Agentur for Strafferetligt Samarbejde (Eurojust) for regnskabsåret 2022(2023/2168(DEC))"/>
  </w:docVars>
  <w:rsids>
    <w:rsidRoot w:val="00714E8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33CA"/>
    <w:rsid w:val="00494A28"/>
    <w:rsid w:val="004C0004"/>
    <w:rsid w:val="004C0A85"/>
    <w:rsid w:val="004C5D52"/>
    <w:rsid w:val="004E5224"/>
    <w:rsid w:val="0050519A"/>
    <w:rsid w:val="005072A1"/>
    <w:rsid w:val="00514517"/>
    <w:rsid w:val="00545827"/>
    <w:rsid w:val="00560270"/>
    <w:rsid w:val="005C2568"/>
    <w:rsid w:val="006037C0"/>
    <w:rsid w:val="006631B6"/>
    <w:rsid w:val="00680577"/>
    <w:rsid w:val="006F74FA"/>
    <w:rsid w:val="00714E8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24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25D"/>
    <w:rsid w:val="00BE6ADC"/>
    <w:rsid w:val="00C05BFE"/>
    <w:rsid w:val="00C23CD4"/>
    <w:rsid w:val="00C61C0C"/>
    <w:rsid w:val="00C941CB"/>
    <w:rsid w:val="00CA0D2F"/>
    <w:rsid w:val="00CC2357"/>
    <w:rsid w:val="00CC623E"/>
    <w:rsid w:val="00CF071A"/>
    <w:rsid w:val="00D058B8"/>
    <w:rsid w:val="00D56C11"/>
    <w:rsid w:val="00D834A0"/>
    <w:rsid w:val="00D872DF"/>
    <w:rsid w:val="00D91E21"/>
    <w:rsid w:val="00DA7FCD"/>
    <w:rsid w:val="00E365E1"/>
    <w:rsid w:val="00E512B7"/>
    <w:rsid w:val="00E820A4"/>
    <w:rsid w:val="00EA6F7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6BC97"/>
  <w15:chartTrackingRefBased/>
  <w15:docId w15:val="{FDCB2493-0E81-4283-B7A8-BD314DC01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E225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E225D"/>
    <w:pPr>
      <w:spacing w:before="480" w:after="240"/>
    </w:pPr>
  </w:style>
  <w:style w:type="paragraph" w:customStyle="1" w:styleId="PageHeading">
    <w:name w:val="PageHeading"/>
    <w:basedOn w:val="Normal"/>
    <w:rsid w:val="00BE225D"/>
    <w:pPr>
      <w:keepNext/>
      <w:spacing w:after="480"/>
      <w:jc w:val="center"/>
    </w:pPr>
    <w:rPr>
      <w:rFonts w:ascii="Arial" w:hAnsi="Arial" w:cs="Arial"/>
      <w:b/>
    </w:rPr>
  </w:style>
  <w:style w:type="paragraph" w:customStyle="1" w:styleId="NormalBold">
    <w:name w:val="NormalBold"/>
    <w:basedOn w:val="Normal"/>
    <w:rsid w:val="00BE225D"/>
    <w:rPr>
      <w:b/>
    </w:rPr>
  </w:style>
  <w:style w:type="paragraph" w:customStyle="1" w:styleId="NormalHanging12a">
    <w:name w:val="NormalHanging12a"/>
    <w:basedOn w:val="Normal"/>
    <w:link w:val="NormalHanging12aChar"/>
    <w:rsid w:val="00BE225D"/>
    <w:pPr>
      <w:spacing w:after="240"/>
      <w:ind w:left="567" w:hanging="567"/>
    </w:pPr>
  </w:style>
  <w:style w:type="paragraph" w:customStyle="1" w:styleId="NormalCenter12a">
    <w:name w:val="NormalCenter12a"/>
    <w:basedOn w:val="Normal"/>
    <w:rsid w:val="00BE225D"/>
    <w:pPr>
      <w:spacing w:after="240"/>
      <w:jc w:val="center"/>
    </w:pPr>
  </w:style>
  <w:style w:type="paragraph" w:styleId="Header">
    <w:name w:val="header"/>
    <w:basedOn w:val="Normal"/>
    <w:link w:val="HeaderChar"/>
    <w:rsid w:val="00BE225D"/>
    <w:pPr>
      <w:tabs>
        <w:tab w:val="center" w:pos="4513"/>
        <w:tab w:val="right" w:pos="9026"/>
      </w:tabs>
    </w:pPr>
  </w:style>
  <w:style w:type="character" w:customStyle="1" w:styleId="HeaderChar">
    <w:name w:val="Header Char"/>
    <w:basedOn w:val="DefaultParagraphFont"/>
    <w:link w:val="Header"/>
    <w:rsid w:val="00BE225D"/>
    <w:rPr>
      <w:sz w:val="24"/>
      <w:lang w:val="da-DK"/>
    </w:rPr>
  </w:style>
  <w:style w:type="paragraph" w:customStyle="1" w:styleId="EPFooter">
    <w:name w:val="EPFooter"/>
    <w:basedOn w:val="Normal"/>
    <w:rsid w:val="00BE225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E225D"/>
    <w:rPr>
      <w:sz w:val="24"/>
      <w:lang w:val="da-DK"/>
    </w:rPr>
  </w:style>
  <w:style w:type="character" w:customStyle="1" w:styleId="Normal12HangingChar">
    <w:name w:val="Normal12Hanging Char"/>
    <w:link w:val="Normal12Hanging"/>
    <w:locked/>
    <w:rsid w:val="00BE225D"/>
    <w:rPr>
      <w:sz w:val="24"/>
    </w:rPr>
  </w:style>
  <w:style w:type="paragraph" w:customStyle="1" w:styleId="Normal12Hanging">
    <w:name w:val="Normal12Hanging"/>
    <w:basedOn w:val="Normal"/>
    <w:link w:val="Normal12HangingChar"/>
    <w:rsid w:val="00BE225D"/>
    <w:pPr>
      <w:spacing w:after="240"/>
      <w:ind w:left="567" w:hanging="567"/>
    </w:pPr>
    <w:rPr>
      <w:lang w:val="en-GB"/>
    </w:rPr>
  </w:style>
  <w:style w:type="paragraph" w:styleId="Footer">
    <w:name w:val="footer"/>
    <w:basedOn w:val="Normal"/>
    <w:link w:val="FooterChar"/>
    <w:rsid w:val="004C0A85"/>
    <w:pPr>
      <w:tabs>
        <w:tab w:val="center" w:pos="4513"/>
        <w:tab w:val="right" w:pos="9026"/>
      </w:tabs>
    </w:pPr>
  </w:style>
  <w:style w:type="character" w:customStyle="1" w:styleId="FooterChar">
    <w:name w:val="Footer Char"/>
    <w:basedOn w:val="DefaultParagraphFont"/>
    <w:link w:val="Footer"/>
    <w:rsid w:val="004C0A85"/>
    <w:rPr>
      <w:sz w:val="24"/>
      <w:lang w:val="da-DK"/>
    </w:rPr>
  </w:style>
  <w:style w:type="paragraph" w:styleId="BalloonText">
    <w:name w:val="Balloon Text"/>
    <w:basedOn w:val="Normal"/>
    <w:link w:val="BalloonTextChar"/>
    <w:rsid w:val="004C0A85"/>
    <w:rPr>
      <w:rFonts w:ascii="Segoe UI" w:hAnsi="Segoe UI" w:cs="Segoe UI"/>
      <w:sz w:val="18"/>
      <w:szCs w:val="18"/>
    </w:rPr>
  </w:style>
  <w:style w:type="character" w:customStyle="1" w:styleId="BalloonTextChar">
    <w:name w:val="Balloon Text Char"/>
    <w:basedOn w:val="DefaultParagraphFont"/>
    <w:link w:val="BalloonText"/>
    <w:rsid w:val="004C0A85"/>
    <w:rPr>
      <w:rFonts w:ascii="Segoe UI" w:hAnsi="Segoe UI" w:cs="Segoe UI"/>
      <w:sz w:val="18"/>
      <w:szCs w:val="18"/>
      <w:lang w:val="da-DK"/>
    </w:rPr>
  </w:style>
  <w:style w:type="character" w:styleId="CommentReference">
    <w:name w:val="annotation reference"/>
    <w:basedOn w:val="DefaultParagraphFont"/>
    <w:rsid w:val="00CA0D2F"/>
    <w:rPr>
      <w:sz w:val="16"/>
      <w:szCs w:val="16"/>
    </w:rPr>
  </w:style>
  <w:style w:type="paragraph" w:styleId="CommentText">
    <w:name w:val="annotation text"/>
    <w:basedOn w:val="Normal"/>
    <w:link w:val="CommentTextChar"/>
    <w:rsid w:val="00CA0D2F"/>
    <w:rPr>
      <w:sz w:val="20"/>
    </w:rPr>
  </w:style>
  <w:style w:type="character" w:customStyle="1" w:styleId="CommentTextChar">
    <w:name w:val="Comment Text Char"/>
    <w:basedOn w:val="DefaultParagraphFont"/>
    <w:link w:val="CommentText"/>
    <w:rsid w:val="00CA0D2F"/>
    <w:rPr>
      <w:lang w:val="da-DK"/>
    </w:rPr>
  </w:style>
  <w:style w:type="paragraph" w:styleId="CommentSubject">
    <w:name w:val="annotation subject"/>
    <w:basedOn w:val="CommentText"/>
    <w:next w:val="CommentText"/>
    <w:link w:val="CommentSubjectChar"/>
    <w:rsid w:val="00CA0D2F"/>
    <w:rPr>
      <w:b/>
      <w:bCs/>
    </w:rPr>
  </w:style>
  <w:style w:type="character" w:customStyle="1" w:styleId="CommentSubjectChar">
    <w:name w:val="Comment Subject Char"/>
    <w:basedOn w:val="CommentTextChar"/>
    <w:link w:val="CommentSubject"/>
    <w:rsid w:val="00CA0D2F"/>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AAF65-12A5-452F-B217-1936C176B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4240</Words>
  <Characters>26686</Characters>
  <Application>Microsoft Office Word</Application>
  <DocSecurity>0</DocSecurity>
  <Lines>222</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2024-04-11T12:03:00Z</dcterms:created>
  <dcterms:modified xsi:type="dcterms:W3CDTF">2024-04-11T12:03:00Z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A9-0099/2024</vt:lpwstr>
  </property>
  <property fmtid="{D5CDD505-2E9C-101B-9397-08002B2CF9AE}" pid="4" name="&lt;Type&gt;">
    <vt:lpwstr>RR</vt:lpwstr>
  </property>
</Properties>
</file>